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59" w:rsidRDefault="00104259" w:rsidP="00C94C53">
      <w:pPr>
        <w:jc w:val="center"/>
        <w:rPr>
          <w:b/>
          <w:sz w:val="32"/>
          <w:szCs w:val="32"/>
        </w:rPr>
      </w:pPr>
    </w:p>
    <w:p w:rsidR="00104259" w:rsidRPr="00A578D8" w:rsidRDefault="00104259" w:rsidP="004B669F">
      <w:pPr>
        <w:jc w:val="center"/>
        <w:rPr>
          <w:b/>
          <w:sz w:val="32"/>
          <w:szCs w:val="32"/>
        </w:rPr>
      </w:pPr>
      <w:r>
        <w:rPr>
          <w:b/>
          <w:sz w:val="32"/>
          <w:szCs w:val="32"/>
        </w:rPr>
        <w:t>Type of Review: Annual Review</w:t>
      </w:r>
    </w:p>
    <w:p w:rsidR="00104259" w:rsidRDefault="00104259" w:rsidP="00C94C53">
      <w:pPr>
        <w:jc w:val="center"/>
        <w:rPr>
          <w:b/>
          <w:sz w:val="32"/>
          <w:szCs w:val="32"/>
        </w:rPr>
      </w:pPr>
    </w:p>
    <w:p w:rsidR="00104259" w:rsidRDefault="00104259" w:rsidP="004B669F">
      <w:pPr>
        <w:rPr>
          <w:b/>
          <w:sz w:val="32"/>
          <w:szCs w:val="32"/>
        </w:rPr>
      </w:pPr>
      <w:r>
        <w:rPr>
          <w:b/>
          <w:sz w:val="32"/>
          <w:szCs w:val="32"/>
        </w:rPr>
        <w:t xml:space="preserve">Project Title:  Replacement of Malaria Monotherapy drugs in the private sector to support the containment of drug resistant malaria in eastern </w:t>
      </w:r>
      <w:smartTag w:uri="urn:schemas-microsoft-com:office:smarttags" w:element="country-region">
        <w:smartTag w:uri="urn:schemas-microsoft-com:office:smarttags" w:element="place">
          <w:r>
            <w:rPr>
              <w:b/>
              <w:sz w:val="32"/>
              <w:szCs w:val="32"/>
            </w:rPr>
            <w:t>Burma</w:t>
          </w:r>
        </w:smartTag>
      </w:smartTag>
      <w:r>
        <w:rPr>
          <w:b/>
          <w:sz w:val="32"/>
          <w:szCs w:val="32"/>
        </w:rPr>
        <w:t xml:space="preserve"> (AMTR)</w:t>
      </w:r>
    </w:p>
    <w:p w:rsidR="00104259" w:rsidRPr="009E59C9" w:rsidRDefault="00104259" w:rsidP="004B669F">
      <w:pPr>
        <w:rPr>
          <w:rFonts w:cs="Arial"/>
          <w:b/>
          <w:bCs/>
          <w:iCs/>
          <w:sz w:val="28"/>
          <w:szCs w:val="28"/>
        </w:rPr>
      </w:pPr>
    </w:p>
    <w:p w:rsidR="00104259" w:rsidRPr="009E59C9" w:rsidRDefault="00104259" w:rsidP="00E74FE1">
      <w:pPr>
        <w:rPr>
          <w:rFonts w:cs="Arial"/>
          <w:b/>
          <w:bCs/>
          <w:iCs/>
          <w:sz w:val="28"/>
          <w:szCs w:val="28"/>
        </w:rPr>
      </w:pPr>
      <w:r w:rsidRPr="009E59C9">
        <w:rPr>
          <w:rFonts w:cs="Arial"/>
          <w:b/>
          <w:bCs/>
          <w:iCs/>
          <w:sz w:val="28"/>
          <w:szCs w:val="28"/>
        </w:rPr>
        <w:t>Date started: October 2011; Date review undertaken: October 2012</w:t>
      </w:r>
    </w:p>
    <w:p w:rsidR="00104259" w:rsidRPr="002A1789" w:rsidRDefault="00104259" w:rsidP="002A1789">
      <w:pPr>
        <w:pStyle w:val="Heading2"/>
        <w:rPr>
          <w:i w:val="0"/>
        </w:rPr>
      </w:pPr>
      <w:r w:rsidRPr="004D5892">
        <w:rPr>
          <w:i w:val="0"/>
        </w:rPr>
        <w:t>Introduction and Context</w:t>
      </w:r>
    </w:p>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10260"/>
      </w:tblGrid>
      <w:tr>
        <w:tc>
          <w:tcPr>
            <w:tcW w:w="10260" w:type="dxa"/>
            <w:tcBorders>
              <w:top w:val="single" w:sz="6" w:space="0" w:color="000000"/>
              <w:bottom w:val="single" w:sz="6" w:space="0" w:color="000000"/>
            </w:tcBorders>
            <w:shd w:val="pct30" w:color="FFFF00" w:fill="FFFFFF"/>
          </w:tcPr>
          <w:p w:rsidR="00104259" w:rsidRPr="007B4757" w:rsidRDefault="00104259" w:rsidP="00C94C53">
            <w:pPr>
              <w:pStyle w:val="Heading2"/>
              <w:rPr>
                <w:b w:val="0"/>
                <w:bCs w:val="0"/>
                <w:i w:val="0"/>
                <w:sz w:val="24"/>
                <w:szCs w:val="24"/>
                <w:highlight w:val="lightGray"/>
              </w:rPr>
            </w:pPr>
            <w:r w:rsidRPr="007B4757">
              <w:rPr>
                <w:b w:val="0"/>
                <w:bCs w:val="0"/>
                <w:i w:val="0"/>
                <w:sz w:val="24"/>
                <w:szCs w:val="24"/>
              </w:rPr>
              <w:t xml:space="preserve">What support is the </w:t>
            </w:r>
            <w:smartTag w:uri="urn:schemas-microsoft-com:office:smarttags" w:element="country-region">
              <w:smartTag w:uri="urn:schemas-microsoft-com:office:smarttags" w:element="place">
                <w:r w:rsidRPr="007B4757">
                  <w:rPr>
                    <w:b w:val="0"/>
                    <w:bCs w:val="0"/>
                    <w:i w:val="0"/>
                    <w:sz w:val="24"/>
                    <w:szCs w:val="24"/>
                  </w:rPr>
                  <w:t>UK</w:t>
                </w:r>
              </w:smartTag>
            </w:smartTag>
            <w:r w:rsidRPr="007B4757">
              <w:rPr>
                <w:b w:val="0"/>
                <w:bCs w:val="0"/>
                <w:i w:val="0"/>
                <w:sz w:val="24"/>
                <w:szCs w:val="24"/>
              </w:rPr>
              <w:t xml:space="preserve"> providing?</w:t>
            </w:r>
          </w:p>
        </w:tc>
      </w:tr>
      <w:tr>
        <w:tc>
          <w:tcPr>
            <w:tcW w:w="10260" w:type="dxa"/>
            <w:tcBorders>
              <w:bottom w:val="single" w:sz="6" w:space="0" w:color="000000"/>
            </w:tcBorders>
          </w:tcPr>
          <w:p w:rsidR="00104259" w:rsidRPr="00FD1D00" w:rsidRDefault="00104259" w:rsidP="00C94C53">
            <w:pPr>
              <w:rPr>
                <w:bCs/>
              </w:rPr>
            </w:pPr>
          </w:p>
          <w:p w:rsidR="00104259" w:rsidRPr="00FD1D00" w:rsidRDefault="00104259" w:rsidP="00922969">
            <w:pPr>
              <w:rPr>
                <w:bCs/>
              </w:rPr>
            </w:pPr>
            <w:r w:rsidRPr="00FD1D00">
              <w:rPr>
                <w:bCs/>
                <w:sz w:val="22"/>
                <w:szCs w:val="22"/>
              </w:rPr>
              <w:t xml:space="preserve">The UK is providing £11.3 million for a three year project to be implemented by the international non-governmental organisation Population Services International (PSI) to replace malaria drugs containing only artemisinin (monotherapy) with those containing artemisinin with other effective drugs (artemisinin combination therapies, or ACTs) in </w:t>
            </w:r>
            <w:r>
              <w:rPr>
                <w:bCs/>
                <w:sz w:val="22"/>
                <w:szCs w:val="22"/>
              </w:rPr>
              <w:t>Burma</w:t>
            </w:r>
            <w:r w:rsidRPr="00FD1D00">
              <w:rPr>
                <w:bCs/>
                <w:sz w:val="22"/>
                <w:szCs w:val="22"/>
              </w:rPr>
              <w:t>. This project (Artemisinin Monothe</w:t>
            </w:r>
            <w:r>
              <w:rPr>
                <w:bCs/>
                <w:sz w:val="22"/>
                <w:szCs w:val="22"/>
              </w:rPr>
              <w:t>rapy Replacement project (AMTR)</w:t>
            </w:r>
            <w:r w:rsidRPr="00FD1D00">
              <w:rPr>
                <w:bCs/>
                <w:sz w:val="22"/>
                <w:szCs w:val="22"/>
              </w:rPr>
              <w:t xml:space="preserve"> is co-funded with the Bill and Melinda Gates Foundation (</w:t>
            </w:r>
            <w:r>
              <w:rPr>
                <w:bCs/>
                <w:sz w:val="22"/>
                <w:szCs w:val="22"/>
              </w:rPr>
              <w:t>Gates Foundation)</w:t>
            </w:r>
            <w:r w:rsidRPr="00FD1D00">
              <w:rPr>
                <w:bCs/>
                <w:sz w:val="22"/>
                <w:szCs w:val="22"/>
              </w:rPr>
              <w:t xml:space="preserve">. A philanthropic organisation, Good Ventures, is also supporting this project. DFID is providing £10.7 million to PSI for project implementation. </w:t>
            </w:r>
            <w:r>
              <w:rPr>
                <w:bCs/>
                <w:sz w:val="22"/>
                <w:szCs w:val="22"/>
              </w:rPr>
              <w:t xml:space="preserve">Up to </w:t>
            </w:r>
            <w:r w:rsidRPr="00FD1D00">
              <w:rPr>
                <w:bCs/>
                <w:sz w:val="22"/>
                <w:szCs w:val="22"/>
              </w:rPr>
              <w:t>£600,000 is allocated to independent evaluation and annual monitoring of the programme to track results and ensure lesson learning.</w:t>
            </w:r>
          </w:p>
        </w:tc>
      </w:tr>
    </w:tbl>
    <w:p w:rsidR="00104259" w:rsidRDefault="00104259" w:rsidP="00C94C53"/>
    <w:p w:rsidR="00104259" w:rsidRDefault="00104259" w:rsidP="00C94C53"/>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10420"/>
      </w:tblGrid>
      <w:tr>
        <w:tc>
          <w:tcPr>
            <w:tcW w:w="10420" w:type="dxa"/>
            <w:tcBorders>
              <w:top w:val="single" w:sz="6" w:space="0" w:color="000000"/>
              <w:bottom w:val="single" w:sz="6" w:space="0" w:color="000000"/>
            </w:tcBorders>
            <w:shd w:val="pct30" w:color="FFFF00" w:fill="FFFFFF"/>
          </w:tcPr>
          <w:p w:rsidR="00104259" w:rsidRPr="007B4757" w:rsidRDefault="00104259" w:rsidP="00C94C53">
            <w:pPr>
              <w:rPr>
                <w:b/>
                <w:bCs/>
              </w:rPr>
            </w:pPr>
          </w:p>
          <w:p w:rsidR="00104259" w:rsidRPr="007B4757" w:rsidRDefault="00104259" w:rsidP="00C94C53">
            <w:pPr>
              <w:rPr>
                <w:b/>
                <w:bCs/>
              </w:rPr>
            </w:pPr>
            <w:r w:rsidRPr="007B4757">
              <w:rPr>
                <w:b/>
                <w:bCs/>
              </w:rPr>
              <w:t>What are the expected results?</w:t>
            </w:r>
          </w:p>
        </w:tc>
      </w:tr>
      <w:tr>
        <w:tc>
          <w:tcPr>
            <w:tcW w:w="10420" w:type="dxa"/>
            <w:tcBorders>
              <w:bottom w:val="single" w:sz="6" w:space="0" w:color="000000"/>
            </w:tcBorders>
          </w:tcPr>
          <w:p w:rsidR="00104259" w:rsidRPr="00FD1D00" w:rsidRDefault="00104259" w:rsidP="00B919F4">
            <w:pPr>
              <w:rPr>
                <w:bCs/>
              </w:rPr>
            </w:pPr>
            <w:r w:rsidRPr="00FD1D00">
              <w:rPr>
                <w:bCs/>
                <w:sz w:val="22"/>
                <w:szCs w:val="22"/>
              </w:rPr>
              <w:t xml:space="preserve">AMTR is expected to contribute to the containment of artemisinin resistance in </w:t>
            </w:r>
            <w:smartTag w:uri="urn:schemas-microsoft-com:office:smarttags" w:element="country-region">
              <w:smartTag w:uri="urn:schemas-microsoft-com:office:smarttags" w:element="place">
                <w:r>
                  <w:rPr>
                    <w:bCs/>
                    <w:sz w:val="22"/>
                    <w:szCs w:val="22"/>
                  </w:rPr>
                  <w:t>Burma</w:t>
                </w:r>
              </w:smartTag>
            </w:smartTag>
            <w:r w:rsidRPr="00FD1D00">
              <w:rPr>
                <w:bCs/>
                <w:sz w:val="22"/>
                <w:szCs w:val="22"/>
              </w:rPr>
              <w:t xml:space="preserve">. Artemisinin is the most important </w:t>
            </w:r>
            <w:r>
              <w:rPr>
                <w:bCs/>
                <w:sz w:val="22"/>
                <w:szCs w:val="22"/>
              </w:rPr>
              <w:t xml:space="preserve">drug compound which, in combination with a second drug, forms artemisinin combination therapies (ACTs) which are </w:t>
            </w:r>
            <w:r w:rsidRPr="00FD1D00">
              <w:rPr>
                <w:bCs/>
                <w:sz w:val="22"/>
                <w:szCs w:val="22"/>
              </w:rPr>
              <w:t>first line drug</w:t>
            </w:r>
            <w:r>
              <w:rPr>
                <w:bCs/>
                <w:sz w:val="22"/>
                <w:szCs w:val="22"/>
              </w:rPr>
              <w:t>s</w:t>
            </w:r>
            <w:r w:rsidRPr="00FD1D00">
              <w:rPr>
                <w:bCs/>
                <w:sz w:val="22"/>
                <w:szCs w:val="22"/>
              </w:rPr>
              <w:t xml:space="preserve"> for the treatment of malaria globally.</w:t>
            </w:r>
          </w:p>
          <w:p w:rsidR="00104259" w:rsidRPr="00FD1D00" w:rsidRDefault="00104259" w:rsidP="00B919F4">
            <w:pPr>
              <w:rPr>
                <w:bCs/>
              </w:rPr>
            </w:pPr>
          </w:p>
          <w:p w:rsidR="00104259" w:rsidRPr="00FD1D00" w:rsidRDefault="00104259" w:rsidP="00C94C53">
            <w:pPr>
              <w:rPr>
                <w:bCs/>
              </w:rPr>
            </w:pPr>
            <w:r w:rsidRPr="00FD1D00">
              <w:rPr>
                <w:bCs/>
                <w:sz w:val="22"/>
                <w:szCs w:val="22"/>
              </w:rPr>
              <w:t xml:space="preserve">Containment of resistance is important to prevent or at minimum significantly delay the spread of artemisinin resistant malaria parasites within </w:t>
            </w:r>
            <w:smartTag w:uri="urn:schemas-microsoft-com:office:smarttags" w:element="country-region">
              <w:smartTag w:uri="urn:schemas-microsoft-com:office:smarttags" w:element="place">
                <w:r>
                  <w:rPr>
                    <w:bCs/>
                    <w:sz w:val="22"/>
                    <w:szCs w:val="22"/>
                  </w:rPr>
                  <w:t>Burma</w:t>
                </w:r>
              </w:smartTag>
            </w:smartTag>
            <w:r w:rsidRPr="00FD1D00">
              <w:rPr>
                <w:bCs/>
                <w:sz w:val="22"/>
                <w:szCs w:val="22"/>
              </w:rPr>
              <w:t xml:space="preserve"> and beyond its borders. This is in turn important to safeguard the effectiveness of artemisinin for treatment of malaria in the region and globally. </w:t>
            </w:r>
          </w:p>
          <w:p w:rsidR="00104259" w:rsidRPr="00FD1D00" w:rsidRDefault="00104259" w:rsidP="00C94C53">
            <w:pPr>
              <w:rPr>
                <w:bCs/>
              </w:rPr>
            </w:pPr>
          </w:p>
          <w:p w:rsidR="00104259" w:rsidRPr="00FD1D00" w:rsidRDefault="00104259" w:rsidP="00C94C53">
            <w:pPr>
              <w:rPr>
                <w:bCs/>
              </w:rPr>
            </w:pPr>
            <w:r w:rsidRPr="00FD1D00">
              <w:rPr>
                <w:bCs/>
                <w:sz w:val="22"/>
                <w:szCs w:val="22"/>
              </w:rPr>
              <w:t xml:space="preserve">This intervention is necessary but not on its own sufficient for drug resistance containment. It is complementary to the </w:t>
            </w:r>
            <w:r>
              <w:rPr>
                <w:bCs/>
                <w:sz w:val="22"/>
                <w:szCs w:val="22"/>
              </w:rPr>
              <w:t xml:space="preserve">additional funding </w:t>
            </w:r>
            <w:r w:rsidRPr="00FD1D00">
              <w:rPr>
                <w:bCs/>
                <w:sz w:val="22"/>
                <w:szCs w:val="22"/>
              </w:rPr>
              <w:t xml:space="preserve">that DFID has provided to the Three Diseases Fund </w:t>
            </w:r>
            <w:r>
              <w:rPr>
                <w:bCs/>
                <w:sz w:val="22"/>
                <w:szCs w:val="22"/>
              </w:rPr>
              <w:t xml:space="preserve">for HIV, TB and Malaria </w:t>
            </w:r>
            <w:r w:rsidRPr="00FD1D00">
              <w:rPr>
                <w:bCs/>
                <w:sz w:val="22"/>
                <w:szCs w:val="22"/>
              </w:rPr>
              <w:t xml:space="preserve">(3DF) and </w:t>
            </w:r>
            <w:r>
              <w:rPr>
                <w:bCs/>
                <w:sz w:val="22"/>
                <w:szCs w:val="22"/>
              </w:rPr>
              <w:t>forthcoming</w:t>
            </w:r>
            <w:r w:rsidRPr="00FD1D00">
              <w:rPr>
                <w:bCs/>
                <w:sz w:val="22"/>
                <w:szCs w:val="22"/>
              </w:rPr>
              <w:t xml:space="preserve"> DFID support to its successor, the Three </w:t>
            </w:r>
            <w:r>
              <w:rPr>
                <w:bCs/>
                <w:sz w:val="22"/>
                <w:szCs w:val="22"/>
              </w:rPr>
              <w:t xml:space="preserve">Millennium Development Goal </w:t>
            </w:r>
            <w:r w:rsidRPr="00FD1D00">
              <w:rPr>
                <w:bCs/>
                <w:sz w:val="22"/>
                <w:szCs w:val="22"/>
              </w:rPr>
              <w:t xml:space="preserve">Fund (3MDGF) to scale up free malaria diagnosis and treatment in the public sector and through NGOs. AMTR is an important component of the national </w:t>
            </w:r>
            <w:smartTag w:uri="urn:schemas-microsoft-com:office:smarttags" w:element="country-region">
              <w:r w:rsidRPr="00FD1D00">
                <w:rPr>
                  <w:bCs/>
                  <w:sz w:val="22"/>
                  <w:szCs w:val="22"/>
                </w:rPr>
                <w:t>Myanmar</w:t>
              </w:r>
            </w:smartTag>
            <w:r w:rsidRPr="00FD1D00">
              <w:rPr>
                <w:bCs/>
                <w:sz w:val="22"/>
                <w:szCs w:val="22"/>
              </w:rPr>
              <w:t xml:space="preserve"> (</w:t>
            </w:r>
            <w:smartTag w:uri="urn:schemas-microsoft-com:office:smarttags" w:element="country-region">
              <w:smartTag w:uri="urn:schemas-microsoft-com:office:smarttags" w:element="place">
                <w:r w:rsidRPr="00FD1D00">
                  <w:rPr>
                    <w:bCs/>
                    <w:sz w:val="22"/>
                    <w:szCs w:val="22"/>
                  </w:rPr>
                  <w:t>Burma</w:t>
                </w:r>
              </w:smartTag>
            </w:smartTag>
            <w:r w:rsidRPr="00FD1D00">
              <w:rPr>
                <w:bCs/>
                <w:sz w:val="22"/>
                <w:szCs w:val="22"/>
              </w:rPr>
              <w:t>) Artemisinin Resistance Containment (MARC</w:t>
            </w:r>
            <w:r>
              <w:rPr>
                <w:bCs/>
                <w:sz w:val="22"/>
                <w:szCs w:val="22"/>
              </w:rPr>
              <w:t>)</w:t>
            </w:r>
            <w:r w:rsidRPr="00FD1D00">
              <w:rPr>
                <w:bCs/>
                <w:sz w:val="22"/>
                <w:szCs w:val="22"/>
              </w:rPr>
              <w:t xml:space="preserve"> strategy.</w:t>
            </w:r>
          </w:p>
          <w:p w:rsidR="00104259" w:rsidRPr="00FD1D00" w:rsidRDefault="00104259" w:rsidP="00C94C53">
            <w:pPr>
              <w:rPr>
                <w:bCs/>
              </w:rPr>
            </w:pPr>
          </w:p>
          <w:p w:rsidR="00104259" w:rsidRPr="00FD1D00" w:rsidRDefault="00104259" w:rsidP="002001BC">
            <w:pPr>
              <w:rPr>
                <w:bCs/>
                <w:lang w:val="en-US"/>
              </w:rPr>
            </w:pPr>
            <w:r>
              <w:rPr>
                <w:bCs/>
                <w:sz w:val="22"/>
                <w:szCs w:val="22"/>
              </w:rPr>
              <w:t>The AMTR</w:t>
            </w:r>
            <w:r w:rsidRPr="00FD1D00">
              <w:rPr>
                <w:bCs/>
                <w:sz w:val="22"/>
                <w:szCs w:val="22"/>
              </w:rPr>
              <w:t xml:space="preserve"> programme is intended to achieve a rapid switch from the widespread availability and use of artemisinin monotherapies in the private sector to </w:t>
            </w:r>
            <w:r>
              <w:rPr>
                <w:bCs/>
                <w:sz w:val="22"/>
                <w:szCs w:val="22"/>
              </w:rPr>
              <w:t xml:space="preserve">the </w:t>
            </w:r>
            <w:r w:rsidRPr="00FD1D00">
              <w:rPr>
                <w:bCs/>
                <w:sz w:val="22"/>
                <w:szCs w:val="22"/>
              </w:rPr>
              <w:t xml:space="preserve">recommended ACTs. Experts agree that this will have the biggest and quickest impact on preventing the development and spread of artemisinin resistance in </w:t>
            </w:r>
            <w:smartTag w:uri="urn:schemas-microsoft-com:office:smarttags" w:element="country-region">
              <w:smartTag w:uri="urn:schemas-microsoft-com:office:smarttags" w:element="place">
                <w:r>
                  <w:rPr>
                    <w:bCs/>
                    <w:sz w:val="22"/>
                    <w:szCs w:val="22"/>
                  </w:rPr>
                  <w:t>Burma</w:t>
                </w:r>
              </w:smartTag>
            </w:smartTag>
            <w:r w:rsidRPr="00FD1D00">
              <w:rPr>
                <w:bCs/>
                <w:sz w:val="22"/>
                <w:szCs w:val="22"/>
              </w:rPr>
              <w:t>.</w:t>
            </w:r>
          </w:p>
          <w:p w:rsidR="00104259" w:rsidRPr="00FD1D00" w:rsidRDefault="00104259" w:rsidP="002001BC">
            <w:pPr>
              <w:rPr>
                <w:bCs/>
                <w:lang w:val="en-US"/>
              </w:rPr>
            </w:pPr>
          </w:p>
          <w:p w:rsidR="00104259" w:rsidRDefault="00104259" w:rsidP="002001BC">
            <w:pPr>
              <w:rPr>
                <w:bCs/>
                <w:lang w:val="en-US"/>
              </w:rPr>
            </w:pPr>
            <w:r w:rsidRPr="00FD1D00">
              <w:rPr>
                <w:bCs/>
                <w:sz w:val="22"/>
                <w:szCs w:val="22"/>
                <w:lang w:val="en-US"/>
              </w:rPr>
              <w:t xml:space="preserve">The specific outcomes of this project expected by the end of 2014 include: </w:t>
            </w:r>
          </w:p>
          <w:p w:rsidR="00104259" w:rsidRPr="00FD1D00" w:rsidRDefault="00104259" w:rsidP="002001BC">
            <w:pPr>
              <w:rPr>
                <w:bCs/>
                <w:lang w:val="en-US"/>
              </w:rPr>
            </w:pPr>
          </w:p>
          <w:p w:rsidR="00104259" w:rsidRPr="00FD1D00" w:rsidRDefault="00104259" w:rsidP="00F14F87">
            <w:pPr>
              <w:numPr>
                <w:ilvl w:val="0"/>
                <w:numId w:val="4"/>
              </w:numPr>
              <w:tabs>
                <w:tab w:val="num" w:pos="252"/>
              </w:tabs>
              <w:rPr>
                <w:bCs/>
                <w:lang w:val="en-US"/>
              </w:rPr>
            </w:pPr>
            <w:r w:rsidRPr="00FD1D00">
              <w:rPr>
                <w:bCs/>
                <w:sz w:val="22"/>
                <w:szCs w:val="22"/>
                <w:lang w:val="en-US"/>
              </w:rPr>
              <w:t>73% of suspected malaria cases will complete a full course of a nationally approved, quality assured artemisinin combination therapy within 24 hours of onset of fever</w:t>
            </w:r>
          </w:p>
          <w:p w:rsidR="00104259" w:rsidRPr="00FD1D00" w:rsidRDefault="00104259" w:rsidP="00F14F87">
            <w:pPr>
              <w:numPr>
                <w:ilvl w:val="0"/>
                <w:numId w:val="4"/>
              </w:numPr>
              <w:tabs>
                <w:tab w:val="num" w:pos="252"/>
              </w:tabs>
              <w:rPr>
                <w:bCs/>
                <w:lang w:val="en-US"/>
              </w:rPr>
            </w:pPr>
            <w:r>
              <w:rPr>
                <w:bCs/>
                <w:sz w:val="22"/>
                <w:szCs w:val="22"/>
                <w:lang w:val="en-US"/>
              </w:rPr>
              <w:t>The</w:t>
            </w:r>
            <w:r w:rsidRPr="00FD1D00">
              <w:rPr>
                <w:bCs/>
                <w:sz w:val="22"/>
                <w:szCs w:val="22"/>
                <w:lang w:val="en-US"/>
              </w:rPr>
              <w:t xml:space="preserve"> proportion of malaria cases in the target areas that are treated with artemisinin monotherapies </w:t>
            </w:r>
            <w:r>
              <w:rPr>
                <w:bCs/>
                <w:sz w:val="22"/>
                <w:szCs w:val="22"/>
                <w:lang w:val="en-US"/>
              </w:rPr>
              <w:t xml:space="preserve">will reduce </w:t>
            </w:r>
            <w:r w:rsidRPr="00FD1D00">
              <w:rPr>
                <w:bCs/>
                <w:sz w:val="22"/>
                <w:szCs w:val="22"/>
                <w:lang w:val="en-US"/>
              </w:rPr>
              <w:t xml:space="preserve">to less than 10% by year 2 </w:t>
            </w:r>
          </w:p>
          <w:p w:rsidR="00104259" w:rsidRPr="00FD1D00" w:rsidRDefault="00104259" w:rsidP="00F14F87">
            <w:pPr>
              <w:numPr>
                <w:ilvl w:val="0"/>
                <w:numId w:val="4"/>
              </w:numPr>
              <w:tabs>
                <w:tab w:val="num" w:pos="252"/>
              </w:tabs>
              <w:rPr>
                <w:bCs/>
                <w:lang w:val="en-US"/>
              </w:rPr>
            </w:pPr>
            <w:r w:rsidRPr="00FD1D00">
              <w:rPr>
                <w:bCs/>
                <w:sz w:val="22"/>
                <w:szCs w:val="22"/>
                <w:lang w:val="en-US"/>
              </w:rPr>
              <w:t xml:space="preserve">161 000 Disability Adjusted Life Years gained in </w:t>
            </w:r>
            <w:smartTag w:uri="urn:schemas-microsoft-com:office:smarttags" w:element="country-region">
              <w:smartTag w:uri="urn:schemas-microsoft-com:office:smarttags" w:element="place">
                <w:r>
                  <w:rPr>
                    <w:bCs/>
                    <w:sz w:val="22"/>
                    <w:szCs w:val="22"/>
                    <w:lang w:val="en-US"/>
                  </w:rPr>
                  <w:t>Burma</w:t>
                </w:r>
              </w:smartTag>
            </w:smartTag>
            <w:r w:rsidRPr="00FD1D00">
              <w:rPr>
                <w:bCs/>
                <w:sz w:val="22"/>
                <w:szCs w:val="22"/>
                <w:lang w:val="en-US"/>
              </w:rPr>
              <w:t xml:space="preserve"> over the three years (of which 80,500 attributable to DFID)</w:t>
            </w:r>
            <w:r>
              <w:rPr>
                <w:rStyle w:val="FootnoteReference"/>
                <w:bCs/>
                <w:sz w:val="22"/>
                <w:szCs w:val="22"/>
                <w:lang w:val="en-US"/>
              </w:rPr>
              <w:footnoteReference w:id="2"/>
            </w:r>
          </w:p>
          <w:p w:rsidR="00104259" w:rsidRDefault="00104259" w:rsidP="002001BC">
            <w:pPr>
              <w:rPr>
                <w:bCs/>
                <w:lang w:val="en-US"/>
              </w:rPr>
            </w:pPr>
          </w:p>
          <w:p w:rsidR="00104259" w:rsidRDefault="00104259" w:rsidP="002001BC">
            <w:pPr>
              <w:rPr>
                <w:bCs/>
                <w:lang w:val="en-US"/>
              </w:rPr>
            </w:pPr>
          </w:p>
          <w:p w:rsidR="00104259" w:rsidRPr="00FD1D00" w:rsidRDefault="00104259" w:rsidP="002001BC">
            <w:pPr>
              <w:rPr>
                <w:bCs/>
                <w:lang w:val="en-US"/>
              </w:rPr>
            </w:pPr>
          </w:p>
          <w:p w:rsidR="00104259" w:rsidRDefault="00104259" w:rsidP="002001BC">
            <w:pPr>
              <w:rPr>
                <w:bCs/>
                <w:lang w:val="en-US"/>
              </w:rPr>
            </w:pPr>
            <w:r w:rsidRPr="00FD1D00">
              <w:rPr>
                <w:bCs/>
                <w:sz w:val="22"/>
                <w:szCs w:val="22"/>
                <w:lang w:val="en-US"/>
              </w:rPr>
              <w:t xml:space="preserve">In addition </w:t>
            </w:r>
            <w:r>
              <w:rPr>
                <w:bCs/>
                <w:sz w:val="22"/>
                <w:szCs w:val="22"/>
                <w:lang w:val="en-US"/>
              </w:rPr>
              <w:t xml:space="preserve">the </w:t>
            </w:r>
            <w:r w:rsidRPr="00FD1D00">
              <w:rPr>
                <w:bCs/>
                <w:sz w:val="22"/>
                <w:szCs w:val="22"/>
                <w:lang w:val="en-US"/>
              </w:rPr>
              <w:t>outputs</w:t>
            </w:r>
            <w:r>
              <w:rPr>
                <w:bCs/>
                <w:sz w:val="22"/>
                <w:szCs w:val="22"/>
                <w:lang w:val="en-US"/>
              </w:rPr>
              <w:t xml:space="preserve"> delivered by this project</w:t>
            </w:r>
            <w:r w:rsidRPr="00FD1D00">
              <w:rPr>
                <w:bCs/>
                <w:sz w:val="22"/>
                <w:szCs w:val="22"/>
                <w:lang w:val="en-US"/>
              </w:rPr>
              <w:t xml:space="preserve"> include:</w:t>
            </w:r>
          </w:p>
          <w:p w:rsidR="00104259" w:rsidRPr="00FD1D00" w:rsidRDefault="00104259" w:rsidP="002001BC">
            <w:pPr>
              <w:rPr>
                <w:bCs/>
                <w:lang w:val="en-US"/>
              </w:rPr>
            </w:pPr>
          </w:p>
          <w:p w:rsidR="00104259" w:rsidRPr="00FD1D00" w:rsidRDefault="00104259" w:rsidP="00F14F87">
            <w:pPr>
              <w:numPr>
                <w:ilvl w:val="0"/>
                <w:numId w:val="3"/>
              </w:numPr>
              <w:tabs>
                <w:tab w:val="num" w:pos="252"/>
              </w:tabs>
              <w:rPr>
                <w:bCs/>
                <w:lang w:val="en-US"/>
              </w:rPr>
            </w:pPr>
            <w:r>
              <w:rPr>
                <w:bCs/>
                <w:sz w:val="22"/>
                <w:szCs w:val="22"/>
                <w:lang w:val="en-US"/>
              </w:rPr>
              <w:t>The i</w:t>
            </w:r>
            <w:r w:rsidRPr="00FD1D00">
              <w:rPr>
                <w:bCs/>
                <w:sz w:val="22"/>
                <w:szCs w:val="22"/>
                <w:lang w:val="en-US"/>
              </w:rPr>
              <w:t>ncreased opportunity, ability and motivation of private sector providers to effectively prescribe and dispense nationally approved, quality assured ACTs</w:t>
            </w:r>
            <w:r>
              <w:rPr>
                <w:bCs/>
                <w:sz w:val="22"/>
                <w:szCs w:val="22"/>
                <w:lang w:val="en-US"/>
              </w:rPr>
              <w:t>.</w:t>
            </w:r>
          </w:p>
          <w:p w:rsidR="00104259" w:rsidRPr="00FD1D00" w:rsidRDefault="00104259" w:rsidP="00F14F87">
            <w:pPr>
              <w:numPr>
                <w:ilvl w:val="0"/>
                <w:numId w:val="3"/>
              </w:numPr>
              <w:tabs>
                <w:tab w:val="num" w:pos="252"/>
              </w:tabs>
              <w:rPr>
                <w:bCs/>
                <w:lang w:val="en-US"/>
              </w:rPr>
            </w:pPr>
            <w:r w:rsidRPr="00FD1D00">
              <w:rPr>
                <w:bCs/>
                <w:sz w:val="22"/>
                <w:szCs w:val="22"/>
                <w:lang w:val="en-US"/>
              </w:rPr>
              <w:t xml:space="preserve">Increased opportunity, ability and motivation of the target population in eastern </w:t>
            </w:r>
            <w:smartTag w:uri="urn:schemas-microsoft-com:office:smarttags" w:element="country-region">
              <w:smartTag w:uri="urn:schemas-microsoft-com:office:smarttags" w:element="place">
                <w:r>
                  <w:rPr>
                    <w:bCs/>
                    <w:sz w:val="22"/>
                    <w:szCs w:val="22"/>
                    <w:lang w:val="en-US"/>
                  </w:rPr>
                  <w:t>Burma</w:t>
                </w:r>
              </w:smartTag>
            </w:smartTag>
            <w:r w:rsidRPr="00FD1D00">
              <w:rPr>
                <w:bCs/>
                <w:sz w:val="22"/>
                <w:szCs w:val="22"/>
                <w:lang w:val="en-US"/>
              </w:rPr>
              <w:t xml:space="preserve"> to promptly and effectively treat suspected malaria with a nationally approved and quality assured ACT </w:t>
            </w:r>
          </w:p>
          <w:p w:rsidR="00104259" w:rsidRPr="00FD1D00" w:rsidRDefault="00104259" w:rsidP="00F14F87">
            <w:pPr>
              <w:numPr>
                <w:ilvl w:val="0"/>
                <w:numId w:val="3"/>
              </w:numPr>
              <w:tabs>
                <w:tab w:val="num" w:pos="252"/>
              </w:tabs>
              <w:rPr>
                <w:bCs/>
                <w:lang w:val="en-US"/>
              </w:rPr>
            </w:pPr>
            <w:r w:rsidRPr="00FD1D00">
              <w:rPr>
                <w:bCs/>
                <w:sz w:val="22"/>
                <w:szCs w:val="22"/>
                <w:lang w:val="en-US"/>
              </w:rPr>
              <w:t>1.8 million treatment courses of ACTs received</w:t>
            </w:r>
            <w:r>
              <w:rPr>
                <w:bCs/>
                <w:sz w:val="22"/>
                <w:szCs w:val="22"/>
                <w:lang w:val="en-US"/>
              </w:rPr>
              <w:t>,</w:t>
            </w:r>
            <w:r w:rsidRPr="00FD1D00">
              <w:rPr>
                <w:bCs/>
                <w:sz w:val="22"/>
                <w:szCs w:val="22"/>
                <w:lang w:val="en-US"/>
              </w:rPr>
              <w:t xml:space="preserve"> packaged and sold by end of Year 1, 3.6 million in Year 2 and 3.4 million in Year 3 (of which 0.9m; 1.8m and 1.7m </w:t>
            </w:r>
            <w:r>
              <w:rPr>
                <w:bCs/>
                <w:sz w:val="22"/>
                <w:szCs w:val="22"/>
                <w:lang w:val="en-US"/>
              </w:rPr>
              <w:t xml:space="preserve">are </w:t>
            </w:r>
            <w:r w:rsidRPr="00FD1D00">
              <w:rPr>
                <w:bCs/>
                <w:sz w:val="22"/>
                <w:szCs w:val="22"/>
                <w:lang w:val="en-US"/>
              </w:rPr>
              <w:t>attributable to DFID)</w:t>
            </w:r>
          </w:p>
          <w:p w:rsidR="00104259" w:rsidRPr="00FD1D00" w:rsidRDefault="00104259" w:rsidP="00F14F87">
            <w:pPr>
              <w:numPr>
                <w:ilvl w:val="0"/>
                <w:numId w:val="2"/>
              </w:numPr>
              <w:tabs>
                <w:tab w:val="num" w:pos="252"/>
              </w:tabs>
              <w:rPr>
                <w:bCs/>
                <w:lang w:val="en-US"/>
              </w:rPr>
            </w:pPr>
            <w:r w:rsidRPr="00FD1D00">
              <w:rPr>
                <w:bCs/>
                <w:sz w:val="22"/>
                <w:szCs w:val="22"/>
                <w:lang w:val="en-US"/>
              </w:rPr>
              <w:t>1</w:t>
            </w:r>
            <w:r>
              <w:rPr>
                <w:bCs/>
                <w:sz w:val="22"/>
                <w:szCs w:val="22"/>
                <w:lang w:val="en-US"/>
              </w:rPr>
              <w:t>,</w:t>
            </w:r>
            <w:r w:rsidRPr="00FD1D00">
              <w:rPr>
                <w:bCs/>
                <w:sz w:val="22"/>
                <w:szCs w:val="22"/>
                <w:lang w:val="en-US"/>
              </w:rPr>
              <w:t xml:space="preserve">900 providers </w:t>
            </w:r>
            <w:r>
              <w:rPr>
                <w:bCs/>
                <w:sz w:val="22"/>
                <w:szCs w:val="22"/>
                <w:lang w:val="en-US"/>
              </w:rPr>
              <w:t xml:space="preserve">are </w:t>
            </w:r>
            <w:r w:rsidRPr="00FD1D00">
              <w:rPr>
                <w:bCs/>
                <w:sz w:val="22"/>
                <w:szCs w:val="22"/>
                <w:lang w:val="en-US"/>
              </w:rPr>
              <w:t>trained in use of Rapid Diagnostic Tests</w:t>
            </w:r>
            <w:r>
              <w:rPr>
                <w:bCs/>
                <w:sz w:val="22"/>
                <w:szCs w:val="22"/>
                <w:lang w:val="en-US"/>
              </w:rPr>
              <w:t xml:space="preserve"> (RDTs) in Year 2 and</w:t>
            </w:r>
            <w:r w:rsidRPr="00FD1D00">
              <w:rPr>
                <w:bCs/>
                <w:sz w:val="22"/>
                <w:szCs w:val="22"/>
                <w:lang w:val="en-US"/>
              </w:rPr>
              <w:t xml:space="preserve"> 7</w:t>
            </w:r>
            <w:r>
              <w:rPr>
                <w:bCs/>
                <w:sz w:val="22"/>
                <w:szCs w:val="22"/>
                <w:lang w:val="en-US"/>
              </w:rPr>
              <w:t>,</w:t>
            </w:r>
            <w:r w:rsidRPr="00FD1D00">
              <w:rPr>
                <w:bCs/>
                <w:sz w:val="22"/>
                <w:szCs w:val="22"/>
                <w:lang w:val="en-US"/>
              </w:rPr>
              <w:t>000 by the end of the project (of which 950 and 3500 respectively attributable to DFID)</w:t>
            </w:r>
          </w:p>
          <w:p w:rsidR="00104259" w:rsidRPr="00FD1D00" w:rsidRDefault="00104259" w:rsidP="00F14F87">
            <w:pPr>
              <w:numPr>
                <w:ilvl w:val="0"/>
                <w:numId w:val="2"/>
              </w:numPr>
              <w:tabs>
                <w:tab w:val="num" w:pos="252"/>
              </w:tabs>
              <w:rPr>
                <w:bCs/>
                <w:lang w:val="en-US"/>
              </w:rPr>
            </w:pPr>
            <w:r>
              <w:rPr>
                <w:bCs/>
                <w:sz w:val="22"/>
                <w:szCs w:val="22"/>
                <w:lang w:val="en-US"/>
              </w:rPr>
              <w:t>250,</w:t>
            </w:r>
            <w:r w:rsidRPr="00FD1D00">
              <w:rPr>
                <w:bCs/>
                <w:sz w:val="22"/>
                <w:szCs w:val="22"/>
                <w:lang w:val="en-US"/>
              </w:rPr>
              <w:t xml:space="preserve">000 Rapid Diagnostic Tests </w:t>
            </w:r>
            <w:r>
              <w:rPr>
                <w:bCs/>
                <w:sz w:val="22"/>
                <w:szCs w:val="22"/>
                <w:lang w:val="en-US"/>
              </w:rPr>
              <w:t xml:space="preserve">are </w:t>
            </w:r>
            <w:r w:rsidRPr="00FD1D00">
              <w:rPr>
                <w:bCs/>
                <w:sz w:val="22"/>
                <w:szCs w:val="22"/>
                <w:lang w:val="en-US"/>
              </w:rPr>
              <w:t>correctly u</w:t>
            </w:r>
            <w:r>
              <w:rPr>
                <w:bCs/>
                <w:sz w:val="22"/>
                <w:szCs w:val="22"/>
                <w:lang w:val="en-US"/>
              </w:rPr>
              <w:t>sed and reported in Year 2, 950,</w:t>
            </w:r>
            <w:r w:rsidRPr="00FD1D00">
              <w:rPr>
                <w:bCs/>
                <w:sz w:val="22"/>
                <w:szCs w:val="22"/>
                <w:lang w:val="en-US"/>
              </w:rPr>
              <w:t>000 in Ye</w:t>
            </w:r>
            <w:r>
              <w:rPr>
                <w:bCs/>
                <w:sz w:val="22"/>
                <w:szCs w:val="22"/>
                <w:lang w:val="en-US"/>
              </w:rPr>
              <w:t>ar 3 (of which 125,000 and 475,</w:t>
            </w:r>
            <w:r w:rsidRPr="00FD1D00">
              <w:rPr>
                <w:bCs/>
                <w:sz w:val="22"/>
                <w:szCs w:val="22"/>
                <w:lang w:val="en-US"/>
              </w:rPr>
              <w:t>000 respectively attributable to DFID)</w:t>
            </w:r>
          </w:p>
          <w:p w:rsidR="00104259" w:rsidRPr="00FD1D00" w:rsidRDefault="00104259" w:rsidP="00C94C53">
            <w:pPr>
              <w:rPr>
                <w:bCs/>
              </w:rPr>
            </w:pPr>
          </w:p>
          <w:p w:rsidR="00104259" w:rsidRDefault="00104259" w:rsidP="00C94C53">
            <w:pPr>
              <w:rPr>
                <w:bCs/>
              </w:rPr>
            </w:pPr>
            <w:r w:rsidRPr="00FD1D00">
              <w:rPr>
                <w:bCs/>
                <w:sz w:val="22"/>
                <w:szCs w:val="22"/>
              </w:rPr>
              <w:t xml:space="preserve">The project is recognised as </w:t>
            </w:r>
            <w:r w:rsidRPr="00D25F84">
              <w:rPr>
                <w:bCs/>
                <w:sz w:val="22"/>
                <w:szCs w:val="22"/>
                <w:u w:val="single"/>
              </w:rPr>
              <w:t>high risk</w:t>
            </w:r>
            <w:r w:rsidRPr="00FD1D00">
              <w:rPr>
                <w:bCs/>
                <w:sz w:val="22"/>
                <w:szCs w:val="22"/>
              </w:rPr>
              <w:t xml:space="preserve"> given the difficult and rapidly changing political and epidemiological operating environment.  </w:t>
            </w:r>
            <w:r>
              <w:rPr>
                <w:bCs/>
                <w:sz w:val="22"/>
                <w:szCs w:val="22"/>
              </w:rPr>
              <w:t xml:space="preserve">Two factors in particular will affect these expected outputs first decreases in transmission risk and disease burden and second the rate of scale up of RDTs in the private sector (which affects demand for ACTs). </w:t>
            </w:r>
            <w:r w:rsidRPr="00FD1D00">
              <w:rPr>
                <w:bCs/>
                <w:sz w:val="22"/>
                <w:szCs w:val="22"/>
              </w:rPr>
              <w:t>Several milestone reviews have been scheduled to ensure that the project strategy adapts to changing circumstances and to check project progress at regular intervals.</w:t>
            </w:r>
            <w:r>
              <w:rPr>
                <w:bCs/>
                <w:sz w:val="22"/>
                <w:szCs w:val="22"/>
              </w:rPr>
              <w:t xml:space="preserve"> </w:t>
            </w:r>
          </w:p>
          <w:p w:rsidR="00104259" w:rsidRPr="00FD1D00" w:rsidRDefault="00104259" w:rsidP="00C94C53">
            <w:pPr>
              <w:rPr>
                <w:bCs/>
              </w:rPr>
            </w:pPr>
          </w:p>
        </w:tc>
      </w:tr>
    </w:tbl>
    <w:p w:rsidR="00104259" w:rsidRDefault="00104259" w:rsidP="00C94C53"/>
    <w:p w:rsidR="00104259" w:rsidRDefault="00104259" w:rsidP="00C94C53"/>
    <w:p w:rsidR="00104259" w:rsidRPr="00917B88" w:rsidRDefault="00104259" w:rsidP="00C94C53"/>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10260"/>
      </w:tblGrid>
      <w:tr>
        <w:tc>
          <w:tcPr>
            <w:tcW w:w="10260" w:type="dxa"/>
            <w:tcBorders>
              <w:top w:val="single" w:sz="6" w:space="0" w:color="000000"/>
              <w:bottom w:val="single" w:sz="6" w:space="0" w:color="000000"/>
            </w:tcBorders>
            <w:shd w:val="pct30" w:color="FFFF00" w:fill="FFFFFF"/>
          </w:tcPr>
          <w:p w:rsidR="00104259" w:rsidRPr="007B4757" w:rsidRDefault="00104259" w:rsidP="00C94C53">
            <w:pPr>
              <w:pStyle w:val="Heading2"/>
              <w:rPr>
                <w:b w:val="0"/>
                <w:bCs w:val="0"/>
                <w:i w:val="0"/>
                <w:sz w:val="24"/>
                <w:szCs w:val="24"/>
              </w:rPr>
            </w:pPr>
            <w:r w:rsidRPr="007B4757">
              <w:rPr>
                <w:b w:val="0"/>
                <w:bCs w:val="0"/>
                <w:i w:val="0"/>
                <w:sz w:val="24"/>
                <w:szCs w:val="24"/>
              </w:rPr>
              <w:t xml:space="preserve">What is the context in which </w:t>
            </w:r>
            <w:smartTag w:uri="urn:schemas-microsoft-com:office:smarttags" w:element="country-region">
              <w:smartTag w:uri="urn:schemas-microsoft-com:office:smarttags" w:element="place">
                <w:r w:rsidRPr="007B4757">
                  <w:rPr>
                    <w:b w:val="0"/>
                    <w:bCs w:val="0"/>
                    <w:i w:val="0"/>
                    <w:sz w:val="24"/>
                    <w:szCs w:val="24"/>
                  </w:rPr>
                  <w:t>UK</w:t>
                </w:r>
              </w:smartTag>
            </w:smartTag>
            <w:r w:rsidRPr="007B4757">
              <w:rPr>
                <w:b w:val="0"/>
                <w:bCs w:val="0"/>
                <w:i w:val="0"/>
                <w:sz w:val="24"/>
                <w:szCs w:val="24"/>
              </w:rPr>
              <w:t xml:space="preserve"> support is provided?</w:t>
            </w:r>
          </w:p>
        </w:tc>
      </w:tr>
      <w:tr>
        <w:tc>
          <w:tcPr>
            <w:tcW w:w="10260" w:type="dxa"/>
            <w:tcBorders>
              <w:bottom w:val="single" w:sz="6" w:space="0" w:color="000000"/>
            </w:tcBorders>
          </w:tcPr>
          <w:p w:rsidR="00104259" w:rsidRPr="00FD1D00" w:rsidRDefault="00104259" w:rsidP="00C94C53">
            <w:pPr>
              <w:rPr>
                <w:bCs/>
              </w:rPr>
            </w:pPr>
          </w:p>
          <w:p w:rsidR="00104259" w:rsidRDefault="00104259" w:rsidP="00FD1D00">
            <w:pPr>
              <w:rPr>
                <w:bCs/>
              </w:rPr>
            </w:pPr>
            <w:r w:rsidRPr="00FD1D00">
              <w:rPr>
                <w:bCs/>
                <w:sz w:val="22"/>
                <w:szCs w:val="22"/>
              </w:rPr>
              <w:t xml:space="preserve">The new generation of malaria drugs, artemisinin combination therapies (ACTs), provide a </w:t>
            </w:r>
            <w:r w:rsidRPr="00FD1D00">
              <w:rPr>
                <w:bCs/>
                <w:sz w:val="22"/>
                <w:szCs w:val="22"/>
                <w:lang w:val="en-US"/>
              </w:rPr>
              <w:t>highly effective</w:t>
            </w:r>
            <w:r w:rsidRPr="00FD1D00">
              <w:rPr>
                <w:bCs/>
                <w:sz w:val="22"/>
                <w:szCs w:val="22"/>
              </w:rPr>
              <w:t xml:space="preserve"> cure for the most dangerous form of malaria </w:t>
            </w:r>
            <w:r>
              <w:rPr>
                <w:bCs/>
                <w:i/>
                <w:iCs/>
                <w:sz w:val="22"/>
                <w:szCs w:val="22"/>
              </w:rPr>
              <w:t>(P.F</w:t>
            </w:r>
            <w:r w:rsidRPr="00FD1D00">
              <w:rPr>
                <w:bCs/>
                <w:i/>
                <w:iCs/>
                <w:sz w:val="22"/>
                <w:szCs w:val="22"/>
              </w:rPr>
              <w:t>alciparum)</w:t>
            </w:r>
            <w:r w:rsidRPr="00FD1D00">
              <w:rPr>
                <w:bCs/>
                <w:sz w:val="22"/>
                <w:szCs w:val="22"/>
              </w:rPr>
              <w:t xml:space="preserve"> in most malaria endemic countries. </w:t>
            </w:r>
          </w:p>
          <w:p w:rsidR="00104259" w:rsidRDefault="00104259" w:rsidP="00FD1D00">
            <w:pPr>
              <w:rPr>
                <w:bCs/>
              </w:rPr>
            </w:pPr>
          </w:p>
          <w:p w:rsidR="00104259" w:rsidRDefault="00104259" w:rsidP="00FD1D00">
            <w:pPr>
              <w:rPr>
                <w:bCs/>
              </w:rPr>
            </w:pPr>
            <w:r w:rsidRPr="00FD1D00">
              <w:rPr>
                <w:bCs/>
                <w:sz w:val="22"/>
                <w:szCs w:val="22"/>
              </w:rPr>
              <w:t xml:space="preserve">This has helped reduce the global burden of malaria by more than half in 43 countries over the past 10 years, saving an estimated 730,000 lives in </w:t>
            </w:r>
            <w:smartTag w:uri="urn:schemas-microsoft-com:office:smarttags" w:element="place">
              <w:r w:rsidRPr="00FD1D00">
                <w:rPr>
                  <w:bCs/>
                  <w:sz w:val="22"/>
                  <w:szCs w:val="22"/>
                </w:rPr>
                <w:t>Africa</w:t>
              </w:r>
            </w:smartTag>
            <w:r>
              <w:rPr>
                <w:rStyle w:val="EndnoteReference"/>
                <w:bCs/>
                <w:sz w:val="22"/>
                <w:szCs w:val="22"/>
              </w:rPr>
              <w:endnoteReference w:id="2"/>
            </w:r>
            <w:r w:rsidRPr="00FD1D00">
              <w:rPr>
                <w:bCs/>
                <w:sz w:val="22"/>
                <w:szCs w:val="22"/>
              </w:rPr>
              <w:t xml:space="preserve">. </w:t>
            </w:r>
            <w:r w:rsidRPr="00FD1D00">
              <w:rPr>
                <w:bCs/>
                <w:sz w:val="22"/>
                <w:szCs w:val="22"/>
                <w:u w:val="single"/>
              </w:rPr>
              <w:t>This global progress is now threatened by the emergence of malaria parasites that are resistant to artemisinin.</w:t>
            </w:r>
            <w:r w:rsidRPr="00FD1D00">
              <w:rPr>
                <w:bCs/>
                <w:sz w:val="22"/>
                <w:szCs w:val="22"/>
              </w:rPr>
              <w:t xml:space="preserve">  There is strong evidence that artemisinin resistant malaria, first detected on the Thai-Cambodia border and </w:t>
            </w:r>
            <w:r w:rsidRPr="00D25F84">
              <w:rPr>
                <w:bCs/>
                <w:sz w:val="22"/>
                <w:szCs w:val="22"/>
              </w:rPr>
              <w:t xml:space="preserve">then </w:t>
            </w:r>
            <w:smartTag w:uri="urn:schemas-microsoft-com:office:smarttags" w:element="country-region">
              <w:r w:rsidRPr="00D25F84">
                <w:rPr>
                  <w:bCs/>
                  <w:sz w:val="22"/>
                  <w:szCs w:val="22"/>
                </w:rPr>
                <w:t>Vietnam</w:t>
              </w:r>
            </w:smartTag>
            <w:r w:rsidRPr="00FD1D00">
              <w:rPr>
                <w:bCs/>
                <w:sz w:val="22"/>
                <w:szCs w:val="22"/>
              </w:rPr>
              <w:t xml:space="preserve">, now also occurs in eastern </w:t>
            </w:r>
            <w:smartTag w:uri="urn:schemas-microsoft-com:office:smarttags" w:element="country-region">
              <w:smartTag w:uri="urn:schemas-microsoft-com:office:smarttags" w:element="place">
                <w:r>
                  <w:rPr>
                    <w:bCs/>
                    <w:sz w:val="22"/>
                    <w:szCs w:val="22"/>
                  </w:rPr>
                  <w:t>Burma</w:t>
                </w:r>
              </w:smartTag>
            </w:smartTag>
            <w:r w:rsidRPr="00FD1D00">
              <w:rPr>
                <w:bCs/>
                <w:sz w:val="22"/>
                <w:szCs w:val="22"/>
              </w:rPr>
              <w:t xml:space="preserve">. </w:t>
            </w:r>
            <w:r>
              <w:rPr>
                <w:bCs/>
                <w:sz w:val="22"/>
                <w:szCs w:val="22"/>
                <w:u w:val="single"/>
              </w:rPr>
              <w:t>Burma</w:t>
            </w:r>
            <w:r w:rsidRPr="00FD1D00">
              <w:rPr>
                <w:bCs/>
                <w:sz w:val="22"/>
                <w:szCs w:val="22"/>
                <w:u w:val="single"/>
              </w:rPr>
              <w:t xml:space="preserve"> is critical to global efforts to contain resistance:</w:t>
            </w:r>
            <w:r w:rsidRPr="00FD1D00">
              <w:rPr>
                <w:bCs/>
                <w:sz w:val="22"/>
                <w:szCs w:val="22"/>
              </w:rPr>
              <w:t xml:space="preserve"> the malaria burden is far higher than in any other country in South East Asia due to its large population at risk; extensive migration in high transmission areas; </w:t>
            </w:r>
            <w:r>
              <w:rPr>
                <w:bCs/>
                <w:sz w:val="22"/>
                <w:szCs w:val="22"/>
              </w:rPr>
              <w:t xml:space="preserve">a history of </w:t>
            </w:r>
            <w:r w:rsidRPr="00FD1D00">
              <w:rPr>
                <w:bCs/>
                <w:sz w:val="22"/>
                <w:szCs w:val="22"/>
              </w:rPr>
              <w:t xml:space="preserve">60 years of civil conflict along some border areas; inadequate investment in malaria control over several decades and high usage of artemisinin monotherapies (AMTs).  This overlap of transmission risk (associated with forest cover and mosquito vector abundance) with geopolitical sensitivity along border areas makes </w:t>
            </w:r>
            <w:smartTag w:uri="urn:schemas-microsoft-com:office:smarttags" w:element="country-region">
              <w:smartTag w:uri="urn:schemas-microsoft-com:office:smarttags" w:element="place">
                <w:r>
                  <w:rPr>
                    <w:bCs/>
                    <w:sz w:val="22"/>
                    <w:szCs w:val="22"/>
                  </w:rPr>
                  <w:t>Burma</w:t>
                </w:r>
              </w:smartTag>
            </w:smartTag>
            <w:r w:rsidRPr="00FD1D00">
              <w:rPr>
                <w:bCs/>
                <w:sz w:val="22"/>
                <w:szCs w:val="22"/>
              </w:rPr>
              <w:t xml:space="preserve"> one of the most challenging operational contexts in the world for malaria control.</w:t>
            </w:r>
          </w:p>
          <w:p w:rsidR="00104259" w:rsidRPr="00FD1D00" w:rsidRDefault="00104259" w:rsidP="00FD1D00">
            <w:pPr>
              <w:rPr>
                <w:bCs/>
              </w:rPr>
            </w:pPr>
          </w:p>
          <w:p w:rsidR="00104259" w:rsidRDefault="00104259" w:rsidP="00FD1D00">
            <w:pPr>
              <w:rPr>
                <w:bCs/>
              </w:rPr>
            </w:pPr>
            <w:r w:rsidRPr="00FD1D00">
              <w:rPr>
                <w:bCs/>
                <w:sz w:val="22"/>
                <w:szCs w:val="22"/>
                <w:u w:val="single"/>
              </w:rPr>
              <w:t xml:space="preserve">Responding to emerging malaria drug resistance in </w:t>
            </w:r>
            <w:smartTag w:uri="urn:schemas-microsoft-com:office:smarttags" w:element="country-region">
              <w:smartTag w:uri="urn:schemas-microsoft-com:office:smarttags" w:element="place">
                <w:r>
                  <w:rPr>
                    <w:bCs/>
                    <w:sz w:val="22"/>
                    <w:szCs w:val="22"/>
                    <w:u w:val="single"/>
                  </w:rPr>
                  <w:t>Burma</w:t>
                </w:r>
              </w:smartTag>
            </w:smartTag>
            <w:r w:rsidRPr="00FD1D00">
              <w:rPr>
                <w:bCs/>
                <w:sz w:val="22"/>
                <w:szCs w:val="22"/>
                <w:u w:val="single"/>
              </w:rPr>
              <w:t xml:space="preserve"> is time critical</w:t>
            </w:r>
            <w:r w:rsidRPr="00FD1D00">
              <w:rPr>
                <w:bCs/>
                <w:sz w:val="22"/>
                <w:szCs w:val="22"/>
              </w:rPr>
              <w:t xml:space="preserve">. History of the spread of resistance to previous malaria drugs suggests that spread from </w:t>
            </w:r>
            <w:smartTag w:uri="urn:schemas-microsoft-com:office:smarttags" w:element="country-region">
              <w:r>
                <w:rPr>
                  <w:bCs/>
                  <w:sz w:val="22"/>
                  <w:szCs w:val="22"/>
                </w:rPr>
                <w:t>Burma</w:t>
              </w:r>
            </w:smartTag>
            <w:r w:rsidRPr="00FD1D00">
              <w:rPr>
                <w:bCs/>
                <w:sz w:val="22"/>
                <w:szCs w:val="22"/>
              </w:rPr>
              <w:t xml:space="preserve"> to </w:t>
            </w:r>
            <w:smartTag w:uri="urn:schemas-microsoft-com:office:smarttags" w:element="country-region">
              <w:r w:rsidRPr="00FD1D00">
                <w:rPr>
                  <w:bCs/>
                  <w:sz w:val="22"/>
                  <w:szCs w:val="22"/>
                </w:rPr>
                <w:t>India</w:t>
              </w:r>
            </w:smartTag>
            <w:r w:rsidRPr="00FD1D00">
              <w:rPr>
                <w:bCs/>
                <w:sz w:val="22"/>
                <w:szCs w:val="22"/>
              </w:rPr>
              <w:t xml:space="preserve"> is a pathway to </w:t>
            </w:r>
            <w:smartTag w:uri="urn:schemas-microsoft-com:office:smarttags" w:element="place">
              <w:r w:rsidRPr="00FD1D00">
                <w:rPr>
                  <w:bCs/>
                  <w:sz w:val="22"/>
                  <w:szCs w:val="22"/>
                </w:rPr>
                <w:t>Africa</w:t>
              </w:r>
            </w:smartTag>
            <w:r w:rsidRPr="00FD1D00">
              <w:rPr>
                <w:bCs/>
                <w:sz w:val="22"/>
                <w:szCs w:val="22"/>
              </w:rPr>
              <w:t>. No other malaria drugs are currently available that offer the same levels of effectiveness as ACT and no new drugs will be available for five years at the very least. Every year of delaying the spread of resistance westwards may save many thousands of lives and buy time to develop and deploy new antimalarial compounds.</w:t>
            </w:r>
          </w:p>
          <w:p w:rsidR="00104259" w:rsidRPr="00FD1D00" w:rsidRDefault="00104259" w:rsidP="00FD1D00">
            <w:pPr>
              <w:rPr>
                <w:bCs/>
              </w:rPr>
            </w:pPr>
          </w:p>
          <w:p w:rsidR="00104259" w:rsidRDefault="00104259" w:rsidP="00FD1D00">
            <w:pPr>
              <w:rPr>
                <w:bCs/>
              </w:rPr>
            </w:pPr>
            <w:r w:rsidRPr="00FD1D00">
              <w:rPr>
                <w:bCs/>
                <w:sz w:val="22"/>
                <w:szCs w:val="22"/>
                <w:u w:val="single"/>
              </w:rPr>
              <w:t xml:space="preserve">In response to this issue </w:t>
            </w:r>
            <w:r>
              <w:rPr>
                <w:bCs/>
                <w:sz w:val="22"/>
                <w:szCs w:val="22"/>
                <w:u w:val="single"/>
              </w:rPr>
              <w:t>Burma</w:t>
            </w:r>
            <w:r w:rsidRPr="00FD1D00">
              <w:rPr>
                <w:bCs/>
                <w:sz w:val="22"/>
                <w:szCs w:val="22"/>
                <w:u w:val="single"/>
              </w:rPr>
              <w:t xml:space="preserve"> has developed the Myanmar</w:t>
            </w:r>
            <w:r>
              <w:rPr>
                <w:bCs/>
                <w:sz w:val="22"/>
                <w:szCs w:val="22"/>
                <w:u w:val="single"/>
              </w:rPr>
              <w:t xml:space="preserve"> </w:t>
            </w:r>
            <w:r w:rsidRPr="00FD1D00">
              <w:rPr>
                <w:bCs/>
                <w:sz w:val="22"/>
                <w:szCs w:val="22"/>
                <w:u w:val="single"/>
              </w:rPr>
              <w:t>Artemisinin Resistance Containment Framework</w:t>
            </w:r>
            <w:r>
              <w:rPr>
                <w:bCs/>
                <w:sz w:val="22"/>
                <w:szCs w:val="22"/>
              </w:rPr>
              <w:t xml:space="preserve"> (referred to as MARC</w:t>
            </w:r>
            <w:r w:rsidRPr="00FD1D00">
              <w:rPr>
                <w:bCs/>
                <w:sz w:val="22"/>
                <w:szCs w:val="22"/>
              </w:rPr>
              <w:t xml:space="preserve">), </w:t>
            </w:r>
            <w:r>
              <w:rPr>
                <w:bCs/>
                <w:sz w:val="22"/>
                <w:szCs w:val="22"/>
              </w:rPr>
              <w:t>led by the</w:t>
            </w:r>
            <w:r w:rsidRPr="00FD1D00">
              <w:rPr>
                <w:bCs/>
                <w:sz w:val="22"/>
                <w:szCs w:val="22"/>
              </w:rPr>
              <w:t xml:space="preserve"> Ministry of Health </w:t>
            </w:r>
            <w:r>
              <w:rPr>
                <w:bCs/>
                <w:sz w:val="22"/>
                <w:szCs w:val="22"/>
              </w:rPr>
              <w:t xml:space="preserve">with support from </w:t>
            </w:r>
            <w:r w:rsidRPr="00FD1D00">
              <w:rPr>
                <w:bCs/>
                <w:sz w:val="22"/>
                <w:szCs w:val="22"/>
              </w:rPr>
              <w:t>key non-governmental implementing partners involved in malaria control. This strategy is in line with the World Health Organization’s Global Plan for Artemisinin Resistance Containment</w:t>
            </w:r>
            <w:r>
              <w:rPr>
                <w:bCs/>
                <w:sz w:val="22"/>
                <w:szCs w:val="22"/>
              </w:rPr>
              <w:t xml:space="preserve"> and </w:t>
            </w:r>
            <w:smartTag w:uri="urn:schemas-microsoft-com:office:smarttags" w:element="country-region">
              <w:smartTag w:uri="urn:schemas-microsoft-com:office:smarttags" w:element="place">
                <w:r>
                  <w:rPr>
                    <w:bCs/>
                    <w:sz w:val="22"/>
                    <w:szCs w:val="22"/>
                  </w:rPr>
                  <w:t>Burma</w:t>
                </w:r>
              </w:smartTag>
            </w:smartTag>
            <w:r>
              <w:rPr>
                <w:bCs/>
                <w:sz w:val="22"/>
                <w:szCs w:val="22"/>
              </w:rPr>
              <w:t xml:space="preserve"> is in its Tier One and Tier Two areas.  Tier One areas are those for which there is credible evidence of artemisinin resistance and Tier Two areas area those with significant inflows of mobile and migrant populations from Tier One areas or who share borders with Tier One areas.  However, access to some of the h</w:t>
            </w:r>
            <w:r w:rsidRPr="00FD1D00">
              <w:rPr>
                <w:bCs/>
                <w:sz w:val="22"/>
                <w:szCs w:val="22"/>
              </w:rPr>
              <w:t xml:space="preserve">igh risk geographical areas is limited due to conflict, security concerns and limitations of access for </w:t>
            </w:r>
            <w:r>
              <w:rPr>
                <w:bCs/>
                <w:sz w:val="22"/>
                <w:szCs w:val="22"/>
              </w:rPr>
              <w:t xml:space="preserve">non-governmental </w:t>
            </w:r>
            <w:r w:rsidRPr="00FD1D00">
              <w:rPr>
                <w:bCs/>
                <w:sz w:val="22"/>
                <w:szCs w:val="22"/>
              </w:rPr>
              <w:t xml:space="preserve">organisations </w:t>
            </w:r>
            <w:r>
              <w:rPr>
                <w:bCs/>
                <w:sz w:val="22"/>
                <w:szCs w:val="22"/>
              </w:rPr>
              <w:t xml:space="preserve">through </w:t>
            </w:r>
            <w:r w:rsidRPr="00FD1D00">
              <w:rPr>
                <w:bCs/>
                <w:sz w:val="22"/>
                <w:szCs w:val="22"/>
              </w:rPr>
              <w:t>restricti</w:t>
            </w:r>
            <w:r>
              <w:rPr>
                <w:bCs/>
                <w:sz w:val="22"/>
                <w:szCs w:val="22"/>
              </w:rPr>
              <w:t>ons within</w:t>
            </w:r>
            <w:r w:rsidRPr="00FD1D00">
              <w:rPr>
                <w:bCs/>
                <w:sz w:val="22"/>
                <w:szCs w:val="22"/>
              </w:rPr>
              <w:t xml:space="preserve"> </w:t>
            </w:r>
            <w:r>
              <w:rPr>
                <w:bCs/>
                <w:sz w:val="22"/>
                <w:szCs w:val="22"/>
              </w:rPr>
              <w:t>Memoranda of Understanding (MOUs).</w:t>
            </w:r>
            <w:r w:rsidRPr="00FD1D00">
              <w:rPr>
                <w:bCs/>
                <w:sz w:val="22"/>
                <w:szCs w:val="22"/>
              </w:rPr>
              <w:t xml:space="preserve">  </w:t>
            </w:r>
            <w:r>
              <w:rPr>
                <w:bCs/>
                <w:sz w:val="22"/>
                <w:szCs w:val="22"/>
              </w:rPr>
              <w:t xml:space="preserve">  </w:t>
            </w:r>
            <w:r w:rsidRPr="00FD1D00">
              <w:rPr>
                <w:bCs/>
                <w:sz w:val="22"/>
                <w:szCs w:val="22"/>
              </w:rPr>
              <w:t xml:space="preserve">The </w:t>
            </w:r>
            <w:smartTag w:uri="urn:schemas-microsoft-com:office:smarttags" w:element="country-region">
              <w:smartTag w:uri="urn:schemas-microsoft-com:office:smarttags" w:element="place">
                <w:r w:rsidRPr="00FD1D00">
                  <w:rPr>
                    <w:bCs/>
                    <w:sz w:val="22"/>
                    <w:szCs w:val="22"/>
                  </w:rPr>
                  <w:t>UK</w:t>
                </w:r>
              </w:smartTag>
            </w:smartTag>
            <w:r w:rsidRPr="00FD1D00">
              <w:rPr>
                <w:bCs/>
                <w:sz w:val="22"/>
                <w:szCs w:val="22"/>
              </w:rPr>
              <w:t xml:space="preserve"> has already funded some of the components of the MARC.  In April 2011 the </w:t>
            </w:r>
            <w:smartTag w:uri="urn:schemas-microsoft-com:office:smarttags" w:element="country-region">
              <w:r w:rsidRPr="00FD1D00">
                <w:rPr>
                  <w:bCs/>
                  <w:sz w:val="22"/>
                  <w:szCs w:val="22"/>
                </w:rPr>
                <w:t>UK</w:t>
              </w:r>
            </w:smartTag>
            <w:r w:rsidRPr="00FD1D00">
              <w:rPr>
                <w:bCs/>
                <w:sz w:val="22"/>
                <w:szCs w:val="22"/>
              </w:rPr>
              <w:t xml:space="preserve"> approved an additional £4 million for the Three Diseases Fund for HIV, TB and Malaria </w:t>
            </w:r>
            <w:r>
              <w:rPr>
                <w:bCs/>
                <w:sz w:val="22"/>
                <w:szCs w:val="22"/>
              </w:rPr>
              <w:t xml:space="preserve">(3DF) </w:t>
            </w:r>
            <w:r w:rsidRPr="00FD1D00">
              <w:rPr>
                <w:bCs/>
                <w:sz w:val="22"/>
                <w:szCs w:val="22"/>
              </w:rPr>
              <w:t>which</w:t>
            </w:r>
            <w:r>
              <w:rPr>
                <w:bCs/>
                <w:sz w:val="22"/>
                <w:szCs w:val="22"/>
              </w:rPr>
              <w:t>, until end December 2012,</w:t>
            </w:r>
            <w:r w:rsidRPr="00FD1D00">
              <w:rPr>
                <w:bCs/>
                <w:sz w:val="22"/>
                <w:szCs w:val="22"/>
              </w:rPr>
              <w:t xml:space="preserve"> is the main channel for DFID support to health in </w:t>
            </w:r>
            <w:smartTag w:uri="urn:schemas-microsoft-com:office:smarttags" w:element="country-region">
              <w:smartTag w:uri="urn:schemas-microsoft-com:office:smarttags" w:element="place">
                <w:r>
                  <w:rPr>
                    <w:bCs/>
                    <w:sz w:val="22"/>
                    <w:szCs w:val="22"/>
                  </w:rPr>
                  <w:t>Burma</w:t>
                </w:r>
              </w:smartTag>
            </w:smartTag>
            <w:r w:rsidRPr="00FD1D00">
              <w:rPr>
                <w:bCs/>
                <w:sz w:val="22"/>
                <w:szCs w:val="22"/>
              </w:rPr>
              <w:t xml:space="preserve">. Together with additional funds from </w:t>
            </w:r>
            <w:smartTag w:uri="urn:schemas-microsoft-com:office:smarttags" w:element="country-region">
              <w:smartTag w:uri="urn:schemas-microsoft-com:office:smarttags" w:element="place">
                <w:r w:rsidRPr="00FD1D00">
                  <w:rPr>
                    <w:bCs/>
                    <w:sz w:val="22"/>
                    <w:szCs w:val="22"/>
                  </w:rPr>
                  <w:t>Australia</w:t>
                </w:r>
              </w:smartTag>
            </w:smartTag>
            <w:r w:rsidRPr="00FD1D00">
              <w:rPr>
                <w:bCs/>
                <w:sz w:val="22"/>
                <w:szCs w:val="22"/>
              </w:rPr>
              <w:t xml:space="preserve"> this funding is primarily supporting the scale up </w:t>
            </w:r>
            <w:r>
              <w:rPr>
                <w:bCs/>
                <w:sz w:val="22"/>
                <w:szCs w:val="22"/>
              </w:rPr>
              <w:t xml:space="preserve">of </w:t>
            </w:r>
            <w:r w:rsidRPr="00FD1D00">
              <w:rPr>
                <w:bCs/>
                <w:sz w:val="22"/>
                <w:szCs w:val="22"/>
              </w:rPr>
              <w:t>free diagnosis and treatment of malaria at the community level.</w:t>
            </w:r>
            <w:r>
              <w:rPr>
                <w:bCs/>
                <w:sz w:val="22"/>
                <w:szCs w:val="22"/>
              </w:rPr>
              <w:t xml:space="preserve"> From January 1</w:t>
            </w:r>
            <w:r w:rsidRPr="00253283">
              <w:rPr>
                <w:bCs/>
                <w:sz w:val="22"/>
                <w:szCs w:val="22"/>
                <w:vertAlign w:val="superscript"/>
              </w:rPr>
              <w:t>st</w:t>
            </w:r>
            <w:r>
              <w:rPr>
                <w:bCs/>
                <w:sz w:val="22"/>
                <w:szCs w:val="22"/>
              </w:rPr>
              <w:t xml:space="preserve"> 2013 the successor to the Three Diseases Fund, known as the 3MDG Fund, will fund critical gaps in the country’s response to drug resistant malaria, not covered by the Global Fund for AIDS, TB and malaria (the Global Fund). </w:t>
            </w:r>
          </w:p>
          <w:p w:rsidR="00104259" w:rsidRPr="00FD1D00" w:rsidRDefault="00104259" w:rsidP="00FD1D00">
            <w:pPr>
              <w:rPr>
                <w:bCs/>
              </w:rPr>
            </w:pPr>
          </w:p>
          <w:p w:rsidR="00104259" w:rsidRDefault="00104259" w:rsidP="00FD1D00">
            <w:pPr>
              <w:rPr>
                <w:bCs/>
              </w:rPr>
            </w:pPr>
            <w:r w:rsidRPr="00FD1D00">
              <w:rPr>
                <w:bCs/>
                <w:sz w:val="22"/>
                <w:szCs w:val="22"/>
              </w:rPr>
              <w:t xml:space="preserve">This scaling up is important and necessary, but </w:t>
            </w:r>
            <w:r>
              <w:rPr>
                <w:bCs/>
                <w:sz w:val="22"/>
                <w:szCs w:val="22"/>
              </w:rPr>
              <w:t>takes</w:t>
            </w:r>
            <w:r w:rsidRPr="00FD1D00">
              <w:rPr>
                <w:bCs/>
                <w:sz w:val="22"/>
                <w:szCs w:val="22"/>
              </w:rPr>
              <w:t xml:space="preserve"> time.  In </w:t>
            </w:r>
            <w:smartTag w:uri="urn:schemas-microsoft-com:office:smarttags" w:element="country-region">
              <w:smartTag w:uri="urn:schemas-microsoft-com:office:smarttags" w:element="place">
                <w:r>
                  <w:rPr>
                    <w:bCs/>
                    <w:sz w:val="22"/>
                    <w:szCs w:val="22"/>
                  </w:rPr>
                  <w:t>Burma</w:t>
                </w:r>
              </w:smartTag>
            </w:smartTag>
            <w:r w:rsidRPr="00FD1D00">
              <w:rPr>
                <w:bCs/>
                <w:sz w:val="22"/>
                <w:szCs w:val="22"/>
              </w:rPr>
              <w:t xml:space="preserve"> health services are limited </w:t>
            </w:r>
            <w:r>
              <w:rPr>
                <w:bCs/>
                <w:sz w:val="22"/>
                <w:szCs w:val="22"/>
              </w:rPr>
              <w:t>by</w:t>
            </w:r>
            <w:r w:rsidRPr="00FD1D00">
              <w:rPr>
                <w:bCs/>
                <w:sz w:val="22"/>
                <w:szCs w:val="22"/>
              </w:rPr>
              <w:t xml:space="preserve"> low levels of government investment and the problems caused by long term conflict in some areas.  Typically health care coverage is lowest in the more remote border areas with high levels of malaria.  As a consequence most people do not seek treatment in a public health clinic but instead go to their local drug seller</w:t>
            </w:r>
            <w:r>
              <w:rPr>
                <w:bCs/>
                <w:sz w:val="22"/>
                <w:szCs w:val="22"/>
              </w:rPr>
              <w:t>, pharmacy or shop</w:t>
            </w:r>
            <w:r w:rsidRPr="00FD1D00">
              <w:rPr>
                <w:bCs/>
                <w:sz w:val="22"/>
                <w:szCs w:val="22"/>
              </w:rPr>
              <w:t>.  Here they purchase treatment, without being teste</w:t>
            </w:r>
            <w:r>
              <w:rPr>
                <w:bCs/>
                <w:sz w:val="22"/>
                <w:szCs w:val="22"/>
              </w:rPr>
              <w:t>d for malaria. P</w:t>
            </w:r>
            <w:r w:rsidRPr="00FD1D00">
              <w:rPr>
                <w:bCs/>
                <w:sz w:val="22"/>
                <w:szCs w:val="22"/>
              </w:rPr>
              <w:t>eople tend to purchase cheaper, and more readily available, artemisinin monotherapy (and even then, typically purchase partial doses</w:t>
            </w:r>
            <w:r>
              <w:rPr>
                <w:bCs/>
                <w:sz w:val="22"/>
                <w:szCs w:val="22"/>
              </w:rPr>
              <w:t>, as individuals often cannot afford the more expensive complete course of drugs</w:t>
            </w:r>
            <w:r w:rsidRPr="00FD1D00">
              <w:rPr>
                <w:bCs/>
                <w:sz w:val="22"/>
                <w:szCs w:val="22"/>
              </w:rPr>
              <w:t xml:space="preserve">).  </w:t>
            </w:r>
            <w:r>
              <w:rPr>
                <w:bCs/>
                <w:sz w:val="22"/>
                <w:szCs w:val="22"/>
              </w:rPr>
              <w:t>M</w:t>
            </w:r>
            <w:r w:rsidRPr="00FD1D00">
              <w:rPr>
                <w:bCs/>
                <w:sz w:val="22"/>
                <w:szCs w:val="22"/>
              </w:rPr>
              <w:t>any countries have banned the import and sale of these drugs</w:t>
            </w:r>
            <w:r>
              <w:rPr>
                <w:bCs/>
                <w:sz w:val="22"/>
                <w:szCs w:val="22"/>
              </w:rPr>
              <w:t>.</w:t>
            </w:r>
            <w:r w:rsidRPr="00FD1D00">
              <w:rPr>
                <w:bCs/>
                <w:sz w:val="22"/>
                <w:szCs w:val="22"/>
              </w:rPr>
              <w:t xml:space="preserve"> </w:t>
            </w:r>
            <w:r>
              <w:rPr>
                <w:bCs/>
                <w:sz w:val="22"/>
                <w:szCs w:val="22"/>
              </w:rPr>
              <w:t>Burma’s</w:t>
            </w:r>
            <w:r w:rsidRPr="00FD1D00">
              <w:rPr>
                <w:bCs/>
                <w:sz w:val="22"/>
                <w:szCs w:val="22"/>
              </w:rPr>
              <w:t xml:space="preserve"> Food &amp; Drug Ad</w:t>
            </w:r>
            <w:r>
              <w:rPr>
                <w:bCs/>
                <w:sz w:val="22"/>
                <w:szCs w:val="22"/>
              </w:rPr>
              <w:t xml:space="preserve">ministration has recently banned any new importation of artemisinin monotherapy although </w:t>
            </w:r>
            <w:r w:rsidRPr="00FD1D00">
              <w:rPr>
                <w:bCs/>
                <w:sz w:val="22"/>
                <w:szCs w:val="22"/>
              </w:rPr>
              <w:t xml:space="preserve">they can still be purchased in </w:t>
            </w:r>
            <w:r>
              <w:rPr>
                <w:bCs/>
                <w:sz w:val="22"/>
                <w:szCs w:val="22"/>
              </w:rPr>
              <w:t>Burma while existing stocks are used up</w:t>
            </w:r>
            <w:r w:rsidRPr="00FD1D00">
              <w:rPr>
                <w:bCs/>
                <w:sz w:val="22"/>
                <w:szCs w:val="22"/>
              </w:rPr>
              <w:t xml:space="preserve">.  </w:t>
            </w:r>
            <w:r>
              <w:rPr>
                <w:bCs/>
                <w:sz w:val="22"/>
                <w:szCs w:val="22"/>
              </w:rPr>
              <w:t xml:space="preserve">The main artemisinin monotherapies in Burma are artesunate and artemether, and they were banned in December 2011 and August 2012 respectively. </w:t>
            </w:r>
          </w:p>
          <w:p w:rsidR="00104259" w:rsidRPr="00FD1D00" w:rsidRDefault="00104259" w:rsidP="00FD1D00">
            <w:pPr>
              <w:rPr>
                <w:bCs/>
              </w:rPr>
            </w:pPr>
          </w:p>
          <w:p w:rsidR="00104259" w:rsidRDefault="00104259" w:rsidP="00FD1D00">
            <w:pPr>
              <w:rPr>
                <w:bCs/>
              </w:rPr>
            </w:pPr>
            <w:r w:rsidRPr="00FD1D00">
              <w:rPr>
                <w:bCs/>
                <w:sz w:val="22"/>
                <w:szCs w:val="22"/>
              </w:rPr>
              <w:t xml:space="preserve">This project is focused on the most pressing objective of the MARC; the replacement of artemisinin monotherapy with </w:t>
            </w:r>
            <w:r>
              <w:rPr>
                <w:bCs/>
                <w:sz w:val="22"/>
                <w:szCs w:val="22"/>
              </w:rPr>
              <w:t>quality assured</w:t>
            </w:r>
            <w:r w:rsidRPr="00FD1D00">
              <w:rPr>
                <w:bCs/>
                <w:sz w:val="22"/>
                <w:szCs w:val="22"/>
              </w:rPr>
              <w:t xml:space="preserve"> ACTs in the private sector where the majority of people currently seek malaria treatment. PSI, in the first instance, is working through a single major drug distributor in </w:t>
            </w:r>
            <w:r>
              <w:rPr>
                <w:bCs/>
                <w:sz w:val="22"/>
                <w:szCs w:val="22"/>
              </w:rPr>
              <w:t>Burma</w:t>
            </w:r>
            <w:r w:rsidRPr="00FD1D00">
              <w:rPr>
                <w:bCs/>
                <w:sz w:val="22"/>
                <w:szCs w:val="22"/>
              </w:rPr>
              <w:t xml:space="preserve"> (AA Medical Products Ltd.) that at the time of project conception was providing drugs to the majority of the private sector in </w:t>
            </w:r>
            <w:r>
              <w:rPr>
                <w:bCs/>
                <w:sz w:val="22"/>
                <w:szCs w:val="22"/>
              </w:rPr>
              <w:t>Burma</w:t>
            </w:r>
            <w:r w:rsidRPr="00FD1D00">
              <w:rPr>
                <w:bCs/>
                <w:sz w:val="22"/>
                <w:szCs w:val="22"/>
              </w:rPr>
              <w:t xml:space="preserve"> (accounting for approximately 70% of the market share).  </w:t>
            </w:r>
          </w:p>
          <w:p w:rsidR="00104259" w:rsidRDefault="00104259" w:rsidP="00FD1D00">
            <w:pPr>
              <w:rPr>
                <w:bCs/>
              </w:rPr>
            </w:pPr>
          </w:p>
          <w:p w:rsidR="00104259" w:rsidRPr="00FD1D00" w:rsidRDefault="00104259" w:rsidP="00FD1D00">
            <w:pPr>
              <w:rPr>
                <w:bCs/>
                <w:lang w:val="en-US"/>
              </w:rPr>
            </w:pPr>
            <w:r w:rsidRPr="00FD1D00">
              <w:rPr>
                <w:bCs/>
                <w:sz w:val="22"/>
                <w:szCs w:val="22"/>
              </w:rPr>
              <w:t xml:space="preserve">Working with them, PSI aims to rapidly replace the current supply of AMT with a subsidised ACT across the country.  This effort is being supported with a national ban on the importation and sale of oral artemisinin </w:t>
            </w:r>
            <w:r>
              <w:rPr>
                <w:bCs/>
                <w:sz w:val="22"/>
                <w:szCs w:val="22"/>
              </w:rPr>
              <w:t>monotherapies. In the project this</w:t>
            </w:r>
            <w:r w:rsidRPr="00FD1D00">
              <w:rPr>
                <w:bCs/>
                <w:sz w:val="22"/>
                <w:szCs w:val="22"/>
              </w:rPr>
              <w:t xml:space="preserve"> </w:t>
            </w:r>
            <w:r>
              <w:rPr>
                <w:bCs/>
                <w:sz w:val="22"/>
                <w:szCs w:val="22"/>
              </w:rPr>
              <w:t>action will be</w:t>
            </w:r>
            <w:r w:rsidRPr="00FD1D00">
              <w:rPr>
                <w:bCs/>
                <w:sz w:val="22"/>
                <w:szCs w:val="22"/>
              </w:rPr>
              <w:t xml:space="preserve"> supplemented by national communication campaigns to encourage the public to demand a </w:t>
            </w:r>
            <w:r>
              <w:rPr>
                <w:bCs/>
                <w:sz w:val="22"/>
                <w:szCs w:val="22"/>
              </w:rPr>
              <w:t>QA</w:t>
            </w:r>
            <w:r w:rsidRPr="00FD1D00">
              <w:rPr>
                <w:bCs/>
                <w:sz w:val="22"/>
                <w:szCs w:val="22"/>
              </w:rPr>
              <w:t xml:space="preserve"> ACT from drug sellers as well as training private drug sellers to use rapid diagnostic tests </w:t>
            </w:r>
            <w:r>
              <w:rPr>
                <w:bCs/>
                <w:sz w:val="22"/>
                <w:szCs w:val="22"/>
              </w:rPr>
              <w:t xml:space="preserve">(RDT) </w:t>
            </w:r>
            <w:r w:rsidRPr="00FD1D00">
              <w:rPr>
                <w:bCs/>
                <w:sz w:val="22"/>
                <w:szCs w:val="22"/>
              </w:rPr>
              <w:t xml:space="preserve">(when available) so that it can be determined whether or not the person has malaria and treat them correctly.  While private sector coverage is national there will </w:t>
            </w:r>
            <w:r>
              <w:rPr>
                <w:bCs/>
                <w:sz w:val="22"/>
                <w:szCs w:val="22"/>
              </w:rPr>
              <w:t>be particular emphasis on 92 townships in</w:t>
            </w:r>
            <w:r w:rsidRPr="00FD1D00">
              <w:rPr>
                <w:bCs/>
                <w:sz w:val="22"/>
                <w:szCs w:val="22"/>
              </w:rPr>
              <w:t xml:space="preserve"> eastern </w:t>
            </w:r>
            <w:r>
              <w:rPr>
                <w:bCs/>
                <w:sz w:val="22"/>
                <w:szCs w:val="22"/>
              </w:rPr>
              <w:t>Burma</w:t>
            </w:r>
            <w:r w:rsidRPr="00FD1D00">
              <w:rPr>
                <w:bCs/>
                <w:sz w:val="22"/>
                <w:szCs w:val="22"/>
              </w:rPr>
              <w:t xml:space="preserve"> where there are identified </w:t>
            </w:r>
            <w:r>
              <w:rPr>
                <w:bCs/>
                <w:sz w:val="22"/>
                <w:szCs w:val="22"/>
              </w:rPr>
              <w:t xml:space="preserve">areas which show artemisinin </w:t>
            </w:r>
            <w:r w:rsidRPr="00FD1D00">
              <w:rPr>
                <w:bCs/>
                <w:sz w:val="22"/>
                <w:szCs w:val="22"/>
              </w:rPr>
              <w:t xml:space="preserve">resistance </w:t>
            </w:r>
            <w:r>
              <w:rPr>
                <w:bCs/>
                <w:sz w:val="22"/>
                <w:szCs w:val="22"/>
              </w:rPr>
              <w:t>or are vulnerable to resistance.</w:t>
            </w:r>
            <w:r w:rsidRPr="00FD1D00">
              <w:rPr>
                <w:bCs/>
                <w:sz w:val="22"/>
                <w:szCs w:val="22"/>
              </w:rPr>
              <w:t xml:space="preserve">  Working with the private sector is one of the few ways to reach (at scale) the most remote and conflict affected people </w:t>
            </w:r>
            <w:r>
              <w:rPr>
                <w:bCs/>
                <w:sz w:val="22"/>
                <w:szCs w:val="22"/>
              </w:rPr>
              <w:t>who have</w:t>
            </w:r>
            <w:r w:rsidRPr="00FD1D00">
              <w:rPr>
                <w:bCs/>
                <w:sz w:val="22"/>
                <w:szCs w:val="22"/>
              </w:rPr>
              <w:t xml:space="preserve"> limited access to formal health services.</w:t>
            </w:r>
          </w:p>
          <w:p w:rsidR="00104259" w:rsidRDefault="00104259" w:rsidP="00C94C53">
            <w:pPr>
              <w:rPr>
                <w:bCs/>
                <w:lang w:val="en-US"/>
              </w:rPr>
            </w:pPr>
            <w:r w:rsidRPr="00FD1D00">
              <w:rPr>
                <w:bCs/>
                <w:sz w:val="22"/>
                <w:szCs w:val="22"/>
                <w:lang w:val="en-US"/>
              </w:rPr>
              <w:br w:type="page"/>
            </w:r>
          </w:p>
          <w:p w:rsidR="00104259" w:rsidRDefault="00104259" w:rsidP="00C94C53">
            <w:pPr>
              <w:rPr>
                <w:bCs/>
              </w:rPr>
            </w:pPr>
            <w:r>
              <w:rPr>
                <w:bCs/>
                <w:sz w:val="22"/>
                <w:szCs w:val="22"/>
              </w:rPr>
              <w:t xml:space="preserve">There have been a number of challenges and changes in the operating context since the project was designed and approved in July 2011. </w:t>
            </w:r>
          </w:p>
          <w:p w:rsidR="00104259" w:rsidRDefault="00104259" w:rsidP="00C94C53">
            <w:pPr>
              <w:rPr>
                <w:bCs/>
              </w:rPr>
            </w:pPr>
          </w:p>
          <w:p w:rsidR="00104259" w:rsidRDefault="00104259" w:rsidP="00293C9A">
            <w:pPr>
              <w:rPr>
                <w:bCs/>
              </w:rPr>
            </w:pPr>
            <w:r>
              <w:rPr>
                <w:bCs/>
                <w:sz w:val="22"/>
                <w:szCs w:val="22"/>
              </w:rPr>
              <w:t xml:space="preserve">First, at the start of the project in October 2011, PSI did not have a valid MOU with government and so was not able to initiate some key project activities. In particular it was not possible to obtain permission for survey research or for importation of ACT drugs although some activities were able to go ahead (for example recruitment of project staff). A new two-year MOU was signed in March 2012. As a result there has been a delay of about 4 – 6 months compared to the work programme envisaged for Year One of this project. </w:t>
            </w:r>
          </w:p>
          <w:p w:rsidR="00104259" w:rsidRDefault="00104259" w:rsidP="00293C9A">
            <w:pPr>
              <w:rPr>
                <w:bCs/>
              </w:rPr>
            </w:pPr>
          </w:p>
          <w:p w:rsidR="00104259" w:rsidRDefault="00104259" w:rsidP="00C94C53">
            <w:pPr>
              <w:rPr>
                <w:bCs/>
              </w:rPr>
            </w:pPr>
            <w:r>
              <w:rPr>
                <w:bCs/>
                <w:sz w:val="22"/>
                <w:szCs w:val="22"/>
              </w:rPr>
              <w:t>Secondly, in 2011 as part of government restructuring, new local state and division level governments have been established. In some instances this restructuring has led to some delays in receiving the necessary approvals for project activities at the local level (for example, the three baseline surveys: of the supply chain, private sector outlets and of households). Permission to undertake the household survey required particularly focused advocacy with government authorities.</w:t>
            </w:r>
          </w:p>
          <w:p w:rsidR="00104259" w:rsidRDefault="00104259" w:rsidP="00C94C53">
            <w:pPr>
              <w:rPr>
                <w:bCs/>
              </w:rPr>
            </w:pPr>
          </w:p>
          <w:p w:rsidR="00104259" w:rsidRDefault="00104259" w:rsidP="00C94C53">
            <w:pPr>
              <w:rPr>
                <w:bCs/>
              </w:rPr>
            </w:pPr>
            <w:r>
              <w:rPr>
                <w:bCs/>
                <w:sz w:val="22"/>
                <w:szCs w:val="22"/>
              </w:rPr>
              <w:t xml:space="preserve">Thirdly under MARC, with financial support from the 3DF, there has been a concerted effort by the Government, donors, technical agencies and NGOs to scale up access to quality assured ACTs in the public sector in priority areas. Village health volunteers (who are not part of the formal public sector but work at the periphery of the formal health system) have been supplied with RDTs and ACTs and trained in their use, making these more widely available in some areas than before. </w:t>
            </w:r>
          </w:p>
          <w:p w:rsidR="00104259" w:rsidRDefault="00104259" w:rsidP="00C94C53">
            <w:pPr>
              <w:rPr>
                <w:bCs/>
              </w:rPr>
            </w:pPr>
          </w:p>
          <w:p w:rsidR="00104259" w:rsidRPr="00FD1D00" w:rsidRDefault="00104259" w:rsidP="00C94C53">
            <w:pPr>
              <w:rPr>
                <w:bCs/>
              </w:rPr>
            </w:pPr>
            <w:r>
              <w:rPr>
                <w:bCs/>
                <w:sz w:val="22"/>
                <w:szCs w:val="22"/>
              </w:rPr>
              <w:t>Fourthly, the regulations on the import and sale of AMT in Burma have changed. In December 2011, the government’s Food and Drug Administration banned ‘artesunate’ an AMT. This led to rapid reductions in the availability of this AMT in the retail supply chain. In August 2012, the government banned ‘artemether’ another AMT which had to a large extent taken the place of artesunate in the retail supply chain. The banning of both these AMTs is very important in supporting the aims of this project.</w:t>
            </w:r>
          </w:p>
          <w:p w:rsidR="00104259" w:rsidRPr="00FD1D00" w:rsidRDefault="00104259" w:rsidP="00C94C53">
            <w:pPr>
              <w:rPr>
                <w:bCs/>
              </w:rPr>
            </w:pPr>
          </w:p>
        </w:tc>
      </w:tr>
    </w:tbl>
    <w:p w:rsidR="00104259" w:rsidRDefault="00104259" w:rsidP="00E74FE1">
      <w:pPr>
        <w:pStyle w:val="Heading2"/>
        <w:rPr>
          <w:i w:val="0"/>
        </w:rPr>
      </w:pPr>
    </w:p>
    <w:p w:rsidR="00104259" w:rsidRDefault="00104259" w:rsidP="00E74FE1">
      <w:pPr>
        <w:pStyle w:val="Heading2"/>
        <w:rPr>
          <w:i w:val="0"/>
        </w:rPr>
      </w:pPr>
      <w:r w:rsidRPr="0009310B">
        <w:rPr>
          <w:i w:val="0"/>
        </w:rPr>
        <w:t xml:space="preserve">Section </w:t>
      </w:r>
      <w:r>
        <w:rPr>
          <w:i w:val="0"/>
        </w:rPr>
        <w:t>A</w:t>
      </w:r>
      <w:r w:rsidRPr="0009310B">
        <w:rPr>
          <w:i w:val="0"/>
        </w:rPr>
        <w:t>: Detailed Output Scoring</w:t>
      </w:r>
    </w:p>
    <w:p w:rsidR="00104259" w:rsidRPr="00EC3637" w:rsidRDefault="00104259" w:rsidP="00E74FE1"/>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5"/>
        <w:gridCol w:w="10255"/>
      </w:tblGrid>
      <w:tr>
        <w:tc>
          <w:tcPr>
            <w:tcW w:w="10260" w:type="dxa"/>
            <w:gridSpan w:val="2"/>
            <w:tcBorders>
              <w:top w:val="single" w:sz="6" w:space="0" w:color="000000"/>
              <w:bottom w:val="single" w:sz="6" w:space="0" w:color="000000"/>
            </w:tcBorders>
            <w:shd w:val="pct30" w:color="FFFF00" w:fill="FFFFFF"/>
          </w:tcPr>
          <w:p w:rsidR="00104259" w:rsidRPr="007B4757" w:rsidRDefault="00104259" w:rsidP="008A72A6">
            <w:pPr>
              <w:pStyle w:val="Heading2"/>
              <w:rPr>
                <w:b w:val="0"/>
                <w:bCs w:val="0"/>
                <w:i w:val="0"/>
                <w:sz w:val="24"/>
                <w:szCs w:val="24"/>
              </w:rPr>
            </w:pPr>
            <w:r>
              <w:rPr>
                <w:b w:val="0"/>
                <w:bCs w:val="0"/>
                <w:i w:val="0"/>
                <w:sz w:val="24"/>
                <w:szCs w:val="24"/>
              </w:rPr>
              <w:t>Output 1: Increased opportunity, ability and motivation of private sector providers to effectively prescribe and dispense nationally approved, quality assured ACT (QAACT)</w:t>
            </w:r>
          </w:p>
        </w:tc>
      </w:tr>
      <w:tr>
        <w:trPr>
          <w:gridBefore w:val="1"/>
        </w:trPr>
        <w:tc>
          <w:tcPr>
            <w:tcW w:w="10260" w:type="dxa"/>
          </w:tcPr>
          <w:p w:rsidR="00104259" w:rsidRPr="008A5D9B" w:rsidRDefault="00104259" w:rsidP="008A5D9B">
            <w:pPr>
              <w:spacing w:before="240" w:after="60"/>
              <w:rPr>
                <w:b/>
                <w:bCs/>
              </w:rPr>
            </w:pPr>
            <w:r w:rsidRPr="007B4757">
              <w:rPr>
                <w:b/>
                <w:bCs/>
                <w:sz w:val="22"/>
                <w:szCs w:val="22"/>
              </w:rPr>
              <w:t xml:space="preserve">Output 1 score and performance description:  </w:t>
            </w:r>
            <w:r w:rsidRPr="008A5D9B">
              <w:rPr>
                <w:b/>
                <w:bCs/>
                <w:sz w:val="22"/>
                <w:szCs w:val="22"/>
              </w:rPr>
              <w:t xml:space="preserve">C (Output substantially did not meet expectation)  </w:t>
            </w:r>
          </w:p>
          <w:p w:rsidR="00104259" w:rsidRDefault="00104259" w:rsidP="007B4757">
            <w:pPr>
              <w:spacing w:before="240" w:after="60"/>
              <w:rPr>
                <w:bCs/>
              </w:rPr>
            </w:pPr>
            <w:r>
              <w:rPr>
                <w:bCs/>
                <w:sz w:val="22"/>
                <w:szCs w:val="22"/>
              </w:rPr>
              <w:t xml:space="preserve">Under this output, PSI is expected to: </w:t>
            </w:r>
          </w:p>
          <w:p w:rsidR="00104259" w:rsidRDefault="00104259" w:rsidP="00B8453E">
            <w:pPr>
              <w:numPr>
                <w:ilvl w:val="0"/>
                <w:numId w:val="30"/>
              </w:numPr>
              <w:spacing w:before="60" w:after="60"/>
              <w:rPr>
                <w:bCs/>
              </w:rPr>
            </w:pPr>
            <w:r>
              <w:rPr>
                <w:bCs/>
                <w:sz w:val="22"/>
                <w:szCs w:val="22"/>
              </w:rPr>
              <w:t xml:space="preserve">measure the availability of AMT and QAACT in the private sector through an </w:t>
            </w:r>
            <w:r w:rsidRPr="001F66D6">
              <w:rPr>
                <w:b/>
                <w:bCs/>
                <w:sz w:val="22"/>
                <w:szCs w:val="22"/>
              </w:rPr>
              <w:t>Outlet Survey</w:t>
            </w:r>
            <w:r>
              <w:rPr>
                <w:bCs/>
                <w:sz w:val="22"/>
                <w:szCs w:val="22"/>
              </w:rPr>
              <w:t xml:space="preserve"> at the start of the project, </w:t>
            </w:r>
          </w:p>
          <w:p w:rsidR="00104259" w:rsidRDefault="00104259" w:rsidP="00B8453E">
            <w:pPr>
              <w:numPr>
                <w:ilvl w:val="0"/>
                <w:numId w:val="30"/>
              </w:numPr>
              <w:spacing w:before="60" w:after="60"/>
              <w:rPr>
                <w:bCs/>
              </w:rPr>
            </w:pPr>
            <w:r>
              <w:rPr>
                <w:bCs/>
                <w:sz w:val="22"/>
                <w:szCs w:val="22"/>
              </w:rPr>
              <w:t xml:space="preserve">work along side the Government of Burma over the </w:t>
            </w:r>
            <w:r w:rsidRPr="001F66D6">
              <w:rPr>
                <w:b/>
                <w:bCs/>
                <w:sz w:val="22"/>
                <w:szCs w:val="22"/>
              </w:rPr>
              <w:t>banning of AMTs</w:t>
            </w:r>
            <w:r>
              <w:rPr>
                <w:bCs/>
                <w:sz w:val="22"/>
                <w:szCs w:val="22"/>
              </w:rPr>
              <w:t xml:space="preserve">, </w:t>
            </w:r>
          </w:p>
          <w:p w:rsidR="00104259" w:rsidRDefault="00104259" w:rsidP="00B8453E">
            <w:pPr>
              <w:numPr>
                <w:ilvl w:val="0"/>
                <w:numId w:val="30"/>
              </w:numPr>
              <w:spacing w:before="60" w:after="60"/>
              <w:rPr>
                <w:bCs/>
              </w:rPr>
            </w:pPr>
            <w:r w:rsidRPr="001F66D6">
              <w:rPr>
                <w:b/>
                <w:bCs/>
                <w:sz w:val="22"/>
                <w:szCs w:val="22"/>
              </w:rPr>
              <w:t>procure QAACTs</w:t>
            </w:r>
            <w:r>
              <w:rPr>
                <w:bCs/>
                <w:sz w:val="22"/>
                <w:szCs w:val="22"/>
              </w:rPr>
              <w:t xml:space="preserve"> on the global market</w:t>
            </w:r>
          </w:p>
          <w:p w:rsidR="00104259" w:rsidRDefault="00104259" w:rsidP="00B8453E">
            <w:pPr>
              <w:numPr>
                <w:ilvl w:val="0"/>
                <w:numId w:val="30"/>
              </w:numPr>
              <w:spacing w:before="60" w:after="60"/>
              <w:rPr>
                <w:bCs/>
              </w:rPr>
            </w:pPr>
            <w:r>
              <w:rPr>
                <w:b/>
                <w:bCs/>
                <w:sz w:val="22"/>
                <w:szCs w:val="22"/>
              </w:rPr>
              <w:t>agree</w:t>
            </w:r>
            <w:r w:rsidRPr="001F66D6">
              <w:rPr>
                <w:b/>
                <w:bCs/>
                <w:sz w:val="22"/>
                <w:szCs w:val="22"/>
              </w:rPr>
              <w:t xml:space="preserve"> a distribution contract</w:t>
            </w:r>
            <w:r>
              <w:rPr>
                <w:bCs/>
                <w:sz w:val="22"/>
                <w:szCs w:val="22"/>
              </w:rPr>
              <w:t xml:space="preserve"> with a national pharmaceutical distributor to  distribute QAACTs through relevant private sector channels for sale at a price less than or equal to the cost of a typical dose of the most common AMT</w:t>
            </w:r>
          </w:p>
          <w:p w:rsidR="00104259" w:rsidRDefault="00104259" w:rsidP="00B8453E">
            <w:pPr>
              <w:numPr>
                <w:ilvl w:val="0"/>
                <w:numId w:val="30"/>
              </w:numPr>
              <w:spacing w:before="60" w:after="60"/>
              <w:rPr>
                <w:bCs/>
              </w:rPr>
            </w:pPr>
            <w:r w:rsidRPr="001F66D6">
              <w:rPr>
                <w:b/>
                <w:bCs/>
                <w:sz w:val="22"/>
                <w:szCs w:val="22"/>
              </w:rPr>
              <w:t>deliver QAACTs to the pharmaceutical distributor</w:t>
            </w:r>
            <w:r>
              <w:rPr>
                <w:bCs/>
                <w:sz w:val="22"/>
                <w:szCs w:val="22"/>
              </w:rPr>
              <w:t xml:space="preserve"> and monitor their availability, marketing and price to consumers annually through further Outlet Surveys</w:t>
            </w:r>
          </w:p>
          <w:p w:rsidR="00104259" w:rsidRPr="00B5407A" w:rsidRDefault="00104259" w:rsidP="007B4757">
            <w:pPr>
              <w:numPr>
                <w:ilvl w:val="0"/>
                <w:numId w:val="30"/>
              </w:numPr>
              <w:spacing w:before="240" w:after="60"/>
              <w:rPr>
                <w:b/>
                <w:bCs/>
              </w:rPr>
            </w:pPr>
            <w:r w:rsidRPr="00B5407A">
              <w:rPr>
                <w:b/>
                <w:bCs/>
                <w:sz w:val="22"/>
                <w:szCs w:val="22"/>
              </w:rPr>
              <w:t>sell 1.8m doses of QAACT</w:t>
            </w:r>
            <w:r w:rsidRPr="00B5407A">
              <w:rPr>
                <w:bCs/>
                <w:sz w:val="22"/>
                <w:szCs w:val="22"/>
              </w:rPr>
              <w:t xml:space="preserve"> to the </w:t>
            </w:r>
            <w:r>
              <w:rPr>
                <w:bCs/>
                <w:sz w:val="22"/>
                <w:szCs w:val="22"/>
              </w:rPr>
              <w:t xml:space="preserve">pharmaceutical </w:t>
            </w:r>
            <w:r w:rsidRPr="00B5407A">
              <w:rPr>
                <w:bCs/>
                <w:sz w:val="22"/>
                <w:szCs w:val="22"/>
              </w:rPr>
              <w:t xml:space="preserve">distributor in Year </w:t>
            </w:r>
            <w:r>
              <w:rPr>
                <w:bCs/>
                <w:sz w:val="22"/>
                <w:szCs w:val="22"/>
              </w:rPr>
              <w:t>One</w:t>
            </w:r>
          </w:p>
          <w:p w:rsidR="00104259" w:rsidRPr="00B5407A" w:rsidRDefault="00104259" w:rsidP="00B5407A">
            <w:pPr>
              <w:spacing w:before="240" w:after="60"/>
              <w:rPr>
                <w:b/>
                <w:bCs/>
              </w:rPr>
            </w:pPr>
            <w:r w:rsidRPr="00B5407A">
              <w:rPr>
                <w:b/>
                <w:bCs/>
                <w:sz w:val="22"/>
                <w:szCs w:val="22"/>
              </w:rPr>
              <w:t xml:space="preserve">Progress against expected results: </w:t>
            </w:r>
          </w:p>
          <w:p w:rsidR="00104259" w:rsidRDefault="00104259" w:rsidP="007B4757">
            <w:pPr>
              <w:pBdr>
                <w:bottom w:val="single" w:sz="12" w:space="1" w:color="auto"/>
              </w:pBdr>
              <w:spacing w:before="240" w:after="60"/>
              <w:rPr>
                <w:bCs/>
              </w:rPr>
            </w:pPr>
            <w:r w:rsidRPr="00B5407A">
              <w:rPr>
                <w:b/>
                <w:bCs/>
                <w:sz w:val="22"/>
                <w:szCs w:val="22"/>
              </w:rPr>
              <w:t>In summary</w:t>
            </w:r>
            <w:r>
              <w:rPr>
                <w:bCs/>
                <w:sz w:val="22"/>
                <w:szCs w:val="22"/>
              </w:rPr>
              <w:t>: Items 1 to 5 have been achieved by the end of year 1 but all (except 2) were delayed by between 4 or 6 months because PSI did not have an MOU with the government. Once PSI signed the MOU with the Government in March 2012, PSI accelerated progress on all fronts but was not able to achieve all the milestones for Year 1 in the time available. Critically for the success of this project, QAACT was only supplied to the private sector distributor in September which is late in the malaria transmission season. At the time of the review in October,</w:t>
            </w:r>
            <w:r w:rsidRPr="00B5407A">
              <w:rPr>
                <w:bCs/>
                <w:sz w:val="22"/>
                <w:szCs w:val="22"/>
              </w:rPr>
              <w:t xml:space="preserve"> </w:t>
            </w:r>
            <w:r>
              <w:rPr>
                <w:bCs/>
                <w:sz w:val="22"/>
                <w:szCs w:val="22"/>
              </w:rPr>
              <w:t xml:space="preserve">the pharmaceutical distributor </w:t>
            </w:r>
            <w:r w:rsidRPr="00B5407A">
              <w:rPr>
                <w:bCs/>
                <w:sz w:val="22"/>
                <w:szCs w:val="22"/>
              </w:rPr>
              <w:t xml:space="preserve">had placed orders of 200,000 </w:t>
            </w:r>
            <w:r>
              <w:rPr>
                <w:bCs/>
                <w:sz w:val="22"/>
                <w:szCs w:val="22"/>
              </w:rPr>
              <w:t>adult equivalent treatment dose (AETD)</w:t>
            </w:r>
            <w:r w:rsidRPr="00B5407A">
              <w:rPr>
                <w:bCs/>
                <w:sz w:val="22"/>
                <w:szCs w:val="22"/>
              </w:rPr>
              <w:t xml:space="preserve"> against a Year One sales target of 1.8m.</w:t>
            </w:r>
          </w:p>
          <w:p w:rsidR="00104259" w:rsidRDefault="00104259" w:rsidP="007B4757">
            <w:pPr>
              <w:spacing w:before="240" w:after="60"/>
              <w:rPr>
                <w:bCs/>
              </w:rPr>
            </w:pPr>
            <w:r>
              <w:rPr>
                <w:bCs/>
                <w:sz w:val="22"/>
                <w:szCs w:val="22"/>
              </w:rPr>
              <w:t xml:space="preserve">PSI undertook the nationally representative </w:t>
            </w:r>
            <w:r w:rsidRPr="007A7200">
              <w:rPr>
                <w:b/>
                <w:bCs/>
                <w:sz w:val="22"/>
                <w:szCs w:val="22"/>
              </w:rPr>
              <w:t>Outlet Survey</w:t>
            </w:r>
            <w:r>
              <w:rPr>
                <w:bCs/>
                <w:sz w:val="22"/>
                <w:szCs w:val="22"/>
              </w:rPr>
              <w:t xml:space="preserve"> (2012) between March and May. The headline results of the survey have informed the project’s strategy for AMT replacement in the private sector. The survey showed that there are five types of private sector outlets that sell/ provide </w:t>
            </w:r>
            <w:r w:rsidRPr="00EC56D5">
              <w:rPr>
                <w:bCs/>
                <w:sz w:val="22"/>
                <w:szCs w:val="22"/>
              </w:rPr>
              <w:t xml:space="preserve">AMT and other non-QAACT </w:t>
            </w:r>
            <w:r>
              <w:rPr>
                <w:bCs/>
                <w:sz w:val="22"/>
                <w:szCs w:val="22"/>
              </w:rPr>
              <w:t xml:space="preserve">antimalarial drugs of which three are particular priorities under this project: </w:t>
            </w:r>
            <w:r w:rsidRPr="00EC56D5">
              <w:rPr>
                <w:b/>
                <w:bCs/>
                <w:sz w:val="22"/>
                <w:szCs w:val="22"/>
              </w:rPr>
              <w:t>pharmacies/ drug sellers, itinerant drug vendors (IDV) and general retailers</w:t>
            </w:r>
            <w:r>
              <w:rPr>
                <w:bCs/>
                <w:sz w:val="22"/>
                <w:szCs w:val="22"/>
              </w:rPr>
              <w:t xml:space="preserve"> (these are ‘priority outlets’). A further important finding was that full AMT doses were often divided to make them affordable.</w:t>
            </w:r>
          </w:p>
          <w:p w:rsidR="00104259" w:rsidRDefault="00104259" w:rsidP="007B4757">
            <w:pPr>
              <w:spacing w:before="240" w:after="60"/>
              <w:rPr>
                <w:bCs/>
              </w:rPr>
            </w:pPr>
            <w:r>
              <w:rPr>
                <w:bCs/>
                <w:sz w:val="22"/>
                <w:szCs w:val="22"/>
              </w:rPr>
              <w:t xml:space="preserve">In June, </w:t>
            </w:r>
            <w:r>
              <w:rPr>
                <w:b/>
                <w:bCs/>
                <w:sz w:val="22"/>
                <w:szCs w:val="22"/>
              </w:rPr>
              <w:t>PSI</w:t>
            </w:r>
            <w:r w:rsidRPr="007A7200">
              <w:rPr>
                <w:b/>
                <w:bCs/>
                <w:sz w:val="22"/>
                <w:szCs w:val="22"/>
              </w:rPr>
              <w:t xml:space="preserve"> concluded a sales and distribution services agreement</w:t>
            </w:r>
            <w:r>
              <w:rPr>
                <w:bCs/>
                <w:sz w:val="22"/>
                <w:szCs w:val="22"/>
              </w:rPr>
              <w:t xml:space="preserve"> with the pharmaceutical distributor (AA Medical Products Limited (AA)) who was the dominant market distributor of AMT in eastern Burma at the time of the project design in 2011. The agreement sets out the terms and conditions under which PSI will provide quality assured ACT to AA for onward distribution through its network of wholesalers and retailers. The agreement contains the assurances requested in the DFID Business Case and MOU with PSI.  These include the distributor agreeing to sell the ACTs at a price not exceeding the priced nominated by PSI; the distributor agreeing to adhere to the national ban on AMTs; that PSI has the right to supply ACTs to other organisations, including other private distributors; and that the distributor will adhere to appropriate standards of transparency and accountability.  </w:t>
            </w:r>
          </w:p>
          <w:p w:rsidR="00104259" w:rsidRDefault="00104259" w:rsidP="007B4757">
            <w:pPr>
              <w:spacing w:before="240" w:after="60"/>
              <w:rPr>
                <w:bCs/>
              </w:rPr>
            </w:pPr>
            <w:r>
              <w:rPr>
                <w:b/>
                <w:bCs/>
                <w:sz w:val="22"/>
                <w:szCs w:val="22"/>
              </w:rPr>
              <w:t>PSI</w:t>
            </w:r>
            <w:r w:rsidRPr="00824FDA">
              <w:rPr>
                <w:b/>
                <w:bCs/>
                <w:sz w:val="22"/>
                <w:szCs w:val="22"/>
              </w:rPr>
              <w:t xml:space="preserve"> procured QAACT</w:t>
            </w:r>
            <w:r>
              <w:rPr>
                <w:bCs/>
                <w:sz w:val="22"/>
                <w:szCs w:val="22"/>
              </w:rPr>
              <w:t xml:space="preserve"> from IPCA (an Indian firm) under an indefinite quantity contract (IQC) and the first shipment arrived in July. The price of the QAACT is fixed for two years. </w:t>
            </w:r>
          </w:p>
          <w:p w:rsidR="00104259" w:rsidRDefault="00104259" w:rsidP="00530E0E">
            <w:pPr>
              <w:spacing w:before="240" w:after="60"/>
              <w:rPr>
                <w:bCs/>
              </w:rPr>
            </w:pPr>
            <w:r>
              <w:rPr>
                <w:bCs/>
                <w:sz w:val="22"/>
                <w:szCs w:val="22"/>
              </w:rPr>
              <w:t xml:space="preserve">A visit to </w:t>
            </w:r>
            <w:r w:rsidRPr="00C363D1">
              <w:rPr>
                <w:bCs/>
                <w:sz w:val="22"/>
                <w:szCs w:val="22"/>
              </w:rPr>
              <w:t xml:space="preserve">Thanintharyi Division </w:t>
            </w:r>
            <w:r>
              <w:rPr>
                <w:bCs/>
                <w:sz w:val="22"/>
                <w:szCs w:val="22"/>
              </w:rPr>
              <w:t xml:space="preserve">in southern Burma </w:t>
            </w:r>
            <w:r w:rsidRPr="00C363D1">
              <w:rPr>
                <w:bCs/>
                <w:sz w:val="22"/>
                <w:szCs w:val="22"/>
              </w:rPr>
              <w:t>(</w:t>
            </w:r>
            <w:r>
              <w:rPr>
                <w:bCs/>
                <w:sz w:val="22"/>
                <w:szCs w:val="22"/>
              </w:rPr>
              <w:t xml:space="preserve">a </w:t>
            </w:r>
            <w:r w:rsidRPr="00C363D1">
              <w:rPr>
                <w:bCs/>
                <w:sz w:val="22"/>
                <w:szCs w:val="22"/>
              </w:rPr>
              <w:t>Tier One</w:t>
            </w:r>
            <w:r>
              <w:rPr>
                <w:bCs/>
                <w:sz w:val="22"/>
                <w:szCs w:val="22"/>
              </w:rPr>
              <w:t xml:space="preserve"> area, which is high priority for MARC</w:t>
            </w:r>
            <w:r w:rsidRPr="00C363D1">
              <w:rPr>
                <w:bCs/>
                <w:sz w:val="22"/>
                <w:szCs w:val="22"/>
              </w:rPr>
              <w:t xml:space="preserve">), </w:t>
            </w:r>
            <w:r>
              <w:rPr>
                <w:bCs/>
                <w:sz w:val="22"/>
                <w:szCs w:val="22"/>
              </w:rPr>
              <w:t xml:space="preserve">confirmed that </w:t>
            </w:r>
            <w:r w:rsidRPr="00C363D1">
              <w:rPr>
                <w:bCs/>
                <w:sz w:val="22"/>
                <w:szCs w:val="22"/>
              </w:rPr>
              <w:t>wholesalers, retailers, private doctor</w:t>
            </w:r>
            <w:r>
              <w:rPr>
                <w:bCs/>
                <w:sz w:val="22"/>
                <w:szCs w:val="22"/>
              </w:rPr>
              <w:t>s</w:t>
            </w:r>
            <w:r w:rsidRPr="00C363D1">
              <w:rPr>
                <w:bCs/>
                <w:sz w:val="22"/>
                <w:szCs w:val="22"/>
              </w:rPr>
              <w:t xml:space="preserve"> and </w:t>
            </w:r>
            <w:r>
              <w:rPr>
                <w:bCs/>
                <w:sz w:val="22"/>
                <w:szCs w:val="22"/>
              </w:rPr>
              <w:t>itinerant drug vendors</w:t>
            </w:r>
            <w:r w:rsidRPr="00C363D1">
              <w:rPr>
                <w:bCs/>
                <w:sz w:val="22"/>
                <w:szCs w:val="22"/>
              </w:rPr>
              <w:t xml:space="preserve"> have stock of </w:t>
            </w:r>
            <w:r>
              <w:rPr>
                <w:bCs/>
                <w:sz w:val="22"/>
                <w:szCs w:val="22"/>
              </w:rPr>
              <w:t xml:space="preserve">the </w:t>
            </w:r>
            <w:r w:rsidRPr="00C363D1">
              <w:rPr>
                <w:bCs/>
                <w:sz w:val="22"/>
                <w:szCs w:val="22"/>
              </w:rPr>
              <w:t>QA ACT</w:t>
            </w:r>
            <w:r>
              <w:rPr>
                <w:bCs/>
                <w:sz w:val="22"/>
                <w:szCs w:val="22"/>
              </w:rPr>
              <w:t xml:space="preserve"> provided by PSI to AA and are now selling QA ACT</w:t>
            </w:r>
            <w:r>
              <w:rPr>
                <w:b/>
                <w:bCs/>
                <w:sz w:val="22"/>
                <w:szCs w:val="22"/>
              </w:rPr>
              <w:t xml:space="preserve">. </w:t>
            </w:r>
            <w:r w:rsidRPr="00530E0E">
              <w:rPr>
                <w:bCs/>
                <w:sz w:val="22"/>
                <w:szCs w:val="22"/>
              </w:rPr>
              <w:t>The field visit</w:t>
            </w:r>
            <w:r>
              <w:rPr>
                <w:b/>
                <w:bCs/>
                <w:sz w:val="22"/>
                <w:szCs w:val="22"/>
              </w:rPr>
              <w:t xml:space="preserve"> </w:t>
            </w:r>
            <w:r w:rsidRPr="00530E0E">
              <w:rPr>
                <w:bCs/>
                <w:sz w:val="22"/>
                <w:szCs w:val="22"/>
              </w:rPr>
              <w:t xml:space="preserve">also confirmed that although </w:t>
            </w:r>
            <w:r>
              <w:rPr>
                <w:bCs/>
                <w:sz w:val="22"/>
                <w:szCs w:val="22"/>
              </w:rPr>
              <w:t>art</w:t>
            </w:r>
            <w:r w:rsidRPr="00530E0E">
              <w:rPr>
                <w:bCs/>
                <w:sz w:val="22"/>
                <w:szCs w:val="22"/>
              </w:rPr>
              <w:t>emet</w:t>
            </w:r>
            <w:r>
              <w:rPr>
                <w:bCs/>
                <w:sz w:val="22"/>
                <w:szCs w:val="22"/>
              </w:rPr>
              <w:t>h</w:t>
            </w:r>
            <w:r w:rsidRPr="00530E0E">
              <w:rPr>
                <w:bCs/>
                <w:sz w:val="22"/>
                <w:szCs w:val="22"/>
              </w:rPr>
              <w:t xml:space="preserve">er </w:t>
            </w:r>
            <w:r>
              <w:rPr>
                <w:bCs/>
                <w:sz w:val="22"/>
                <w:szCs w:val="22"/>
              </w:rPr>
              <w:t xml:space="preserve">(the artemisinin monotherapy which was banned in August 2012) is </w:t>
            </w:r>
            <w:r w:rsidRPr="00530E0E">
              <w:rPr>
                <w:bCs/>
                <w:sz w:val="22"/>
                <w:szCs w:val="22"/>
              </w:rPr>
              <w:t>still available at retail and wholesale levels</w:t>
            </w:r>
            <w:r>
              <w:rPr>
                <w:bCs/>
                <w:sz w:val="22"/>
                <w:szCs w:val="22"/>
              </w:rPr>
              <w:t>,</w:t>
            </w:r>
            <w:r w:rsidRPr="00530E0E">
              <w:rPr>
                <w:bCs/>
                <w:sz w:val="22"/>
                <w:szCs w:val="22"/>
              </w:rPr>
              <w:t xml:space="preserve"> </w:t>
            </w:r>
            <w:r>
              <w:rPr>
                <w:bCs/>
                <w:sz w:val="22"/>
                <w:szCs w:val="22"/>
              </w:rPr>
              <w:t xml:space="preserve">availability is declining as stock is not being replenished. The retail price of the full adult dose of up to K500 (K 350 to K500 per AETD was reported in Myeik and surrounding areas) is equivalent to the retail price of a split dose of an unsubsidised AMT. This ensures that the quality assured ACT is affordable to the main target group (mostly adult men). This price to consumers incorporates profit margins along the supply chain which are in line with pharmaceutical industry norms. </w:t>
            </w:r>
          </w:p>
          <w:p w:rsidR="00104259" w:rsidRDefault="00104259" w:rsidP="00530E0E">
            <w:pPr>
              <w:spacing w:before="240" w:after="60"/>
              <w:rPr>
                <w:bCs/>
              </w:rPr>
            </w:pPr>
            <w:r>
              <w:rPr>
                <w:bCs/>
                <w:sz w:val="22"/>
                <w:szCs w:val="22"/>
              </w:rPr>
              <w:t xml:space="preserve">The logframe milestones under this output were to be measured through annual outlet surveys, but since the outlet survey for Year 1 was delayed, the outlet survey is a measure of the situation following the artesunate ban (the artemisinin monotherapy which was banned in December 2011) before the artemether ban and acts as a baseline for the project. </w:t>
            </w:r>
          </w:p>
          <w:p w:rsidR="00104259" w:rsidRDefault="00104259" w:rsidP="00530E0E">
            <w:pPr>
              <w:spacing w:before="240" w:after="60"/>
              <w:rPr>
                <w:bCs/>
              </w:rPr>
            </w:pPr>
            <w:r>
              <w:rPr>
                <w:bCs/>
                <w:sz w:val="22"/>
                <w:szCs w:val="22"/>
              </w:rPr>
              <w:t>For all outlets the baseline/ Year 1 indicators are:</w:t>
            </w:r>
          </w:p>
          <w:p w:rsidR="00104259" w:rsidRDefault="00104259" w:rsidP="00F14F87">
            <w:pPr>
              <w:numPr>
                <w:ilvl w:val="1"/>
                <w:numId w:val="7"/>
              </w:numPr>
              <w:spacing w:after="60"/>
              <w:ind w:hanging="357"/>
              <w:rPr>
                <w:bCs/>
              </w:rPr>
            </w:pPr>
            <w:r>
              <w:rPr>
                <w:bCs/>
                <w:sz w:val="22"/>
                <w:szCs w:val="22"/>
              </w:rPr>
              <w:t xml:space="preserve">% target outlets* with nationally approved and QA-first line ACT in stock at time of survey  -  </w:t>
            </w:r>
            <w:r w:rsidRPr="009731B6">
              <w:rPr>
                <w:b/>
                <w:bCs/>
                <w:sz w:val="22"/>
                <w:szCs w:val="22"/>
              </w:rPr>
              <w:t>26.4%</w:t>
            </w:r>
          </w:p>
          <w:p w:rsidR="00104259" w:rsidRDefault="00104259" w:rsidP="00F14F87">
            <w:pPr>
              <w:numPr>
                <w:ilvl w:val="1"/>
                <w:numId w:val="7"/>
              </w:numPr>
              <w:spacing w:after="60"/>
              <w:ind w:hanging="357"/>
              <w:rPr>
                <w:bCs/>
              </w:rPr>
            </w:pPr>
            <w:r>
              <w:rPr>
                <w:bCs/>
                <w:sz w:val="22"/>
                <w:szCs w:val="22"/>
              </w:rPr>
              <w:t xml:space="preserve"> % of target outlets* (that currently stock QA ACT) with no reported stock out of nationally approved and QA first line ACT lasting more that 1 week within the past 3 months – </w:t>
            </w:r>
            <w:r w:rsidRPr="009731B6">
              <w:rPr>
                <w:b/>
                <w:bCs/>
                <w:sz w:val="22"/>
                <w:szCs w:val="22"/>
              </w:rPr>
              <w:t>98.34%</w:t>
            </w:r>
          </w:p>
          <w:p w:rsidR="00104259" w:rsidRDefault="00104259" w:rsidP="00F14F87">
            <w:pPr>
              <w:numPr>
                <w:ilvl w:val="1"/>
                <w:numId w:val="7"/>
              </w:numPr>
              <w:spacing w:after="60"/>
              <w:ind w:hanging="357"/>
              <w:rPr>
                <w:bCs/>
              </w:rPr>
            </w:pPr>
            <w:r>
              <w:rPr>
                <w:bCs/>
                <w:sz w:val="22"/>
                <w:szCs w:val="22"/>
              </w:rPr>
              <w:t xml:space="preserve">% target outlets* selling nationally approved QAACT at a price less than or equal to the cost of a typical dose of the common AMT at baseline – </w:t>
            </w:r>
            <w:r w:rsidRPr="00A17446">
              <w:rPr>
                <w:bCs/>
                <w:sz w:val="22"/>
                <w:szCs w:val="22"/>
              </w:rPr>
              <w:t>not applicable at baseline</w:t>
            </w:r>
          </w:p>
          <w:p w:rsidR="00104259" w:rsidRDefault="00104259" w:rsidP="00F14F87">
            <w:pPr>
              <w:numPr>
                <w:ilvl w:val="1"/>
                <w:numId w:val="7"/>
              </w:numPr>
              <w:spacing w:after="60"/>
              <w:ind w:hanging="357"/>
              <w:rPr>
                <w:bCs/>
              </w:rPr>
            </w:pPr>
            <w:r>
              <w:rPr>
                <w:bCs/>
                <w:sz w:val="22"/>
                <w:szCs w:val="22"/>
              </w:rPr>
              <w:t xml:space="preserve">% target outlets* providers that correctly state the recommended first line ACT treatment for uncomplicated malaria – </w:t>
            </w:r>
            <w:r w:rsidRPr="009731B6">
              <w:rPr>
                <w:b/>
                <w:bCs/>
                <w:sz w:val="22"/>
                <w:szCs w:val="22"/>
              </w:rPr>
              <w:t>22.1%</w:t>
            </w:r>
          </w:p>
          <w:p w:rsidR="00104259" w:rsidRPr="00933131" w:rsidRDefault="00104259" w:rsidP="00933131">
            <w:pPr>
              <w:numPr>
                <w:ilvl w:val="1"/>
                <w:numId w:val="7"/>
              </w:numPr>
              <w:spacing w:after="60"/>
              <w:ind w:hanging="357"/>
              <w:rPr>
                <w:bCs/>
              </w:rPr>
            </w:pPr>
            <w:r>
              <w:rPr>
                <w:bCs/>
                <w:sz w:val="22"/>
                <w:szCs w:val="22"/>
              </w:rPr>
              <w:t>Relative market share* of antimalarials sold/ distributed to consumers in the past 7 days (disaggregated by): F</w:t>
            </w:r>
            <w:r w:rsidRPr="00996496">
              <w:rPr>
                <w:bCs/>
                <w:sz w:val="22"/>
                <w:szCs w:val="22"/>
              </w:rPr>
              <w:t xml:space="preserve">irst line QAACTs – </w:t>
            </w:r>
            <w:r w:rsidRPr="00996496">
              <w:rPr>
                <w:b/>
                <w:bCs/>
                <w:sz w:val="22"/>
                <w:szCs w:val="22"/>
              </w:rPr>
              <w:t>20.1%</w:t>
            </w:r>
            <w:r>
              <w:rPr>
                <w:bCs/>
                <w:sz w:val="22"/>
                <w:szCs w:val="22"/>
              </w:rPr>
              <w:t>; N</w:t>
            </w:r>
            <w:r w:rsidRPr="00933131">
              <w:rPr>
                <w:bCs/>
                <w:sz w:val="22"/>
                <w:szCs w:val="22"/>
              </w:rPr>
              <w:t xml:space="preserve">on-QAACTs – </w:t>
            </w:r>
            <w:r w:rsidRPr="00933131">
              <w:rPr>
                <w:b/>
                <w:bCs/>
                <w:sz w:val="22"/>
                <w:szCs w:val="22"/>
              </w:rPr>
              <w:t>5.7%</w:t>
            </w:r>
            <w:r>
              <w:rPr>
                <w:bCs/>
                <w:sz w:val="22"/>
                <w:szCs w:val="22"/>
              </w:rPr>
              <w:t>; O</w:t>
            </w:r>
            <w:r w:rsidRPr="00933131">
              <w:rPr>
                <w:bCs/>
                <w:sz w:val="22"/>
                <w:szCs w:val="22"/>
              </w:rPr>
              <w:t xml:space="preserve">ral AMTs – </w:t>
            </w:r>
            <w:r w:rsidRPr="00933131">
              <w:rPr>
                <w:b/>
                <w:bCs/>
                <w:sz w:val="22"/>
                <w:szCs w:val="22"/>
              </w:rPr>
              <w:t>42.8%</w:t>
            </w:r>
            <w:r>
              <w:rPr>
                <w:bCs/>
                <w:sz w:val="22"/>
                <w:szCs w:val="22"/>
              </w:rPr>
              <w:t>; N</w:t>
            </w:r>
            <w:r w:rsidRPr="00933131">
              <w:rPr>
                <w:bCs/>
                <w:sz w:val="22"/>
                <w:szCs w:val="22"/>
              </w:rPr>
              <w:t xml:space="preserve">on-artemisinin monotherapies – </w:t>
            </w:r>
            <w:r w:rsidRPr="00933131">
              <w:rPr>
                <w:b/>
                <w:bCs/>
                <w:sz w:val="22"/>
                <w:szCs w:val="22"/>
              </w:rPr>
              <w:t>25.4%</w:t>
            </w:r>
          </w:p>
          <w:p w:rsidR="00104259" w:rsidRPr="00A17446" w:rsidRDefault="00104259" w:rsidP="00E30F12">
            <w:pPr>
              <w:spacing w:before="240" w:after="60"/>
              <w:ind w:left="360" w:hanging="360"/>
              <w:rPr>
                <w:bCs/>
              </w:rPr>
            </w:pPr>
            <w:r>
              <w:rPr>
                <w:bCs/>
                <w:sz w:val="22"/>
                <w:szCs w:val="22"/>
              </w:rPr>
              <w:t xml:space="preserve">1.6 % of target outlet providers who treat a ‘mystery client’ with suspected malaria using a full course of ACT and providing instructions for correct use </w:t>
            </w:r>
            <w:r w:rsidRPr="00A17446">
              <w:rPr>
                <w:b/>
                <w:bCs/>
                <w:sz w:val="22"/>
                <w:szCs w:val="22"/>
              </w:rPr>
              <w:t xml:space="preserve">– </w:t>
            </w:r>
            <w:r w:rsidRPr="00A17446">
              <w:rPr>
                <w:bCs/>
                <w:sz w:val="22"/>
                <w:szCs w:val="22"/>
              </w:rPr>
              <w:t>not applicable at baseline</w:t>
            </w:r>
          </w:p>
          <w:p w:rsidR="00104259" w:rsidRPr="00530E0E" w:rsidRDefault="00104259" w:rsidP="003B60D8">
            <w:pPr>
              <w:spacing w:before="240" w:after="60"/>
              <w:rPr>
                <w:bCs/>
              </w:rPr>
            </w:pPr>
            <w:r>
              <w:rPr>
                <w:bCs/>
                <w:sz w:val="22"/>
                <w:szCs w:val="22"/>
              </w:rPr>
              <w:t>* Note that the figure shown here is for all outlets including private providers and health workers.  Figures for priority outlets will be available after the final analysis of the Outlet Survey, which is underway.</w:t>
            </w:r>
          </w:p>
        </w:tc>
      </w:tr>
      <w:tr>
        <w:trPr>
          <w:gridBefore w:val="1"/>
        </w:trPr>
        <w:tc>
          <w:tcPr>
            <w:tcW w:w="10260" w:type="dxa"/>
            <w:tcBorders>
              <w:bottom w:val="single" w:sz="6" w:space="0" w:color="000000"/>
            </w:tcBorders>
          </w:tcPr>
          <w:p w:rsidR="00104259" w:rsidRDefault="00104259" w:rsidP="007B4757">
            <w:pPr>
              <w:spacing w:before="240" w:after="60"/>
              <w:rPr>
                <w:b/>
                <w:bCs/>
              </w:rPr>
            </w:pPr>
          </w:p>
          <w:p w:rsidR="00104259" w:rsidRPr="007B4757" w:rsidRDefault="00104259" w:rsidP="007B4757">
            <w:pPr>
              <w:spacing w:before="240" w:after="60"/>
              <w:rPr>
                <w:b/>
                <w:bCs/>
              </w:rPr>
            </w:pPr>
            <w:r w:rsidRPr="007B4757">
              <w:rPr>
                <w:b/>
                <w:bCs/>
                <w:sz w:val="22"/>
                <w:szCs w:val="22"/>
              </w:rPr>
              <w:t xml:space="preserve">Recommendations:  </w:t>
            </w:r>
          </w:p>
          <w:p w:rsidR="00104259" w:rsidRDefault="00104259" w:rsidP="00F14F87">
            <w:pPr>
              <w:numPr>
                <w:ilvl w:val="0"/>
                <w:numId w:val="9"/>
              </w:numPr>
              <w:spacing w:before="240" w:after="60"/>
              <w:rPr>
                <w:bCs/>
              </w:rPr>
            </w:pPr>
            <w:r>
              <w:rPr>
                <w:bCs/>
                <w:sz w:val="22"/>
                <w:szCs w:val="22"/>
              </w:rPr>
              <w:t>The indicator descriptions in the log frame should be brought into line with the findings in the outlet survey (DFID and PSI)</w:t>
            </w:r>
          </w:p>
          <w:p w:rsidR="00104259" w:rsidRPr="00E30F12" w:rsidRDefault="00104259" w:rsidP="00F14F87">
            <w:pPr>
              <w:numPr>
                <w:ilvl w:val="0"/>
                <w:numId w:val="9"/>
              </w:numPr>
              <w:spacing w:before="240" w:after="60"/>
              <w:rPr>
                <w:bCs/>
              </w:rPr>
            </w:pPr>
            <w:r>
              <w:rPr>
                <w:bCs/>
                <w:sz w:val="22"/>
                <w:szCs w:val="22"/>
              </w:rPr>
              <w:t>PSI to consider disaggregating the results in the next Outlet S</w:t>
            </w:r>
            <w:r w:rsidRPr="00E30F12">
              <w:rPr>
                <w:bCs/>
                <w:sz w:val="22"/>
                <w:szCs w:val="22"/>
              </w:rPr>
              <w:t>urvey</w:t>
            </w:r>
            <w:r>
              <w:rPr>
                <w:bCs/>
                <w:sz w:val="22"/>
                <w:szCs w:val="22"/>
              </w:rPr>
              <w:t xml:space="preserve"> by containment zones (Tier One, Tier Two etc.)  (PSI)</w:t>
            </w:r>
          </w:p>
          <w:p w:rsidR="00104259" w:rsidRPr="007B4757" w:rsidRDefault="00104259" w:rsidP="008A72A6">
            <w:pPr>
              <w:rPr>
                <w:b/>
                <w:bCs/>
              </w:rPr>
            </w:pPr>
          </w:p>
          <w:p w:rsidR="00104259" w:rsidRPr="007B4757" w:rsidRDefault="00104259" w:rsidP="008A72A6">
            <w:pPr>
              <w:rPr>
                <w:b/>
                <w:bCs/>
              </w:rPr>
            </w:pPr>
            <w:r w:rsidRPr="007B4757">
              <w:rPr>
                <w:b/>
                <w:bCs/>
                <w:sz w:val="22"/>
                <w:szCs w:val="22"/>
              </w:rPr>
              <w:t>Impact Weighting (%):</w:t>
            </w:r>
            <w:r>
              <w:rPr>
                <w:b/>
                <w:bCs/>
                <w:sz w:val="22"/>
                <w:szCs w:val="22"/>
              </w:rPr>
              <w:t xml:space="preserve"> 25%</w:t>
            </w:r>
          </w:p>
          <w:p w:rsidR="00104259" w:rsidRPr="00530E0E" w:rsidRDefault="00104259" w:rsidP="008A72A6">
            <w:pPr>
              <w:rPr>
                <w:b/>
                <w:bCs/>
                <w:i/>
              </w:rPr>
            </w:pPr>
            <w:r w:rsidRPr="007B4757">
              <w:rPr>
                <w:b/>
                <w:bCs/>
                <w:sz w:val="22"/>
                <w:szCs w:val="22"/>
              </w:rPr>
              <w:t xml:space="preserve">Revised since last Annual Review? </w:t>
            </w:r>
            <w:r w:rsidRPr="00530E0E">
              <w:rPr>
                <w:b/>
                <w:bCs/>
                <w:i/>
                <w:sz w:val="22"/>
                <w:szCs w:val="22"/>
              </w:rPr>
              <w:t>N</w:t>
            </w:r>
          </w:p>
          <w:p w:rsidR="00104259" w:rsidRPr="007B4757" w:rsidRDefault="00104259" w:rsidP="008A72A6">
            <w:pPr>
              <w:rPr>
                <w:b/>
                <w:bCs/>
              </w:rPr>
            </w:pPr>
          </w:p>
          <w:p w:rsidR="00104259" w:rsidRPr="007B4757" w:rsidRDefault="00104259" w:rsidP="008A72A6">
            <w:pPr>
              <w:rPr>
                <w:b/>
                <w:bCs/>
              </w:rPr>
            </w:pPr>
            <w:r w:rsidRPr="007B4757">
              <w:rPr>
                <w:b/>
                <w:bCs/>
                <w:sz w:val="22"/>
                <w:szCs w:val="22"/>
              </w:rPr>
              <w:t>Risk: High</w:t>
            </w:r>
          </w:p>
          <w:p w:rsidR="00104259" w:rsidRPr="00530E0E" w:rsidRDefault="00104259" w:rsidP="008A72A6">
            <w:pPr>
              <w:rPr>
                <w:b/>
                <w:bCs/>
              </w:rPr>
            </w:pPr>
            <w:r w:rsidRPr="007B4757">
              <w:rPr>
                <w:b/>
                <w:bCs/>
                <w:sz w:val="22"/>
                <w:szCs w:val="22"/>
              </w:rPr>
              <w:t xml:space="preserve">Revised since last Annual Review? </w:t>
            </w:r>
            <w:r w:rsidRPr="00530E0E">
              <w:rPr>
                <w:b/>
                <w:bCs/>
                <w:i/>
                <w:sz w:val="22"/>
                <w:szCs w:val="22"/>
              </w:rPr>
              <w:t>N</w:t>
            </w:r>
          </w:p>
          <w:p w:rsidR="00104259" w:rsidRPr="007B4757" w:rsidRDefault="00104259" w:rsidP="008A72A6">
            <w:pPr>
              <w:rPr>
                <w:b/>
                <w:bCs/>
              </w:rPr>
            </w:pPr>
          </w:p>
        </w:tc>
      </w:tr>
    </w:tbl>
    <w:p w:rsidR="00104259" w:rsidRDefault="00104259" w:rsidP="00E74FE1"/>
    <w:p w:rsidR="00104259" w:rsidRDefault="00104259" w:rsidP="00E74FE1"/>
    <w:p w:rsidR="00104259" w:rsidRDefault="00104259" w:rsidP="00E74FE1"/>
    <w:p w:rsidR="00104259" w:rsidRDefault="00104259" w:rsidP="00E74FE1"/>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10260"/>
      </w:tblGrid>
      <w:tr>
        <w:tc>
          <w:tcPr>
            <w:tcW w:w="10260" w:type="dxa"/>
            <w:tcBorders>
              <w:top w:val="single" w:sz="6" w:space="0" w:color="000000"/>
              <w:bottom w:val="single" w:sz="6" w:space="0" w:color="000000"/>
            </w:tcBorders>
            <w:shd w:val="pct30" w:color="FFFF00" w:fill="FFFFFF"/>
          </w:tcPr>
          <w:p w:rsidR="00104259" w:rsidRPr="007B4757" w:rsidRDefault="00104259" w:rsidP="00A229E2">
            <w:pPr>
              <w:pStyle w:val="Heading2"/>
              <w:rPr>
                <w:b w:val="0"/>
                <w:bCs w:val="0"/>
                <w:i w:val="0"/>
                <w:sz w:val="24"/>
                <w:szCs w:val="24"/>
              </w:rPr>
            </w:pPr>
            <w:r>
              <w:rPr>
                <w:b w:val="0"/>
                <w:bCs w:val="0"/>
                <w:i w:val="0"/>
                <w:sz w:val="24"/>
                <w:szCs w:val="24"/>
              </w:rPr>
              <w:t>Output 2: Increased opportunity, ability and motivation of the target population in eastern Burma to promptly and effectively treat suspected malaria with a nationally approved and quality assured ACT</w:t>
            </w:r>
          </w:p>
        </w:tc>
      </w:tr>
      <w:tr>
        <w:tc>
          <w:tcPr>
            <w:tcW w:w="10260" w:type="dxa"/>
          </w:tcPr>
          <w:p w:rsidR="00104259" w:rsidRDefault="00104259" w:rsidP="007B4757">
            <w:pPr>
              <w:spacing w:before="240" w:after="60"/>
              <w:rPr>
                <w:b/>
                <w:bCs/>
              </w:rPr>
            </w:pPr>
            <w:r w:rsidRPr="007B4757">
              <w:rPr>
                <w:b/>
                <w:bCs/>
                <w:sz w:val="22"/>
                <w:szCs w:val="22"/>
              </w:rPr>
              <w:t xml:space="preserve">Output 2 score and performance description:  </w:t>
            </w:r>
            <w:r>
              <w:rPr>
                <w:b/>
                <w:bCs/>
                <w:sz w:val="22"/>
                <w:szCs w:val="22"/>
              </w:rPr>
              <w:t>B (Output moderately did not meet expectation)</w:t>
            </w:r>
          </w:p>
          <w:p w:rsidR="00104259" w:rsidRPr="00F73F87" w:rsidRDefault="00104259" w:rsidP="007B4757">
            <w:pPr>
              <w:spacing w:before="240" w:after="60"/>
              <w:rPr>
                <w:bCs/>
              </w:rPr>
            </w:pPr>
            <w:r w:rsidRPr="00F73F87">
              <w:rPr>
                <w:bCs/>
                <w:sz w:val="22"/>
                <w:szCs w:val="22"/>
              </w:rPr>
              <w:t xml:space="preserve">Under this output </w:t>
            </w:r>
            <w:r>
              <w:rPr>
                <w:bCs/>
                <w:sz w:val="22"/>
                <w:szCs w:val="22"/>
              </w:rPr>
              <w:t>PSI</w:t>
            </w:r>
            <w:r w:rsidRPr="00F73F87">
              <w:rPr>
                <w:bCs/>
                <w:sz w:val="22"/>
                <w:szCs w:val="22"/>
              </w:rPr>
              <w:t xml:space="preserve"> is expected to increase the awareness of and demand for QAACT in the private sector</w:t>
            </w:r>
            <w:r>
              <w:rPr>
                <w:bCs/>
                <w:sz w:val="22"/>
                <w:szCs w:val="22"/>
              </w:rPr>
              <w:t xml:space="preserve"> among the target population</w:t>
            </w:r>
            <w:r w:rsidRPr="00F73F87">
              <w:rPr>
                <w:bCs/>
                <w:sz w:val="22"/>
                <w:szCs w:val="22"/>
              </w:rPr>
              <w:t>. This is to be done by:</w:t>
            </w:r>
          </w:p>
          <w:p w:rsidR="00104259" w:rsidRPr="00F73F87" w:rsidRDefault="00104259" w:rsidP="00EC56D5">
            <w:pPr>
              <w:numPr>
                <w:ilvl w:val="0"/>
                <w:numId w:val="31"/>
              </w:numPr>
              <w:spacing w:after="60"/>
              <w:rPr>
                <w:bCs/>
              </w:rPr>
            </w:pPr>
            <w:r w:rsidRPr="00F73F87">
              <w:rPr>
                <w:bCs/>
                <w:sz w:val="22"/>
                <w:szCs w:val="22"/>
              </w:rPr>
              <w:t xml:space="preserve">Developing a </w:t>
            </w:r>
            <w:r w:rsidRPr="00EC56D5">
              <w:rPr>
                <w:b/>
                <w:bCs/>
                <w:sz w:val="22"/>
                <w:szCs w:val="22"/>
              </w:rPr>
              <w:t>quality seal for QAACTs</w:t>
            </w:r>
            <w:r w:rsidRPr="00F73F87">
              <w:rPr>
                <w:bCs/>
                <w:sz w:val="22"/>
                <w:szCs w:val="22"/>
              </w:rPr>
              <w:t xml:space="preserve"> which is recognised by people seeking treatment for uncomplicated malaria</w:t>
            </w:r>
          </w:p>
          <w:p w:rsidR="00104259" w:rsidRPr="00F73F87" w:rsidRDefault="00104259" w:rsidP="00EC56D5">
            <w:pPr>
              <w:numPr>
                <w:ilvl w:val="0"/>
                <w:numId w:val="31"/>
              </w:numPr>
              <w:spacing w:after="60"/>
              <w:rPr>
                <w:bCs/>
              </w:rPr>
            </w:pPr>
            <w:r w:rsidRPr="00F73F87">
              <w:rPr>
                <w:bCs/>
                <w:sz w:val="22"/>
                <w:szCs w:val="22"/>
              </w:rPr>
              <w:t>Develop</w:t>
            </w:r>
            <w:r>
              <w:rPr>
                <w:bCs/>
                <w:sz w:val="22"/>
                <w:szCs w:val="22"/>
              </w:rPr>
              <w:t xml:space="preserve">ing, testing and delivering </w:t>
            </w:r>
            <w:r w:rsidRPr="00EC56D5">
              <w:rPr>
                <w:b/>
                <w:bCs/>
                <w:sz w:val="22"/>
                <w:szCs w:val="22"/>
              </w:rPr>
              <w:t>mass media messages</w:t>
            </w:r>
            <w:r w:rsidRPr="00F73F87">
              <w:rPr>
                <w:bCs/>
                <w:sz w:val="22"/>
                <w:szCs w:val="22"/>
              </w:rPr>
              <w:t xml:space="preserve"> to promote QAACTs</w:t>
            </w:r>
          </w:p>
          <w:p w:rsidR="00104259" w:rsidRPr="00F73F87" w:rsidRDefault="00104259" w:rsidP="00EC56D5">
            <w:pPr>
              <w:numPr>
                <w:ilvl w:val="0"/>
                <w:numId w:val="31"/>
              </w:numPr>
              <w:spacing w:after="60"/>
              <w:rPr>
                <w:bCs/>
              </w:rPr>
            </w:pPr>
            <w:r>
              <w:rPr>
                <w:bCs/>
                <w:sz w:val="22"/>
                <w:szCs w:val="22"/>
              </w:rPr>
              <w:t xml:space="preserve">Measure </w:t>
            </w:r>
            <w:r w:rsidRPr="00EC56D5">
              <w:rPr>
                <w:b/>
                <w:bCs/>
                <w:sz w:val="22"/>
                <w:szCs w:val="22"/>
              </w:rPr>
              <w:t>changes in consumer knowledge and practice</w:t>
            </w:r>
            <w:r>
              <w:rPr>
                <w:bCs/>
                <w:sz w:val="22"/>
                <w:szCs w:val="22"/>
              </w:rPr>
              <w:t xml:space="preserve"> through successive household surveys</w:t>
            </w:r>
          </w:p>
        </w:tc>
      </w:tr>
      <w:tr>
        <w:trPr>
          <w:trHeight w:val="73"/>
        </w:trPr>
        <w:tc>
          <w:tcPr>
            <w:tcW w:w="10260" w:type="dxa"/>
            <w:tcBorders>
              <w:bottom w:val="single" w:sz="6" w:space="0" w:color="000000"/>
            </w:tcBorders>
          </w:tcPr>
          <w:p w:rsidR="00104259" w:rsidRPr="007A7200" w:rsidRDefault="00104259" w:rsidP="007B4757">
            <w:pPr>
              <w:spacing w:before="240" w:after="60"/>
              <w:rPr>
                <w:b/>
                <w:bCs/>
              </w:rPr>
            </w:pPr>
            <w:r w:rsidRPr="007B4757">
              <w:rPr>
                <w:b/>
                <w:bCs/>
                <w:sz w:val="22"/>
                <w:szCs w:val="22"/>
              </w:rPr>
              <w:t>Pro</w:t>
            </w:r>
            <w:r>
              <w:rPr>
                <w:b/>
                <w:bCs/>
                <w:sz w:val="22"/>
                <w:szCs w:val="22"/>
              </w:rPr>
              <w:t xml:space="preserve">gress against expected results: </w:t>
            </w:r>
          </w:p>
          <w:p w:rsidR="00104259" w:rsidRDefault="00104259" w:rsidP="007B4757">
            <w:pPr>
              <w:spacing w:before="240" w:after="60"/>
              <w:rPr>
                <w:bCs/>
              </w:rPr>
            </w:pPr>
            <w:r w:rsidRPr="00EC56D5">
              <w:rPr>
                <w:b/>
                <w:bCs/>
                <w:sz w:val="22"/>
                <w:szCs w:val="22"/>
              </w:rPr>
              <w:t>In summary</w:t>
            </w:r>
            <w:r>
              <w:rPr>
                <w:b/>
                <w:bCs/>
                <w:sz w:val="22"/>
                <w:szCs w:val="22"/>
              </w:rPr>
              <w:t xml:space="preserve">:  </w:t>
            </w:r>
            <w:r w:rsidRPr="009731B6">
              <w:rPr>
                <w:bCs/>
                <w:sz w:val="22"/>
                <w:szCs w:val="22"/>
              </w:rPr>
              <w:t xml:space="preserve">There was good progress on </w:t>
            </w:r>
            <w:r>
              <w:rPr>
                <w:bCs/>
                <w:sz w:val="22"/>
                <w:szCs w:val="22"/>
              </w:rPr>
              <w:t>I</w:t>
            </w:r>
            <w:r w:rsidRPr="009731B6">
              <w:rPr>
                <w:bCs/>
                <w:sz w:val="22"/>
                <w:szCs w:val="22"/>
              </w:rPr>
              <w:t>tems 1 and 2</w:t>
            </w:r>
            <w:r>
              <w:rPr>
                <w:bCs/>
                <w:sz w:val="22"/>
                <w:szCs w:val="22"/>
              </w:rPr>
              <w:t>. However the delivery of mass media messages did not start until August which is late in the malaria transmission season. A household survey was conducted to set the baseline for consumer knowledge and practice.</w:t>
            </w:r>
          </w:p>
          <w:p w:rsidR="00104259" w:rsidRPr="009731B6" w:rsidRDefault="00104259" w:rsidP="007B4757">
            <w:pPr>
              <w:spacing w:before="240" w:after="60"/>
              <w:rPr>
                <w:bCs/>
              </w:rPr>
            </w:pPr>
            <w:r>
              <w:rPr>
                <w:bCs/>
                <w:sz w:val="22"/>
                <w:szCs w:val="22"/>
              </w:rPr>
              <w:t>______________________________________________________________________________</w:t>
            </w:r>
          </w:p>
          <w:p w:rsidR="00104259" w:rsidRDefault="00104259" w:rsidP="007B4757">
            <w:pPr>
              <w:spacing w:before="240" w:after="60"/>
              <w:rPr>
                <w:bCs/>
              </w:rPr>
            </w:pPr>
            <w:r>
              <w:rPr>
                <w:bCs/>
                <w:sz w:val="22"/>
                <w:szCs w:val="22"/>
              </w:rPr>
              <w:t>PSI worked with other development organisations to develop and test</w:t>
            </w:r>
            <w:r w:rsidRPr="00F73F87">
              <w:rPr>
                <w:bCs/>
                <w:sz w:val="22"/>
                <w:szCs w:val="22"/>
              </w:rPr>
              <w:t xml:space="preserve"> the ‘Padonmar’ (lotus) </w:t>
            </w:r>
            <w:r w:rsidRPr="00EC56D5">
              <w:rPr>
                <w:b/>
                <w:bCs/>
                <w:sz w:val="22"/>
                <w:szCs w:val="22"/>
              </w:rPr>
              <w:t xml:space="preserve">quality seal for QA ACTs. </w:t>
            </w:r>
            <w:r>
              <w:rPr>
                <w:bCs/>
                <w:sz w:val="22"/>
                <w:szCs w:val="22"/>
              </w:rPr>
              <w:t xml:space="preserve">This seal has been adopted by government for all QAACTs. The QA </w:t>
            </w:r>
            <w:r w:rsidRPr="00F73F87">
              <w:rPr>
                <w:bCs/>
                <w:sz w:val="22"/>
                <w:szCs w:val="22"/>
              </w:rPr>
              <w:t xml:space="preserve">ACT packaging </w:t>
            </w:r>
            <w:r>
              <w:rPr>
                <w:bCs/>
                <w:sz w:val="22"/>
                <w:szCs w:val="22"/>
              </w:rPr>
              <w:t xml:space="preserve">was </w:t>
            </w:r>
            <w:r w:rsidRPr="00F73F87">
              <w:rPr>
                <w:bCs/>
                <w:sz w:val="22"/>
                <w:szCs w:val="22"/>
              </w:rPr>
              <w:t xml:space="preserve">designed to </w:t>
            </w:r>
            <w:r>
              <w:rPr>
                <w:bCs/>
                <w:sz w:val="22"/>
                <w:szCs w:val="22"/>
              </w:rPr>
              <w:t>provide point of use information on correct usage</w:t>
            </w:r>
            <w:r w:rsidRPr="00F73F87">
              <w:rPr>
                <w:bCs/>
                <w:sz w:val="22"/>
                <w:szCs w:val="22"/>
              </w:rPr>
              <w:t xml:space="preserve"> </w:t>
            </w:r>
            <w:r>
              <w:rPr>
                <w:bCs/>
                <w:sz w:val="22"/>
                <w:szCs w:val="22"/>
              </w:rPr>
              <w:t xml:space="preserve">and </w:t>
            </w:r>
            <w:r w:rsidRPr="00F73F87">
              <w:rPr>
                <w:bCs/>
                <w:sz w:val="22"/>
                <w:szCs w:val="22"/>
              </w:rPr>
              <w:t xml:space="preserve">minimise </w:t>
            </w:r>
            <w:r>
              <w:rPr>
                <w:bCs/>
                <w:sz w:val="22"/>
                <w:szCs w:val="22"/>
              </w:rPr>
              <w:t xml:space="preserve">the possibility of dividing doses. </w:t>
            </w:r>
          </w:p>
          <w:p w:rsidR="00104259" w:rsidRDefault="00104259" w:rsidP="007B4757">
            <w:pPr>
              <w:spacing w:before="240" w:after="60"/>
              <w:rPr>
                <w:bCs/>
              </w:rPr>
            </w:pPr>
            <w:r w:rsidRPr="00EC56D5">
              <w:rPr>
                <w:b/>
                <w:bCs/>
                <w:sz w:val="22"/>
                <w:szCs w:val="22"/>
              </w:rPr>
              <w:t>Mass media communications</w:t>
            </w:r>
            <w:r>
              <w:rPr>
                <w:bCs/>
                <w:sz w:val="22"/>
                <w:szCs w:val="22"/>
              </w:rPr>
              <w:t xml:space="preserve"> have been developed, tested and displayed or broadcast using a variety of different media channels (television, radio and billboards). </w:t>
            </w:r>
          </w:p>
          <w:p w:rsidR="00104259" w:rsidRPr="007B4757" w:rsidRDefault="00104259" w:rsidP="007B4757">
            <w:pPr>
              <w:spacing w:before="240" w:after="60"/>
              <w:rPr>
                <w:b/>
                <w:bCs/>
              </w:rPr>
            </w:pPr>
            <w:r>
              <w:rPr>
                <w:bCs/>
                <w:sz w:val="22"/>
                <w:szCs w:val="22"/>
              </w:rPr>
              <w:t xml:space="preserve">PSI have </w:t>
            </w:r>
            <w:r w:rsidRPr="00EC56D5">
              <w:rPr>
                <w:b/>
                <w:bCs/>
                <w:sz w:val="22"/>
                <w:szCs w:val="22"/>
              </w:rPr>
              <w:t>set the baseline for knowledge and practice</w:t>
            </w:r>
            <w:r>
              <w:rPr>
                <w:bCs/>
                <w:sz w:val="22"/>
                <w:szCs w:val="22"/>
              </w:rPr>
              <w:t xml:space="preserve"> by conducting a household survey which was conducted in August and whose results are still being analysed. There is not yet any evidence of consumer behaviour since the intervention started. </w:t>
            </w:r>
          </w:p>
          <w:p w:rsidR="00104259" w:rsidRPr="007B4757" w:rsidRDefault="00104259" w:rsidP="007B4757">
            <w:pPr>
              <w:spacing w:before="240" w:after="60"/>
              <w:rPr>
                <w:b/>
                <w:bCs/>
              </w:rPr>
            </w:pPr>
            <w:r w:rsidRPr="007B4757">
              <w:rPr>
                <w:b/>
                <w:bCs/>
                <w:sz w:val="22"/>
                <w:szCs w:val="22"/>
              </w:rPr>
              <w:t xml:space="preserve">Recommendations:  </w:t>
            </w:r>
          </w:p>
          <w:p w:rsidR="00104259" w:rsidRDefault="00104259" w:rsidP="00F73F87">
            <w:pPr>
              <w:numPr>
                <w:ilvl w:val="0"/>
                <w:numId w:val="17"/>
              </w:numPr>
              <w:spacing w:after="60"/>
              <w:rPr>
                <w:bCs/>
              </w:rPr>
            </w:pPr>
            <w:r>
              <w:rPr>
                <w:bCs/>
                <w:sz w:val="22"/>
                <w:szCs w:val="22"/>
              </w:rPr>
              <w:t>A</w:t>
            </w:r>
            <w:r w:rsidRPr="00F73F87">
              <w:rPr>
                <w:bCs/>
                <w:sz w:val="22"/>
                <w:szCs w:val="22"/>
              </w:rPr>
              <w:t>nnual household surveys</w:t>
            </w:r>
            <w:r>
              <w:rPr>
                <w:bCs/>
                <w:sz w:val="22"/>
                <w:szCs w:val="22"/>
              </w:rPr>
              <w:t xml:space="preserve"> should be conducted to provide evidence of changes in knowledge and practice following the behaviour change campaign and supply side efforts.(PSI)</w:t>
            </w:r>
          </w:p>
          <w:p w:rsidR="00104259" w:rsidRPr="00897DC9" w:rsidRDefault="00104259" w:rsidP="00897DC9">
            <w:pPr>
              <w:numPr>
                <w:ilvl w:val="0"/>
                <w:numId w:val="17"/>
              </w:numPr>
              <w:spacing w:after="60"/>
              <w:rPr>
                <w:bCs/>
              </w:rPr>
            </w:pPr>
            <w:r>
              <w:rPr>
                <w:bCs/>
                <w:sz w:val="22"/>
                <w:szCs w:val="22"/>
              </w:rPr>
              <w:t xml:space="preserve">A further indicator(s) is (are) added in this output which </w:t>
            </w:r>
            <w:r w:rsidRPr="004A630A">
              <w:rPr>
                <w:bCs/>
                <w:sz w:val="22"/>
                <w:szCs w:val="22"/>
              </w:rPr>
              <w:t xml:space="preserve">track </w:t>
            </w:r>
            <w:r>
              <w:rPr>
                <w:bCs/>
                <w:sz w:val="22"/>
                <w:szCs w:val="22"/>
              </w:rPr>
              <w:t>trends in ACT demand and use more frequently than annually.</w:t>
            </w:r>
            <w:r w:rsidRPr="004A630A">
              <w:rPr>
                <w:bCs/>
                <w:sz w:val="22"/>
                <w:szCs w:val="22"/>
              </w:rPr>
              <w:t xml:space="preserve"> </w:t>
            </w:r>
            <w:r>
              <w:rPr>
                <w:bCs/>
                <w:sz w:val="22"/>
                <w:szCs w:val="22"/>
              </w:rPr>
              <w:t>(PSI and DFID)</w:t>
            </w:r>
          </w:p>
          <w:p w:rsidR="00104259" w:rsidRPr="007B4757" w:rsidRDefault="00104259" w:rsidP="00A229E2">
            <w:pPr>
              <w:rPr>
                <w:b/>
                <w:bCs/>
              </w:rPr>
            </w:pPr>
          </w:p>
          <w:p w:rsidR="00104259" w:rsidRPr="007B4757" w:rsidRDefault="00104259" w:rsidP="00A229E2">
            <w:pPr>
              <w:rPr>
                <w:b/>
                <w:bCs/>
              </w:rPr>
            </w:pPr>
            <w:r w:rsidRPr="007B4757">
              <w:rPr>
                <w:b/>
                <w:bCs/>
                <w:sz w:val="22"/>
                <w:szCs w:val="22"/>
              </w:rPr>
              <w:t>Impact Weighting (%):</w:t>
            </w:r>
            <w:r>
              <w:rPr>
                <w:b/>
                <w:bCs/>
                <w:sz w:val="22"/>
                <w:szCs w:val="22"/>
              </w:rPr>
              <w:t xml:space="preserve"> 70%</w:t>
            </w:r>
          </w:p>
          <w:p w:rsidR="00104259" w:rsidRPr="007B4757" w:rsidRDefault="00104259" w:rsidP="00A229E2">
            <w:pPr>
              <w:rPr>
                <w:b/>
                <w:bCs/>
                <w:i/>
                <w:color w:val="FF0000"/>
              </w:rPr>
            </w:pPr>
            <w:r w:rsidRPr="007B4757">
              <w:rPr>
                <w:b/>
                <w:bCs/>
                <w:sz w:val="22"/>
                <w:szCs w:val="22"/>
              </w:rPr>
              <w:t xml:space="preserve">Revised since last Annual Review? </w:t>
            </w:r>
            <w:r w:rsidRPr="00F14F87">
              <w:rPr>
                <w:b/>
                <w:bCs/>
                <w:sz w:val="22"/>
                <w:szCs w:val="22"/>
              </w:rPr>
              <w:t>N</w:t>
            </w:r>
          </w:p>
          <w:p w:rsidR="00104259" w:rsidRPr="007B4757" w:rsidRDefault="00104259" w:rsidP="00A229E2">
            <w:pPr>
              <w:rPr>
                <w:b/>
                <w:bCs/>
              </w:rPr>
            </w:pPr>
          </w:p>
          <w:p w:rsidR="00104259" w:rsidRPr="007B4757" w:rsidRDefault="00104259" w:rsidP="00A229E2">
            <w:pPr>
              <w:rPr>
                <w:b/>
                <w:bCs/>
              </w:rPr>
            </w:pPr>
            <w:r w:rsidRPr="007B4757">
              <w:rPr>
                <w:b/>
                <w:bCs/>
                <w:sz w:val="22"/>
                <w:szCs w:val="22"/>
              </w:rPr>
              <w:t>Risk: High</w:t>
            </w:r>
          </w:p>
          <w:p w:rsidR="00104259" w:rsidRPr="007B4757" w:rsidRDefault="00104259" w:rsidP="00A229E2">
            <w:pPr>
              <w:rPr>
                <w:b/>
                <w:bCs/>
              </w:rPr>
            </w:pPr>
            <w:r w:rsidRPr="007B4757">
              <w:rPr>
                <w:b/>
                <w:bCs/>
                <w:sz w:val="22"/>
                <w:szCs w:val="22"/>
              </w:rPr>
              <w:t xml:space="preserve">Revised since last Annual Review? </w:t>
            </w:r>
            <w:r w:rsidRPr="00F14F87">
              <w:rPr>
                <w:b/>
                <w:bCs/>
                <w:sz w:val="22"/>
                <w:szCs w:val="22"/>
              </w:rPr>
              <w:t>N</w:t>
            </w:r>
          </w:p>
          <w:p w:rsidR="00104259" w:rsidRPr="007B4757" w:rsidRDefault="00104259" w:rsidP="00A229E2">
            <w:pPr>
              <w:rPr>
                <w:b/>
                <w:bCs/>
              </w:rPr>
            </w:pPr>
          </w:p>
        </w:tc>
      </w:tr>
    </w:tbl>
    <w:p w:rsidR="00104259" w:rsidRDefault="00104259" w:rsidP="00E74FE1"/>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10260"/>
      </w:tblGrid>
      <w:tr>
        <w:tc>
          <w:tcPr>
            <w:tcW w:w="10260" w:type="dxa"/>
            <w:tcBorders>
              <w:top w:val="single" w:sz="6" w:space="0" w:color="000000"/>
              <w:bottom w:val="single" w:sz="6" w:space="0" w:color="000000"/>
            </w:tcBorders>
            <w:shd w:val="pct30" w:color="FFFF00" w:fill="FFFFFF"/>
          </w:tcPr>
          <w:p w:rsidR="00104259" w:rsidRPr="007B4757" w:rsidRDefault="00104259" w:rsidP="00A229E2">
            <w:pPr>
              <w:pStyle w:val="Heading2"/>
              <w:rPr>
                <w:b w:val="0"/>
                <w:bCs w:val="0"/>
                <w:i w:val="0"/>
                <w:sz w:val="24"/>
                <w:szCs w:val="24"/>
              </w:rPr>
            </w:pPr>
            <w:r>
              <w:rPr>
                <w:b w:val="0"/>
                <w:bCs w:val="0"/>
                <w:i w:val="0"/>
                <w:sz w:val="24"/>
                <w:szCs w:val="24"/>
              </w:rPr>
              <w:t>Output 3: Increased opportunity, ability and motivation of private sector providers to conduct a rapid diagnostic test (RDT) prior to the appropriate prescription and dispensing of nationally approved, quality assured ACT.</w:t>
            </w:r>
          </w:p>
        </w:tc>
      </w:tr>
      <w:tr>
        <w:tc>
          <w:tcPr>
            <w:tcW w:w="10260" w:type="dxa"/>
          </w:tcPr>
          <w:p w:rsidR="00104259" w:rsidRDefault="00104259" w:rsidP="007B4757">
            <w:pPr>
              <w:spacing w:before="240" w:after="60"/>
              <w:rPr>
                <w:b/>
                <w:bCs/>
              </w:rPr>
            </w:pPr>
            <w:r w:rsidRPr="007B4757">
              <w:rPr>
                <w:b/>
                <w:bCs/>
                <w:sz w:val="22"/>
                <w:szCs w:val="22"/>
              </w:rPr>
              <w:t xml:space="preserve">Output 3 score and performance description:  </w:t>
            </w:r>
            <w:r>
              <w:rPr>
                <w:b/>
                <w:bCs/>
                <w:sz w:val="22"/>
                <w:szCs w:val="22"/>
              </w:rPr>
              <w:t>B (</w:t>
            </w:r>
            <w:r w:rsidRPr="0020069C">
              <w:rPr>
                <w:b/>
                <w:bCs/>
                <w:sz w:val="22"/>
                <w:szCs w:val="22"/>
              </w:rPr>
              <w:t>Output moderately did not meet expectation)</w:t>
            </w:r>
          </w:p>
          <w:p w:rsidR="00104259" w:rsidRPr="00E21FF8" w:rsidRDefault="00104259" w:rsidP="0020069C">
            <w:pPr>
              <w:spacing w:before="240" w:after="60"/>
              <w:rPr>
                <w:b/>
                <w:bCs/>
              </w:rPr>
            </w:pPr>
            <w:r w:rsidRPr="00897DC9">
              <w:rPr>
                <w:bCs/>
                <w:sz w:val="22"/>
                <w:szCs w:val="22"/>
              </w:rPr>
              <w:t xml:space="preserve">Under this output, </w:t>
            </w:r>
            <w:r>
              <w:rPr>
                <w:bCs/>
                <w:sz w:val="22"/>
                <w:szCs w:val="22"/>
              </w:rPr>
              <w:t xml:space="preserve">PSI is expected to </w:t>
            </w:r>
            <w:r w:rsidRPr="00814618">
              <w:rPr>
                <w:b/>
                <w:bCs/>
                <w:sz w:val="22"/>
                <w:szCs w:val="22"/>
              </w:rPr>
              <w:t>increase the availability and correct use of RDTs</w:t>
            </w:r>
            <w:r>
              <w:rPr>
                <w:bCs/>
                <w:sz w:val="22"/>
                <w:szCs w:val="22"/>
              </w:rPr>
              <w:t xml:space="preserve"> in the private sector. This would include ensuring</w:t>
            </w:r>
            <w:r w:rsidRPr="00F87062">
              <w:rPr>
                <w:bCs/>
                <w:sz w:val="22"/>
                <w:szCs w:val="22"/>
              </w:rPr>
              <w:t xml:space="preserve"> that there is a positive test for malaria before purchasing a QAACT in the private sector. This will help to avoid inappropriate treatment and unnecessary use of ACTs</w:t>
            </w:r>
            <w:r>
              <w:rPr>
                <w:bCs/>
                <w:sz w:val="22"/>
                <w:szCs w:val="22"/>
              </w:rPr>
              <w:t>. In this project there is an end of project coverage and correct usage target of 18% (among target outlets), with no distribution expected until Year 2 of the project.</w:t>
            </w:r>
          </w:p>
          <w:p w:rsidR="00104259" w:rsidRDefault="00104259" w:rsidP="001668C1">
            <w:pPr>
              <w:spacing w:before="240" w:after="60"/>
              <w:rPr>
                <w:b/>
                <w:bCs/>
              </w:rPr>
            </w:pPr>
            <w:r w:rsidRPr="007B4757">
              <w:rPr>
                <w:b/>
                <w:bCs/>
                <w:sz w:val="22"/>
                <w:szCs w:val="22"/>
              </w:rPr>
              <w:t xml:space="preserve">Progress against expected results: </w:t>
            </w:r>
          </w:p>
          <w:p w:rsidR="00104259" w:rsidRPr="0020069C" w:rsidRDefault="00104259" w:rsidP="00A35392">
            <w:pPr>
              <w:spacing w:before="240" w:after="60"/>
              <w:rPr>
                <w:b/>
                <w:bCs/>
              </w:rPr>
            </w:pPr>
            <w:r w:rsidRPr="00F87062">
              <w:rPr>
                <w:bCs/>
                <w:sz w:val="22"/>
                <w:szCs w:val="22"/>
              </w:rPr>
              <w:t xml:space="preserve">In </w:t>
            </w:r>
            <w:r>
              <w:rPr>
                <w:bCs/>
                <w:sz w:val="22"/>
                <w:szCs w:val="22"/>
              </w:rPr>
              <w:t>Burma</w:t>
            </w:r>
            <w:r w:rsidRPr="00F87062">
              <w:rPr>
                <w:bCs/>
                <w:sz w:val="22"/>
                <w:szCs w:val="22"/>
              </w:rPr>
              <w:t xml:space="preserve"> RDTs are being</w:t>
            </w:r>
            <w:r>
              <w:rPr>
                <w:bCs/>
                <w:sz w:val="22"/>
                <w:szCs w:val="22"/>
              </w:rPr>
              <w:t xml:space="preserve"> routinely</w:t>
            </w:r>
            <w:r w:rsidRPr="00F87062">
              <w:rPr>
                <w:bCs/>
                <w:sz w:val="22"/>
                <w:szCs w:val="22"/>
              </w:rPr>
              <w:t xml:space="preserve"> used in public sector facilities </w:t>
            </w:r>
            <w:r>
              <w:rPr>
                <w:bCs/>
                <w:sz w:val="22"/>
                <w:szCs w:val="22"/>
              </w:rPr>
              <w:t xml:space="preserve">(and some private sector facilities) </w:t>
            </w:r>
            <w:r w:rsidRPr="00F87062">
              <w:rPr>
                <w:bCs/>
                <w:sz w:val="22"/>
                <w:szCs w:val="22"/>
              </w:rPr>
              <w:t>before ACTs are given.</w:t>
            </w:r>
            <w:r>
              <w:rPr>
                <w:bCs/>
                <w:sz w:val="22"/>
                <w:szCs w:val="22"/>
              </w:rPr>
              <w:t xml:space="preserve"> However there are q</w:t>
            </w:r>
            <w:r w:rsidRPr="00F87062">
              <w:rPr>
                <w:bCs/>
                <w:sz w:val="22"/>
                <w:szCs w:val="22"/>
              </w:rPr>
              <w:t>uestion</w:t>
            </w:r>
            <w:r>
              <w:rPr>
                <w:bCs/>
                <w:sz w:val="22"/>
                <w:szCs w:val="22"/>
              </w:rPr>
              <w:t xml:space="preserve">s </w:t>
            </w:r>
            <w:r w:rsidRPr="00F87062">
              <w:rPr>
                <w:bCs/>
                <w:sz w:val="22"/>
                <w:szCs w:val="22"/>
              </w:rPr>
              <w:t xml:space="preserve">over </w:t>
            </w:r>
            <w:r>
              <w:rPr>
                <w:bCs/>
                <w:sz w:val="22"/>
                <w:szCs w:val="22"/>
              </w:rPr>
              <w:t xml:space="preserve">the </w:t>
            </w:r>
            <w:r w:rsidRPr="00F87062">
              <w:rPr>
                <w:bCs/>
                <w:sz w:val="22"/>
                <w:szCs w:val="22"/>
              </w:rPr>
              <w:t xml:space="preserve">motivation and skills </w:t>
            </w:r>
            <w:r>
              <w:rPr>
                <w:bCs/>
                <w:sz w:val="22"/>
                <w:szCs w:val="22"/>
              </w:rPr>
              <w:t xml:space="preserve">of private providers in pharmacies, retailers </w:t>
            </w:r>
            <w:r w:rsidRPr="00F87062">
              <w:rPr>
                <w:bCs/>
                <w:sz w:val="22"/>
                <w:szCs w:val="22"/>
              </w:rPr>
              <w:t xml:space="preserve">and </w:t>
            </w:r>
            <w:r>
              <w:rPr>
                <w:bCs/>
                <w:sz w:val="22"/>
                <w:szCs w:val="22"/>
              </w:rPr>
              <w:t>among itinerant drug vendors</w:t>
            </w:r>
            <w:r w:rsidRPr="00F87062">
              <w:rPr>
                <w:bCs/>
                <w:sz w:val="22"/>
                <w:szCs w:val="22"/>
              </w:rPr>
              <w:t xml:space="preserve"> </w:t>
            </w:r>
            <w:r w:rsidRPr="00E21FF8">
              <w:rPr>
                <w:bCs/>
                <w:sz w:val="22"/>
                <w:szCs w:val="22"/>
              </w:rPr>
              <w:t xml:space="preserve">to </w:t>
            </w:r>
            <w:r>
              <w:rPr>
                <w:bCs/>
                <w:sz w:val="22"/>
                <w:szCs w:val="22"/>
              </w:rPr>
              <w:t>use</w:t>
            </w:r>
            <w:r w:rsidRPr="00E21FF8">
              <w:rPr>
                <w:bCs/>
                <w:sz w:val="22"/>
                <w:szCs w:val="22"/>
              </w:rPr>
              <w:t xml:space="preserve"> RDTs </w:t>
            </w:r>
            <w:r>
              <w:rPr>
                <w:bCs/>
                <w:sz w:val="22"/>
                <w:szCs w:val="22"/>
              </w:rPr>
              <w:t>appropriately (that is to provide ACTs on the basis of a positive RDT test only) and concerns about implementation. There is little documented experience on this globally to draw upon. As a result of these concerns and rather tha</w:t>
            </w:r>
            <w:r w:rsidRPr="00F87062">
              <w:rPr>
                <w:bCs/>
                <w:sz w:val="22"/>
                <w:szCs w:val="22"/>
              </w:rPr>
              <w:t xml:space="preserve">n move straight </w:t>
            </w:r>
            <w:r>
              <w:rPr>
                <w:bCs/>
                <w:sz w:val="22"/>
                <w:szCs w:val="22"/>
              </w:rPr>
              <w:t>to</w:t>
            </w:r>
            <w:r w:rsidRPr="00F87062">
              <w:rPr>
                <w:bCs/>
                <w:sz w:val="22"/>
                <w:szCs w:val="22"/>
              </w:rPr>
              <w:t xml:space="preserve"> </w:t>
            </w:r>
            <w:r>
              <w:rPr>
                <w:bCs/>
                <w:sz w:val="22"/>
                <w:szCs w:val="22"/>
              </w:rPr>
              <w:t>the procurement and distribution</w:t>
            </w:r>
            <w:r w:rsidRPr="00F87062">
              <w:rPr>
                <w:bCs/>
                <w:sz w:val="22"/>
                <w:szCs w:val="22"/>
              </w:rPr>
              <w:t xml:space="preserve"> </w:t>
            </w:r>
            <w:r>
              <w:rPr>
                <w:bCs/>
                <w:sz w:val="22"/>
                <w:szCs w:val="22"/>
              </w:rPr>
              <w:t xml:space="preserve">of RDTs </w:t>
            </w:r>
            <w:r w:rsidRPr="00F87062">
              <w:rPr>
                <w:bCs/>
                <w:sz w:val="22"/>
                <w:szCs w:val="22"/>
              </w:rPr>
              <w:t>at a large scale</w:t>
            </w:r>
            <w:r>
              <w:rPr>
                <w:bCs/>
                <w:sz w:val="22"/>
                <w:szCs w:val="22"/>
              </w:rPr>
              <w:t xml:space="preserve"> in priority outlets</w:t>
            </w:r>
            <w:r w:rsidRPr="00F87062">
              <w:rPr>
                <w:bCs/>
                <w:sz w:val="22"/>
                <w:szCs w:val="22"/>
              </w:rPr>
              <w:t xml:space="preserve">, </w:t>
            </w:r>
            <w:r>
              <w:rPr>
                <w:b/>
                <w:bCs/>
                <w:sz w:val="22"/>
                <w:szCs w:val="22"/>
              </w:rPr>
              <w:t>PSI</w:t>
            </w:r>
            <w:r w:rsidRPr="00814618">
              <w:rPr>
                <w:b/>
                <w:bCs/>
                <w:sz w:val="22"/>
                <w:szCs w:val="22"/>
              </w:rPr>
              <w:t xml:space="preserve"> is proposing a limited study in six townships to test three </w:t>
            </w:r>
            <w:r>
              <w:rPr>
                <w:b/>
                <w:bCs/>
                <w:sz w:val="22"/>
                <w:szCs w:val="22"/>
              </w:rPr>
              <w:t xml:space="preserve">different </w:t>
            </w:r>
            <w:r w:rsidRPr="00814618">
              <w:rPr>
                <w:b/>
                <w:bCs/>
                <w:sz w:val="22"/>
                <w:szCs w:val="22"/>
              </w:rPr>
              <w:t>approaches</w:t>
            </w:r>
            <w:r>
              <w:rPr>
                <w:bCs/>
                <w:sz w:val="22"/>
                <w:szCs w:val="22"/>
              </w:rPr>
              <w:t xml:space="preserve"> to demand creation among private providers. PSI is i</w:t>
            </w:r>
            <w:r w:rsidRPr="00F87062">
              <w:rPr>
                <w:bCs/>
                <w:sz w:val="22"/>
                <w:szCs w:val="22"/>
              </w:rPr>
              <w:t xml:space="preserve">n </w:t>
            </w:r>
            <w:r>
              <w:rPr>
                <w:bCs/>
                <w:sz w:val="22"/>
                <w:szCs w:val="22"/>
              </w:rPr>
              <w:t xml:space="preserve">the </w:t>
            </w:r>
            <w:r w:rsidRPr="00F87062">
              <w:rPr>
                <w:bCs/>
                <w:sz w:val="22"/>
                <w:szCs w:val="22"/>
              </w:rPr>
              <w:t xml:space="preserve">process of </w:t>
            </w:r>
            <w:r>
              <w:rPr>
                <w:bCs/>
                <w:sz w:val="22"/>
                <w:szCs w:val="22"/>
              </w:rPr>
              <w:t xml:space="preserve">concluding a collaborative agreement for </w:t>
            </w:r>
            <w:r w:rsidRPr="00F87062">
              <w:rPr>
                <w:bCs/>
                <w:sz w:val="22"/>
                <w:szCs w:val="22"/>
              </w:rPr>
              <w:t xml:space="preserve"> </w:t>
            </w:r>
            <w:r>
              <w:rPr>
                <w:bCs/>
                <w:sz w:val="22"/>
                <w:szCs w:val="22"/>
              </w:rPr>
              <w:t xml:space="preserve">this </w:t>
            </w:r>
            <w:r w:rsidRPr="00F87062">
              <w:rPr>
                <w:bCs/>
                <w:sz w:val="22"/>
                <w:szCs w:val="22"/>
              </w:rPr>
              <w:t>research</w:t>
            </w:r>
            <w:r>
              <w:rPr>
                <w:bCs/>
                <w:sz w:val="22"/>
                <w:szCs w:val="22"/>
              </w:rPr>
              <w:t xml:space="preserve"> which</w:t>
            </w:r>
            <w:r w:rsidRPr="00F87062">
              <w:rPr>
                <w:bCs/>
                <w:sz w:val="22"/>
                <w:szCs w:val="22"/>
              </w:rPr>
              <w:t xml:space="preserve"> will be a mixture of supply side operational research and demand side </w:t>
            </w:r>
            <w:r>
              <w:rPr>
                <w:bCs/>
                <w:sz w:val="22"/>
                <w:szCs w:val="22"/>
              </w:rPr>
              <w:t>quantitative</w:t>
            </w:r>
            <w:r w:rsidRPr="00F87062">
              <w:rPr>
                <w:bCs/>
                <w:sz w:val="22"/>
                <w:szCs w:val="22"/>
              </w:rPr>
              <w:t xml:space="preserve"> research</w:t>
            </w:r>
            <w:r>
              <w:rPr>
                <w:bCs/>
                <w:sz w:val="22"/>
                <w:szCs w:val="22"/>
              </w:rPr>
              <w:t xml:space="preserve"> with households</w:t>
            </w:r>
            <w:r w:rsidRPr="00F87062">
              <w:rPr>
                <w:bCs/>
                <w:sz w:val="22"/>
                <w:szCs w:val="22"/>
              </w:rPr>
              <w:t>. The</w:t>
            </w:r>
            <w:r>
              <w:rPr>
                <w:b/>
                <w:bCs/>
                <w:sz w:val="22"/>
                <w:szCs w:val="22"/>
              </w:rPr>
              <w:t xml:space="preserve"> </w:t>
            </w:r>
            <w:r>
              <w:rPr>
                <w:bCs/>
                <w:sz w:val="22"/>
                <w:szCs w:val="22"/>
              </w:rPr>
              <w:t>r</w:t>
            </w:r>
            <w:r w:rsidRPr="00F87062">
              <w:rPr>
                <w:bCs/>
                <w:sz w:val="22"/>
                <w:szCs w:val="22"/>
              </w:rPr>
              <w:t xml:space="preserve">esults </w:t>
            </w:r>
            <w:r>
              <w:rPr>
                <w:bCs/>
                <w:sz w:val="22"/>
                <w:szCs w:val="22"/>
              </w:rPr>
              <w:t xml:space="preserve">will be available </w:t>
            </w:r>
            <w:r w:rsidRPr="00F87062">
              <w:rPr>
                <w:bCs/>
                <w:sz w:val="22"/>
                <w:szCs w:val="22"/>
              </w:rPr>
              <w:t>in Jan</w:t>
            </w:r>
            <w:r>
              <w:rPr>
                <w:bCs/>
                <w:sz w:val="22"/>
                <w:szCs w:val="22"/>
              </w:rPr>
              <w:t>uary</w:t>
            </w:r>
            <w:r w:rsidRPr="00F87062">
              <w:rPr>
                <w:bCs/>
                <w:sz w:val="22"/>
                <w:szCs w:val="22"/>
              </w:rPr>
              <w:t xml:space="preserve"> 2014</w:t>
            </w:r>
            <w:r>
              <w:rPr>
                <w:bCs/>
                <w:sz w:val="22"/>
                <w:szCs w:val="22"/>
              </w:rPr>
              <w:t xml:space="preserve"> at which point a decision can be taken (with the Ministry of Health) about how best to scale up the provision and use of RDTs in the project. DFID and the Gates Foundation concur with this approach given the paucity of existing evidence.</w:t>
            </w:r>
          </w:p>
        </w:tc>
      </w:tr>
      <w:tr>
        <w:tc>
          <w:tcPr>
            <w:tcW w:w="10260" w:type="dxa"/>
            <w:tcBorders>
              <w:bottom w:val="single" w:sz="6" w:space="0" w:color="000000"/>
            </w:tcBorders>
          </w:tcPr>
          <w:p w:rsidR="00104259" w:rsidRPr="007B4757" w:rsidRDefault="00104259" w:rsidP="007B4757">
            <w:pPr>
              <w:spacing w:before="240" w:after="60"/>
              <w:rPr>
                <w:b/>
                <w:bCs/>
              </w:rPr>
            </w:pPr>
            <w:r w:rsidRPr="007B4757">
              <w:rPr>
                <w:b/>
                <w:bCs/>
                <w:sz w:val="22"/>
                <w:szCs w:val="22"/>
              </w:rPr>
              <w:t xml:space="preserve">Recommendations:  </w:t>
            </w:r>
          </w:p>
          <w:p w:rsidR="00104259" w:rsidRDefault="00104259" w:rsidP="00022A36">
            <w:pPr>
              <w:numPr>
                <w:ilvl w:val="0"/>
                <w:numId w:val="18"/>
              </w:numPr>
              <w:spacing w:after="60"/>
              <w:ind w:left="714" w:hanging="357"/>
              <w:rPr>
                <w:bCs/>
              </w:rPr>
            </w:pPr>
            <w:r>
              <w:rPr>
                <w:bCs/>
                <w:sz w:val="22"/>
                <w:szCs w:val="22"/>
              </w:rPr>
              <w:t>To continue to engage with G</w:t>
            </w:r>
            <w:r w:rsidRPr="00F87062">
              <w:rPr>
                <w:bCs/>
                <w:sz w:val="22"/>
                <w:szCs w:val="22"/>
              </w:rPr>
              <w:t xml:space="preserve">overnment and </w:t>
            </w:r>
            <w:r>
              <w:rPr>
                <w:bCs/>
                <w:sz w:val="22"/>
                <w:szCs w:val="22"/>
              </w:rPr>
              <w:t>the Technical Strategy Group (for malaria)</w:t>
            </w:r>
            <w:r w:rsidRPr="00F87062">
              <w:rPr>
                <w:bCs/>
                <w:sz w:val="22"/>
                <w:szCs w:val="22"/>
              </w:rPr>
              <w:t xml:space="preserve"> to </w:t>
            </w:r>
            <w:r>
              <w:rPr>
                <w:bCs/>
                <w:sz w:val="22"/>
                <w:szCs w:val="22"/>
              </w:rPr>
              <w:t xml:space="preserve">ensure that other stakeholders are kept informed about the project’s approach to RDT deployment. (PSI) </w:t>
            </w:r>
          </w:p>
          <w:p w:rsidR="00104259" w:rsidRPr="007B4757" w:rsidRDefault="00104259" w:rsidP="00A229E2">
            <w:pPr>
              <w:rPr>
                <w:b/>
                <w:bCs/>
              </w:rPr>
            </w:pPr>
          </w:p>
          <w:p w:rsidR="00104259" w:rsidRPr="007B4757" w:rsidRDefault="00104259" w:rsidP="00A229E2">
            <w:pPr>
              <w:rPr>
                <w:b/>
                <w:bCs/>
              </w:rPr>
            </w:pPr>
            <w:r w:rsidRPr="007B4757">
              <w:rPr>
                <w:b/>
                <w:bCs/>
                <w:sz w:val="22"/>
                <w:szCs w:val="22"/>
              </w:rPr>
              <w:t>Impact Weighting (%):</w:t>
            </w:r>
            <w:r>
              <w:rPr>
                <w:b/>
                <w:bCs/>
                <w:sz w:val="22"/>
                <w:szCs w:val="22"/>
              </w:rPr>
              <w:t xml:space="preserve"> 5%</w:t>
            </w:r>
          </w:p>
          <w:p w:rsidR="00104259" w:rsidRPr="00F87062" w:rsidRDefault="00104259" w:rsidP="00A229E2">
            <w:pPr>
              <w:rPr>
                <w:b/>
                <w:bCs/>
              </w:rPr>
            </w:pPr>
            <w:r w:rsidRPr="007B4757">
              <w:rPr>
                <w:b/>
                <w:bCs/>
                <w:sz w:val="22"/>
                <w:szCs w:val="22"/>
              </w:rPr>
              <w:t xml:space="preserve">Revised since last Annual Review? </w:t>
            </w:r>
            <w:r w:rsidRPr="00F87062">
              <w:rPr>
                <w:b/>
                <w:bCs/>
                <w:sz w:val="22"/>
                <w:szCs w:val="22"/>
              </w:rPr>
              <w:t>N</w:t>
            </w:r>
          </w:p>
          <w:p w:rsidR="00104259" w:rsidRPr="007B4757" w:rsidRDefault="00104259" w:rsidP="00A229E2">
            <w:pPr>
              <w:rPr>
                <w:b/>
                <w:bCs/>
              </w:rPr>
            </w:pPr>
          </w:p>
          <w:p w:rsidR="00104259" w:rsidRPr="007B4757" w:rsidRDefault="00104259" w:rsidP="00A229E2">
            <w:pPr>
              <w:rPr>
                <w:b/>
                <w:bCs/>
              </w:rPr>
            </w:pPr>
            <w:r w:rsidRPr="007B4757">
              <w:rPr>
                <w:b/>
                <w:bCs/>
                <w:sz w:val="22"/>
                <w:szCs w:val="22"/>
              </w:rPr>
              <w:t>Risk:  High</w:t>
            </w:r>
          </w:p>
          <w:p w:rsidR="00104259" w:rsidRPr="00F87062" w:rsidRDefault="00104259" w:rsidP="00A229E2">
            <w:pPr>
              <w:rPr>
                <w:b/>
                <w:bCs/>
              </w:rPr>
            </w:pPr>
            <w:r w:rsidRPr="007B4757">
              <w:rPr>
                <w:b/>
                <w:bCs/>
                <w:sz w:val="22"/>
                <w:szCs w:val="22"/>
              </w:rPr>
              <w:t xml:space="preserve">Revised since last Annual Review? </w:t>
            </w:r>
            <w:r>
              <w:rPr>
                <w:b/>
                <w:bCs/>
                <w:sz w:val="22"/>
                <w:szCs w:val="22"/>
              </w:rPr>
              <w:t>N</w:t>
            </w:r>
          </w:p>
          <w:p w:rsidR="00104259" w:rsidRPr="007B4757" w:rsidRDefault="00104259" w:rsidP="00A229E2">
            <w:pPr>
              <w:rPr>
                <w:b/>
                <w:bCs/>
              </w:rPr>
            </w:pPr>
          </w:p>
        </w:tc>
      </w:tr>
    </w:tbl>
    <w:p w:rsidR="00104259" w:rsidRDefault="00104259" w:rsidP="008975F9">
      <w:pPr>
        <w:pStyle w:val="Heading2"/>
        <w:rPr>
          <w:i w:val="0"/>
        </w:rPr>
      </w:pPr>
    </w:p>
    <w:p w:rsidR="00104259" w:rsidRDefault="00104259" w:rsidP="00D85DFC"/>
    <w:p w:rsidR="00104259" w:rsidRDefault="00104259" w:rsidP="00D85DFC"/>
    <w:p w:rsidR="00104259" w:rsidRDefault="00104259" w:rsidP="00D85DFC"/>
    <w:p w:rsidR="00104259" w:rsidRPr="00D85DFC" w:rsidRDefault="00104259" w:rsidP="00D85DFC"/>
    <w:p w:rsidR="00104259" w:rsidRPr="0009310B" w:rsidRDefault="00104259" w:rsidP="008975F9">
      <w:pPr>
        <w:pStyle w:val="Heading2"/>
        <w:rPr>
          <w:i w:val="0"/>
        </w:rPr>
      </w:pPr>
      <w:r w:rsidRPr="0009310B">
        <w:rPr>
          <w:i w:val="0"/>
        </w:rPr>
        <w:t xml:space="preserve">Section </w:t>
      </w:r>
      <w:r>
        <w:rPr>
          <w:i w:val="0"/>
        </w:rPr>
        <w:t>B</w:t>
      </w:r>
      <w:r w:rsidRPr="0009310B">
        <w:rPr>
          <w:i w:val="0"/>
        </w:rPr>
        <w:t>: Results</w:t>
      </w:r>
      <w:r>
        <w:rPr>
          <w:i w:val="0"/>
        </w:rPr>
        <w:t xml:space="preserve"> and </w:t>
      </w:r>
      <w:r w:rsidRPr="0009310B">
        <w:rPr>
          <w:i w:val="0"/>
        </w:rPr>
        <w:t xml:space="preserve">Value </w:t>
      </w:r>
      <w:r>
        <w:rPr>
          <w:i w:val="0"/>
        </w:rPr>
        <w:t>f</w:t>
      </w:r>
      <w:r w:rsidRPr="0009310B">
        <w:rPr>
          <w:i w:val="0"/>
        </w:rPr>
        <w:t>or Money</w:t>
      </w:r>
      <w:r>
        <w:rPr>
          <w:i w:val="0"/>
        </w:rPr>
        <w:t>.</w:t>
      </w:r>
    </w:p>
    <w:p w:rsidR="00104259" w:rsidRPr="00917B88" w:rsidRDefault="00104259" w:rsidP="00C94C53"/>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10260"/>
      </w:tblGrid>
      <w:tr>
        <w:tc>
          <w:tcPr>
            <w:tcW w:w="10260" w:type="dxa"/>
            <w:tcBorders>
              <w:top w:val="single" w:sz="6" w:space="0" w:color="000000"/>
              <w:bottom w:val="single" w:sz="6" w:space="0" w:color="000000"/>
            </w:tcBorders>
            <w:shd w:val="pct30" w:color="FFFF00" w:fill="FFFFFF"/>
          </w:tcPr>
          <w:p w:rsidR="00104259" w:rsidRPr="007B4757" w:rsidRDefault="00104259" w:rsidP="00876B49">
            <w:pPr>
              <w:pStyle w:val="Heading2"/>
              <w:rPr>
                <w:b w:val="0"/>
                <w:bCs w:val="0"/>
                <w:i w:val="0"/>
                <w:sz w:val="24"/>
                <w:szCs w:val="24"/>
              </w:rPr>
            </w:pPr>
            <w:r w:rsidRPr="007B4757">
              <w:rPr>
                <w:b w:val="0"/>
                <w:bCs w:val="0"/>
                <w:i w:val="0"/>
                <w:sz w:val="24"/>
                <w:szCs w:val="24"/>
              </w:rPr>
              <w:t>1.  Progress and results</w:t>
            </w:r>
          </w:p>
        </w:tc>
      </w:tr>
      <w:tr>
        <w:tc>
          <w:tcPr>
            <w:tcW w:w="10260" w:type="dxa"/>
          </w:tcPr>
          <w:p w:rsidR="00104259" w:rsidRPr="00814618" w:rsidRDefault="00104259" w:rsidP="00814618"/>
        </w:tc>
      </w:tr>
      <w:tr>
        <w:tc>
          <w:tcPr>
            <w:tcW w:w="10260" w:type="dxa"/>
          </w:tcPr>
          <w:p w:rsidR="00104259" w:rsidRPr="00022A36" w:rsidRDefault="00104259" w:rsidP="00F14F87">
            <w:pPr>
              <w:numPr>
                <w:ilvl w:val="1"/>
                <w:numId w:val="10"/>
              </w:numPr>
              <w:spacing w:before="240" w:after="60"/>
              <w:rPr>
                <w:b/>
                <w:bCs/>
              </w:rPr>
            </w:pPr>
            <w:r w:rsidRPr="00022A36">
              <w:rPr>
                <w:b/>
                <w:bCs/>
              </w:rPr>
              <w:t xml:space="preserve">Has the logframe been updated since last review?  </w:t>
            </w:r>
          </w:p>
          <w:p w:rsidR="00104259" w:rsidRPr="00814618" w:rsidRDefault="00104259" w:rsidP="00921C08">
            <w:pPr>
              <w:rPr>
                <w:bCs/>
              </w:rPr>
            </w:pPr>
            <w:r w:rsidRPr="00814618">
              <w:rPr>
                <w:bCs/>
                <w:sz w:val="22"/>
                <w:szCs w:val="22"/>
              </w:rPr>
              <w:t xml:space="preserve">No. The log frame will be updated as a result of this review. This includes some revision of the narrative for the indicators to align with the findings of the outlet review for Output Indicators 1.2 and 1.3. </w:t>
            </w:r>
          </w:p>
          <w:p w:rsidR="00104259" w:rsidRPr="00814618" w:rsidRDefault="00104259" w:rsidP="00921C08">
            <w:pPr>
              <w:rPr>
                <w:bCs/>
              </w:rPr>
            </w:pPr>
          </w:p>
          <w:p w:rsidR="00104259" w:rsidRPr="00814618" w:rsidRDefault="00104259" w:rsidP="00921C08">
            <w:pPr>
              <w:rPr>
                <w:rFonts w:cs="Arial"/>
                <w:bCs/>
              </w:rPr>
            </w:pPr>
            <w:r w:rsidRPr="00814618">
              <w:rPr>
                <w:bCs/>
                <w:sz w:val="22"/>
                <w:szCs w:val="22"/>
              </w:rPr>
              <w:t xml:space="preserve">In addition </w:t>
            </w:r>
            <w:r w:rsidRPr="00814618">
              <w:rPr>
                <w:rFonts w:cs="Arial"/>
                <w:bCs/>
                <w:sz w:val="22"/>
                <w:szCs w:val="22"/>
              </w:rPr>
              <w:t xml:space="preserve">Output indicator 2.2 </w:t>
            </w:r>
            <w:r w:rsidRPr="00814618">
              <w:rPr>
                <w:rFonts w:cs="Arial"/>
                <w:sz w:val="22"/>
                <w:szCs w:val="22"/>
              </w:rPr>
              <w:t>(% target population (disaggregated by age and gender) who can correctly state the treatment regimen for a nationally approved and quality assured ACT) will be removed</w:t>
            </w:r>
            <w:r w:rsidRPr="00814618">
              <w:rPr>
                <w:rFonts w:cs="Arial"/>
                <w:bCs/>
                <w:sz w:val="22"/>
                <w:szCs w:val="22"/>
              </w:rPr>
              <w:t xml:space="preserve"> in line with </w:t>
            </w:r>
            <w:r w:rsidRPr="00814618">
              <w:rPr>
                <w:rFonts w:cs="Arial"/>
                <w:sz w:val="22"/>
                <w:szCs w:val="22"/>
              </w:rPr>
              <w:t>global best practice and the recent recognition by the Roll Back Malaria Monitoring and Evaluation Reference Group that this indicator is unreliable and unrealistic to measure.</w:t>
            </w:r>
          </w:p>
          <w:p w:rsidR="00104259" w:rsidRPr="00814618" w:rsidRDefault="00104259" w:rsidP="00921C08">
            <w:pPr>
              <w:rPr>
                <w:rFonts w:cs="Arial"/>
              </w:rPr>
            </w:pPr>
          </w:p>
          <w:p w:rsidR="00104259" w:rsidRPr="00814618" w:rsidRDefault="00104259" w:rsidP="00A03EA4">
            <w:pPr>
              <w:rPr>
                <w:rFonts w:cs="Arial"/>
              </w:rPr>
            </w:pPr>
            <w:r w:rsidRPr="00814618">
              <w:rPr>
                <w:rFonts w:cs="Arial"/>
                <w:bCs/>
                <w:sz w:val="22"/>
                <w:szCs w:val="22"/>
              </w:rPr>
              <w:t>Output indicator 2.3 (</w:t>
            </w:r>
            <w:r w:rsidRPr="00814618">
              <w:rPr>
                <w:rFonts w:cs="Arial"/>
                <w:sz w:val="22"/>
                <w:szCs w:val="22"/>
              </w:rPr>
              <w:t xml:space="preserve">% target population (disaggregated by age and gender) who can </w:t>
            </w:r>
            <w:r w:rsidRPr="00814618">
              <w:rPr>
                <w:rFonts w:cs="Arial"/>
                <w:sz w:val="22"/>
                <w:szCs w:val="22"/>
                <w:u w:val="single"/>
              </w:rPr>
              <w:t>name a source</w:t>
            </w:r>
            <w:r w:rsidRPr="00814618">
              <w:rPr>
                <w:rFonts w:cs="Arial"/>
                <w:sz w:val="22"/>
                <w:szCs w:val="22"/>
              </w:rPr>
              <w:t xml:space="preserve"> where a nationally approved and quality assured first-line ACT can be purchased) will be changed to % target population (disaggregated by age and gender) who can </w:t>
            </w:r>
            <w:r w:rsidRPr="00814618">
              <w:rPr>
                <w:rFonts w:cs="Arial"/>
                <w:bCs/>
                <w:sz w:val="22"/>
                <w:szCs w:val="22"/>
              </w:rPr>
              <w:t xml:space="preserve">identify </w:t>
            </w:r>
            <w:r w:rsidRPr="00814618">
              <w:rPr>
                <w:rFonts w:cs="Arial"/>
                <w:bCs/>
                <w:sz w:val="22"/>
                <w:szCs w:val="22"/>
                <w:u w:val="single"/>
              </w:rPr>
              <w:t>a local outlet</w:t>
            </w:r>
            <w:r w:rsidRPr="00814618">
              <w:rPr>
                <w:rFonts w:cs="Arial"/>
                <w:sz w:val="22"/>
                <w:szCs w:val="22"/>
              </w:rPr>
              <w:t xml:space="preserve"> where nationally approved and quality assured first-line ACT can be purchased.</w:t>
            </w:r>
          </w:p>
          <w:p w:rsidR="00104259" w:rsidRPr="00814618" w:rsidRDefault="00104259" w:rsidP="00A03EA4">
            <w:pPr>
              <w:rPr>
                <w:rFonts w:cs="Arial"/>
              </w:rPr>
            </w:pPr>
          </w:p>
          <w:p w:rsidR="00104259" w:rsidRPr="00814618" w:rsidRDefault="00104259" w:rsidP="00A03EA4">
            <w:pPr>
              <w:rPr>
                <w:rFonts w:cs="Arial"/>
                <w:bCs/>
              </w:rPr>
            </w:pPr>
            <w:r>
              <w:rPr>
                <w:rFonts w:cs="Arial"/>
                <w:sz w:val="22"/>
                <w:szCs w:val="22"/>
              </w:rPr>
              <w:t>PSI</w:t>
            </w:r>
            <w:r w:rsidRPr="00814618">
              <w:rPr>
                <w:rFonts w:cs="Arial"/>
                <w:sz w:val="22"/>
                <w:szCs w:val="22"/>
              </w:rPr>
              <w:t xml:space="preserve"> will also propose a routine monitoring indicator for Output 2</w:t>
            </w:r>
            <w:r w:rsidRPr="00814618">
              <w:rPr>
                <w:bCs/>
                <w:sz w:val="22"/>
                <w:szCs w:val="22"/>
              </w:rPr>
              <w:t xml:space="preserve"> </w:t>
            </w:r>
            <w:r w:rsidRPr="00814618">
              <w:rPr>
                <w:rFonts w:cs="Arial"/>
                <w:bCs/>
                <w:sz w:val="22"/>
                <w:szCs w:val="22"/>
              </w:rPr>
              <w:t xml:space="preserve">which tracks trends in ACT demand and use (more frequently than is available under the household survey). </w:t>
            </w:r>
          </w:p>
          <w:p w:rsidR="00104259" w:rsidRPr="00814618" w:rsidRDefault="00104259" w:rsidP="00921C08">
            <w:pPr>
              <w:rPr>
                <w:rFonts w:cs="Arial"/>
              </w:rPr>
            </w:pPr>
          </w:p>
          <w:p w:rsidR="00104259" w:rsidRPr="00814618" w:rsidRDefault="00104259" w:rsidP="0054750B">
            <w:pPr>
              <w:rPr>
                <w:rFonts w:cs="Arial"/>
                <w:bCs/>
              </w:rPr>
            </w:pPr>
            <w:r w:rsidRPr="00814618">
              <w:rPr>
                <w:rFonts w:cs="Arial"/>
                <w:bCs/>
                <w:sz w:val="22"/>
                <w:szCs w:val="22"/>
              </w:rPr>
              <w:t>Output indicator 3.1 (</w:t>
            </w:r>
            <w:r w:rsidRPr="00814618">
              <w:rPr>
                <w:rFonts w:cs="Arial"/>
                <w:sz w:val="22"/>
                <w:szCs w:val="22"/>
              </w:rPr>
              <w:t>% target outlets with nationally approved and quality assured RDTs in stock at time of survey) will not change</w:t>
            </w:r>
            <w:r>
              <w:rPr>
                <w:rFonts w:cs="Arial"/>
                <w:sz w:val="22"/>
                <w:szCs w:val="22"/>
              </w:rPr>
              <w:t xml:space="preserve">.  For </w:t>
            </w:r>
            <w:r w:rsidRPr="00814618">
              <w:rPr>
                <w:rFonts w:cs="Arial"/>
                <w:bCs/>
                <w:sz w:val="22"/>
                <w:szCs w:val="22"/>
              </w:rPr>
              <w:t>indicator 3.2 (</w:t>
            </w:r>
            <w:r w:rsidRPr="00814618">
              <w:rPr>
                <w:rFonts w:cs="Arial"/>
                <w:sz w:val="22"/>
                <w:szCs w:val="22"/>
              </w:rPr>
              <w:t xml:space="preserve">% target outlet providers </w:t>
            </w:r>
            <w:r>
              <w:rPr>
                <w:rFonts w:cs="Arial"/>
                <w:sz w:val="22"/>
                <w:szCs w:val="22"/>
              </w:rPr>
              <w:t xml:space="preserve">who have RDTs in stock at the time of the survey </w:t>
            </w:r>
            <w:r w:rsidRPr="00814618">
              <w:rPr>
                <w:rFonts w:cs="Arial"/>
                <w:sz w:val="22"/>
                <w:szCs w:val="22"/>
              </w:rPr>
              <w:t>correctly state the 5 key steps in conducting a rapid diagnostic test for malaria)</w:t>
            </w:r>
            <w:r>
              <w:rPr>
                <w:rFonts w:cs="Arial"/>
                <w:sz w:val="22"/>
                <w:szCs w:val="22"/>
              </w:rPr>
              <w:t>,</w:t>
            </w:r>
            <w:r w:rsidRPr="00814618">
              <w:rPr>
                <w:rFonts w:cs="Arial"/>
                <w:sz w:val="22"/>
                <w:szCs w:val="22"/>
              </w:rPr>
              <w:t xml:space="preserve"> </w:t>
            </w:r>
            <w:r w:rsidRPr="00814618">
              <w:rPr>
                <w:rFonts w:cs="Arial"/>
                <w:bCs/>
                <w:sz w:val="22"/>
                <w:szCs w:val="22"/>
              </w:rPr>
              <w:t>the baseline</w:t>
            </w:r>
            <w:r w:rsidRPr="00814618">
              <w:rPr>
                <w:rFonts w:cs="Arial"/>
                <w:sz w:val="22"/>
                <w:szCs w:val="22"/>
              </w:rPr>
              <w:t xml:space="preserve"> will be identified as: ‘</w:t>
            </w:r>
            <w:r w:rsidRPr="00814618">
              <w:rPr>
                <w:rFonts w:cs="Arial"/>
                <w:bCs/>
                <w:sz w:val="22"/>
                <w:szCs w:val="22"/>
              </w:rPr>
              <w:t>less than [indicator 3.1]’</w:t>
            </w:r>
            <w:r w:rsidRPr="00814618">
              <w:rPr>
                <w:rFonts w:cs="Arial"/>
                <w:sz w:val="22"/>
                <w:szCs w:val="22"/>
              </w:rPr>
              <w:t xml:space="preserve"> (above)</w:t>
            </w:r>
            <w:r w:rsidRPr="00814618">
              <w:rPr>
                <w:rFonts w:cs="Arial"/>
                <w:bCs/>
                <w:sz w:val="22"/>
                <w:szCs w:val="22"/>
              </w:rPr>
              <w:t>. This will be measured only after RDTs are deployed first in the pilot study and then scaled up.</w:t>
            </w:r>
          </w:p>
          <w:p w:rsidR="00104259" w:rsidRPr="00022A36" w:rsidRDefault="00104259" w:rsidP="007B4757">
            <w:pPr>
              <w:spacing w:before="240" w:after="60"/>
              <w:rPr>
                <w:bCs/>
              </w:rPr>
            </w:pPr>
            <w:r w:rsidRPr="00022A36">
              <w:rPr>
                <w:b/>
                <w:bCs/>
              </w:rPr>
              <w:t xml:space="preserve">1.2 Overall Output Score and Description: B </w:t>
            </w:r>
            <w:r w:rsidRPr="00022A36">
              <w:rPr>
                <w:bCs/>
              </w:rPr>
              <w:t>(outputs moderately did not meet expectation)</w:t>
            </w:r>
          </w:p>
          <w:p w:rsidR="00104259" w:rsidRPr="00814618" w:rsidRDefault="00104259" w:rsidP="007B4757">
            <w:pPr>
              <w:spacing w:before="240" w:after="60"/>
              <w:rPr>
                <w:bCs/>
              </w:rPr>
            </w:pPr>
            <w:r w:rsidRPr="00814618">
              <w:rPr>
                <w:bCs/>
                <w:sz w:val="22"/>
                <w:szCs w:val="22"/>
              </w:rPr>
              <w:t xml:space="preserve">While there has been good progress by </w:t>
            </w:r>
            <w:r>
              <w:rPr>
                <w:bCs/>
                <w:sz w:val="22"/>
                <w:szCs w:val="22"/>
              </w:rPr>
              <w:t>PSI</w:t>
            </w:r>
            <w:r w:rsidRPr="00814618">
              <w:rPr>
                <w:bCs/>
                <w:sz w:val="22"/>
                <w:szCs w:val="22"/>
              </w:rPr>
              <w:t xml:space="preserve"> to make up for time lost through the delayed start of the project, it has not been possible fully to catch up to achieve the Year 1 milestones. </w:t>
            </w:r>
          </w:p>
          <w:p w:rsidR="00104259" w:rsidRPr="00022A36" w:rsidRDefault="00104259" w:rsidP="002A36C3">
            <w:pPr>
              <w:spacing w:before="240" w:after="60"/>
              <w:rPr>
                <w:b/>
                <w:bCs/>
              </w:rPr>
            </w:pPr>
            <w:r w:rsidRPr="00022A36">
              <w:rPr>
                <w:b/>
                <w:bCs/>
              </w:rPr>
              <w:t xml:space="preserve">1.3 Direct feedback from beneficiaries. </w:t>
            </w:r>
          </w:p>
          <w:p w:rsidR="00104259" w:rsidRDefault="00104259" w:rsidP="00A17446">
            <w:pPr>
              <w:spacing w:before="240" w:after="60"/>
              <w:rPr>
                <w:bCs/>
              </w:rPr>
            </w:pPr>
            <w:r>
              <w:rPr>
                <w:bCs/>
                <w:sz w:val="22"/>
                <w:szCs w:val="22"/>
              </w:rPr>
              <w:t xml:space="preserve">The field visit undertaken for this annual review demonstrated that the Padonmar-sealed quality assured ACT procured and distributed through this project is available in a range of private sector outlets in and beyond urban areas in a Tier One region of Burma. These quality assured ACTs are being effectively marketed at the point of sale and being purchased by beneficiaries at a price comparable to a partial dose of AMT. </w:t>
            </w:r>
          </w:p>
          <w:p w:rsidR="00104259" w:rsidRPr="00814618" w:rsidRDefault="00104259" w:rsidP="00A17446">
            <w:pPr>
              <w:spacing w:before="240" w:after="60"/>
              <w:rPr>
                <w:bCs/>
              </w:rPr>
            </w:pPr>
            <w:r>
              <w:rPr>
                <w:bCs/>
                <w:sz w:val="22"/>
                <w:szCs w:val="22"/>
              </w:rPr>
              <w:t>B</w:t>
            </w:r>
            <w:r w:rsidRPr="00814618">
              <w:rPr>
                <w:bCs/>
                <w:sz w:val="22"/>
                <w:szCs w:val="22"/>
              </w:rPr>
              <w:t xml:space="preserve">eneficiary feedback is </w:t>
            </w:r>
            <w:r>
              <w:rPr>
                <w:bCs/>
                <w:sz w:val="22"/>
                <w:szCs w:val="22"/>
              </w:rPr>
              <w:t>reflected</w:t>
            </w:r>
            <w:r w:rsidRPr="00814618">
              <w:rPr>
                <w:bCs/>
                <w:sz w:val="22"/>
                <w:szCs w:val="22"/>
              </w:rPr>
              <w:t xml:space="preserve"> in the </w:t>
            </w:r>
            <w:r>
              <w:rPr>
                <w:bCs/>
                <w:sz w:val="22"/>
                <w:szCs w:val="22"/>
              </w:rPr>
              <w:t xml:space="preserve">baseline </w:t>
            </w:r>
            <w:r w:rsidRPr="00814618">
              <w:rPr>
                <w:bCs/>
                <w:sz w:val="22"/>
                <w:szCs w:val="22"/>
              </w:rPr>
              <w:t>outlet and household surveys (see Outputs 1 and 2 above)</w:t>
            </w:r>
            <w:r>
              <w:rPr>
                <w:bCs/>
                <w:sz w:val="22"/>
                <w:szCs w:val="22"/>
              </w:rPr>
              <w:t xml:space="preserve"> which captures consumer knowledge and practice before the intervention</w:t>
            </w:r>
            <w:r w:rsidRPr="00814618">
              <w:rPr>
                <w:bCs/>
                <w:sz w:val="22"/>
                <w:szCs w:val="22"/>
              </w:rPr>
              <w:t>.</w:t>
            </w:r>
            <w:r>
              <w:rPr>
                <w:bCs/>
                <w:sz w:val="22"/>
                <w:szCs w:val="22"/>
              </w:rPr>
              <w:t xml:space="preserve"> Subsequent surveys will gather further feedback from beneficiaries. </w:t>
            </w:r>
          </w:p>
        </w:tc>
      </w:tr>
      <w:tr>
        <w:trPr>
          <w:trHeight w:val="1887"/>
        </w:trPr>
        <w:tc>
          <w:tcPr>
            <w:tcW w:w="10260" w:type="dxa"/>
          </w:tcPr>
          <w:p w:rsidR="00104259" w:rsidRPr="00022A36" w:rsidRDefault="00104259" w:rsidP="00F14F87">
            <w:pPr>
              <w:numPr>
                <w:ilvl w:val="1"/>
                <w:numId w:val="11"/>
              </w:numPr>
              <w:spacing w:before="240" w:after="60"/>
              <w:rPr>
                <w:b/>
                <w:bCs/>
              </w:rPr>
            </w:pPr>
            <w:r w:rsidRPr="00022A36">
              <w:rPr>
                <w:b/>
                <w:bCs/>
              </w:rPr>
              <w:t>Summary of overall progress</w:t>
            </w:r>
          </w:p>
          <w:p w:rsidR="00104259" w:rsidRPr="00022A36" w:rsidRDefault="00104259" w:rsidP="00E6498B">
            <w:pPr>
              <w:spacing w:before="240" w:after="60"/>
              <w:rPr>
                <w:bCs/>
              </w:rPr>
            </w:pPr>
            <w:r w:rsidRPr="00022A36">
              <w:rPr>
                <w:bCs/>
                <w:sz w:val="22"/>
                <w:szCs w:val="22"/>
              </w:rPr>
              <w:t>Th</w:t>
            </w:r>
            <w:r>
              <w:rPr>
                <w:bCs/>
                <w:sz w:val="22"/>
                <w:szCs w:val="22"/>
              </w:rPr>
              <w:t xml:space="preserve">is </w:t>
            </w:r>
            <w:r w:rsidRPr="00022A36">
              <w:rPr>
                <w:bCs/>
                <w:sz w:val="22"/>
                <w:szCs w:val="22"/>
              </w:rPr>
              <w:t xml:space="preserve">project is intended to achieve a rapid switch from the widespread availability and use of artemisinin monotherapies in the private sector to the recommended </w:t>
            </w:r>
            <w:r>
              <w:rPr>
                <w:bCs/>
                <w:sz w:val="22"/>
                <w:szCs w:val="22"/>
              </w:rPr>
              <w:t xml:space="preserve">quality assured </w:t>
            </w:r>
            <w:r w:rsidRPr="00022A36">
              <w:rPr>
                <w:bCs/>
                <w:sz w:val="22"/>
                <w:szCs w:val="22"/>
              </w:rPr>
              <w:t xml:space="preserve">ACTs. </w:t>
            </w:r>
          </w:p>
          <w:p w:rsidR="00104259" w:rsidRPr="00022A36" w:rsidRDefault="00104259" w:rsidP="007A07E2">
            <w:pPr>
              <w:spacing w:before="240" w:after="60"/>
              <w:rPr>
                <w:bCs/>
              </w:rPr>
            </w:pPr>
            <w:r w:rsidRPr="00022A36">
              <w:rPr>
                <w:bCs/>
                <w:sz w:val="22"/>
                <w:szCs w:val="22"/>
              </w:rPr>
              <w:t xml:space="preserve">There was an unforeseen delay to the start of the project of between 4 to 6 months as the implementing organisation, </w:t>
            </w:r>
            <w:r>
              <w:rPr>
                <w:bCs/>
                <w:sz w:val="22"/>
                <w:szCs w:val="22"/>
              </w:rPr>
              <w:t>PSI</w:t>
            </w:r>
            <w:r w:rsidRPr="00022A36">
              <w:rPr>
                <w:bCs/>
                <w:sz w:val="22"/>
                <w:szCs w:val="22"/>
              </w:rPr>
              <w:t xml:space="preserve"> finalised its agreement for a Memorandum of Understanding with the Government of </w:t>
            </w:r>
            <w:r>
              <w:rPr>
                <w:bCs/>
                <w:sz w:val="22"/>
                <w:szCs w:val="22"/>
              </w:rPr>
              <w:t>Burma</w:t>
            </w:r>
            <w:r w:rsidRPr="00022A36">
              <w:rPr>
                <w:bCs/>
                <w:sz w:val="22"/>
                <w:szCs w:val="22"/>
              </w:rPr>
              <w:t>. As a result of this delay the project did not make as rapid progress as planned in the first year. In particular, the project sold only 200,000 doses of treatment in its first year compared to a target of 1.8m doses. However AMTR made significant progress in putting all the elements in place to replace AMT in the private sector with a QAACT including: procuring the product on the international market, securing an agreement with a distributor, developing and marketing the quality seal and developing an approach to researching the most effective strategy for deployment of RDTs, putting in place robust monitoring and evaluation arrangements.</w:t>
            </w:r>
          </w:p>
          <w:p w:rsidR="00104259" w:rsidRPr="00E6498B" w:rsidRDefault="00104259" w:rsidP="00415432">
            <w:pPr>
              <w:spacing w:before="240" w:after="60"/>
              <w:rPr>
                <w:bCs/>
              </w:rPr>
            </w:pPr>
            <w:r w:rsidRPr="00022A36">
              <w:rPr>
                <w:bCs/>
                <w:sz w:val="22"/>
                <w:szCs w:val="22"/>
              </w:rPr>
              <w:t xml:space="preserve">The Annual Review field visit </w:t>
            </w:r>
            <w:r>
              <w:rPr>
                <w:bCs/>
                <w:sz w:val="22"/>
                <w:szCs w:val="22"/>
              </w:rPr>
              <w:t>to</w:t>
            </w:r>
            <w:r w:rsidRPr="00022A36">
              <w:rPr>
                <w:bCs/>
                <w:sz w:val="22"/>
                <w:szCs w:val="22"/>
              </w:rPr>
              <w:t xml:space="preserve"> a Tier One </w:t>
            </w:r>
            <w:r>
              <w:rPr>
                <w:bCs/>
                <w:sz w:val="22"/>
                <w:szCs w:val="22"/>
              </w:rPr>
              <w:t>area of south-eastern Burma</w:t>
            </w:r>
            <w:r w:rsidRPr="00022A36">
              <w:rPr>
                <w:bCs/>
                <w:sz w:val="22"/>
                <w:szCs w:val="22"/>
              </w:rPr>
              <w:t xml:space="preserve"> confirmed that the </w:t>
            </w:r>
            <w:r>
              <w:rPr>
                <w:bCs/>
                <w:sz w:val="22"/>
                <w:szCs w:val="22"/>
              </w:rPr>
              <w:t xml:space="preserve">quality assured </w:t>
            </w:r>
            <w:r w:rsidRPr="00022A36">
              <w:rPr>
                <w:bCs/>
                <w:sz w:val="22"/>
                <w:szCs w:val="22"/>
              </w:rPr>
              <w:t>ACT</w:t>
            </w:r>
            <w:r>
              <w:rPr>
                <w:bCs/>
                <w:sz w:val="22"/>
                <w:szCs w:val="22"/>
              </w:rPr>
              <w:t xml:space="preserve"> are</w:t>
            </w:r>
            <w:r w:rsidRPr="00022A36">
              <w:rPr>
                <w:bCs/>
                <w:sz w:val="22"/>
                <w:szCs w:val="22"/>
              </w:rPr>
              <w:t xml:space="preserve"> now available for sale in the private sector,</w:t>
            </w:r>
            <w:r>
              <w:rPr>
                <w:bCs/>
                <w:sz w:val="22"/>
                <w:szCs w:val="22"/>
              </w:rPr>
              <w:t xml:space="preserve"> and these are </w:t>
            </w:r>
            <w:r w:rsidRPr="00022A36">
              <w:rPr>
                <w:bCs/>
                <w:sz w:val="22"/>
                <w:szCs w:val="22"/>
              </w:rPr>
              <w:t xml:space="preserve">supported by </w:t>
            </w:r>
            <w:r>
              <w:rPr>
                <w:bCs/>
                <w:sz w:val="22"/>
                <w:szCs w:val="22"/>
              </w:rPr>
              <w:t xml:space="preserve">behaviour change </w:t>
            </w:r>
            <w:r w:rsidRPr="00022A36">
              <w:rPr>
                <w:bCs/>
                <w:sz w:val="22"/>
                <w:szCs w:val="22"/>
              </w:rPr>
              <w:t>campaigns and information to front line outlets.</w:t>
            </w:r>
          </w:p>
        </w:tc>
      </w:tr>
      <w:tr>
        <w:trPr>
          <w:trHeight w:val="2263"/>
        </w:trPr>
        <w:tc>
          <w:tcPr>
            <w:tcW w:w="10260" w:type="dxa"/>
          </w:tcPr>
          <w:p w:rsidR="00104259" w:rsidRPr="00022A36" w:rsidRDefault="00104259" w:rsidP="001F7E8F">
            <w:pPr>
              <w:numPr>
                <w:ilvl w:val="1"/>
                <w:numId w:val="11"/>
              </w:numPr>
              <w:spacing w:before="240" w:after="60"/>
              <w:rPr>
                <w:b/>
                <w:bCs/>
              </w:rPr>
            </w:pPr>
            <w:r>
              <w:rPr>
                <w:b/>
                <w:bCs/>
              </w:rPr>
              <w:t xml:space="preserve"> </w:t>
            </w:r>
            <w:r w:rsidRPr="00022A36">
              <w:rPr>
                <w:b/>
                <w:bCs/>
              </w:rPr>
              <w:t>Key challenges</w:t>
            </w:r>
          </w:p>
          <w:p w:rsidR="00104259" w:rsidRPr="00B35C90" w:rsidRDefault="00104259" w:rsidP="00B35C90">
            <w:pPr>
              <w:numPr>
                <w:ilvl w:val="0"/>
                <w:numId w:val="34"/>
              </w:numPr>
              <w:spacing w:before="240" w:after="60"/>
              <w:rPr>
                <w:bCs/>
              </w:rPr>
            </w:pPr>
            <w:r w:rsidRPr="00022A36">
              <w:rPr>
                <w:bCs/>
                <w:sz w:val="22"/>
                <w:szCs w:val="22"/>
              </w:rPr>
              <w:t xml:space="preserve">To manage </w:t>
            </w:r>
            <w:r>
              <w:rPr>
                <w:bCs/>
                <w:sz w:val="22"/>
                <w:szCs w:val="22"/>
              </w:rPr>
              <w:t xml:space="preserve">the impact the project has on </w:t>
            </w:r>
            <w:r w:rsidRPr="00022A36">
              <w:rPr>
                <w:bCs/>
                <w:sz w:val="22"/>
                <w:szCs w:val="22"/>
              </w:rPr>
              <w:t xml:space="preserve">competition </w:t>
            </w:r>
            <w:r>
              <w:rPr>
                <w:bCs/>
                <w:sz w:val="22"/>
                <w:szCs w:val="22"/>
              </w:rPr>
              <w:t>in the malaria drugs market</w:t>
            </w:r>
            <w:r w:rsidRPr="00022A36">
              <w:rPr>
                <w:bCs/>
                <w:sz w:val="22"/>
                <w:szCs w:val="22"/>
              </w:rPr>
              <w:t xml:space="preserve"> </w:t>
            </w:r>
            <w:r>
              <w:rPr>
                <w:bCs/>
                <w:sz w:val="22"/>
                <w:szCs w:val="22"/>
              </w:rPr>
              <w:t>in Burma,</w:t>
            </w:r>
            <w:r w:rsidRPr="00022A36">
              <w:rPr>
                <w:bCs/>
                <w:sz w:val="22"/>
                <w:szCs w:val="22"/>
              </w:rPr>
              <w:t xml:space="preserve"> building on work done to date</w:t>
            </w:r>
            <w:r>
              <w:rPr>
                <w:bCs/>
                <w:sz w:val="22"/>
                <w:szCs w:val="22"/>
              </w:rPr>
              <w:t xml:space="preserve">.  </w:t>
            </w:r>
            <w:r w:rsidRPr="00B35C90">
              <w:rPr>
                <w:bCs/>
                <w:sz w:val="22"/>
                <w:szCs w:val="22"/>
              </w:rPr>
              <w:t xml:space="preserve">Currently </w:t>
            </w:r>
            <w:r>
              <w:rPr>
                <w:bCs/>
                <w:sz w:val="22"/>
                <w:szCs w:val="22"/>
              </w:rPr>
              <w:t>PSI</w:t>
            </w:r>
            <w:r w:rsidRPr="00B35C90">
              <w:rPr>
                <w:bCs/>
                <w:sz w:val="22"/>
                <w:szCs w:val="22"/>
              </w:rPr>
              <w:t xml:space="preserve"> are only working with one distributor, however </w:t>
            </w:r>
            <w:r>
              <w:rPr>
                <w:bCs/>
                <w:sz w:val="22"/>
                <w:szCs w:val="22"/>
              </w:rPr>
              <w:t xml:space="preserve">they </w:t>
            </w:r>
            <w:r w:rsidRPr="00B35C90">
              <w:rPr>
                <w:bCs/>
                <w:sz w:val="22"/>
                <w:szCs w:val="22"/>
              </w:rPr>
              <w:t xml:space="preserve">are </w:t>
            </w:r>
            <w:r>
              <w:rPr>
                <w:bCs/>
                <w:sz w:val="22"/>
                <w:szCs w:val="22"/>
              </w:rPr>
              <w:t xml:space="preserve">actively </w:t>
            </w:r>
            <w:r w:rsidRPr="00B35C90">
              <w:rPr>
                <w:bCs/>
                <w:sz w:val="22"/>
                <w:szCs w:val="22"/>
              </w:rPr>
              <w:t>seeking to work with others</w:t>
            </w:r>
            <w:r>
              <w:rPr>
                <w:bCs/>
                <w:sz w:val="22"/>
                <w:szCs w:val="22"/>
              </w:rPr>
              <w:t>.  The need to monitor c</w:t>
            </w:r>
            <w:r w:rsidRPr="001F7E8F">
              <w:rPr>
                <w:bCs/>
                <w:sz w:val="22"/>
                <w:szCs w:val="22"/>
              </w:rPr>
              <w:t xml:space="preserve">ompetition risk </w:t>
            </w:r>
            <w:r>
              <w:rPr>
                <w:bCs/>
                <w:sz w:val="22"/>
                <w:szCs w:val="22"/>
              </w:rPr>
              <w:t>was</w:t>
            </w:r>
            <w:r w:rsidRPr="001F7E8F">
              <w:rPr>
                <w:bCs/>
                <w:sz w:val="22"/>
                <w:szCs w:val="22"/>
              </w:rPr>
              <w:t xml:space="preserve"> r</w:t>
            </w:r>
            <w:r>
              <w:rPr>
                <w:bCs/>
                <w:sz w:val="22"/>
                <w:szCs w:val="22"/>
              </w:rPr>
              <w:t>aised in the Business Case appraisal. S</w:t>
            </w:r>
            <w:r w:rsidRPr="001F7E8F">
              <w:rPr>
                <w:bCs/>
                <w:sz w:val="22"/>
                <w:szCs w:val="22"/>
              </w:rPr>
              <w:t>pecific measures have been instituted t</w:t>
            </w:r>
            <w:r>
              <w:rPr>
                <w:bCs/>
                <w:sz w:val="22"/>
                <w:szCs w:val="22"/>
              </w:rPr>
              <w:t xml:space="preserve">o mitigate this including for example: </w:t>
            </w:r>
            <w:r w:rsidRPr="001F7E8F">
              <w:rPr>
                <w:bCs/>
                <w:sz w:val="22"/>
                <w:szCs w:val="22"/>
              </w:rPr>
              <w:t xml:space="preserve">non exclusivity clauses </w:t>
            </w:r>
            <w:r>
              <w:rPr>
                <w:bCs/>
                <w:sz w:val="22"/>
                <w:szCs w:val="22"/>
              </w:rPr>
              <w:t xml:space="preserve">in the </w:t>
            </w:r>
            <w:r w:rsidRPr="001F7E8F">
              <w:rPr>
                <w:bCs/>
                <w:sz w:val="22"/>
                <w:szCs w:val="22"/>
              </w:rPr>
              <w:t>contract</w:t>
            </w:r>
            <w:r>
              <w:rPr>
                <w:bCs/>
                <w:sz w:val="22"/>
                <w:szCs w:val="22"/>
              </w:rPr>
              <w:t xml:space="preserve"> with the quality assured ACT distributor</w:t>
            </w:r>
            <w:r w:rsidRPr="001F7E8F">
              <w:rPr>
                <w:bCs/>
                <w:sz w:val="22"/>
                <w:szCs w:val="22"/>
              </w:rPr>
              <w:t>; use of the ove</w:t>
            </w:r>
            <w:r>
              <w:rPr>
                <w:bCs/>
                <w:sz w:val="22"/>
                <w:szCs w:val="22"/>
              </w:rPr>
              <w:t>rall quality seal, and exploratory discussions with other pharmaceutical distributors. In addition, r</w:t>
            </w:r>
            <w:r w:rsidRPr="001F7E8F">
              <w:rPr>
                <w:bCs/>
                <w:sz w:val="22"/>
                <w:szCs w:val="22"/>
              </w:rPr>
              <w:t xml:space="preserve">egular </w:t>
            </w:r>
            <w:r>
              <w:rPr>
                <w:bCs/>
                <w:sz w:val="22"/>
                <w:szCs w:val="22"/>
              </w:rPr>
              <w:t>discussions</w:t>
            </w:r>
            <w:r w:rsidRPr="001F7E8F">
              <w:rPr>
                <w:bCs/>
                <w:sz w:val="22"/>
                <w:szCs w:val="22"/>
              </w:rPr>
              <w:t xml:space="preserve"> are held between the DFID</w:t>
            </w:r>
            <w:r>
              <w:rPr>
                <w:bCs/>
                <w:sz w:val="22"/>
                <w:szCs w:val="22"/>
              </w:rPr>
              <w:t xml:space="preserve"> Burma</w:t>
            </w:r>
            <w:r w:rsidRPr="001F7E8F">
              <w:rPr>
                <w:bCs/>
                <w:sz w:val="22"/>
                <w:szCs w:val="22"/>
              </w:rPr>
              <w:t xml:space="preserve"> </w:t>
            </w:r>
            <w:r>
              <w:rPr>
                <w:bCs/>
                <w:sz w:val="22"/>
                <w:szCs w:val="22"/>
              </w:rPr>
              <w:t>Economic Advisor</w:t>
            </w:r>
            <w:r w:rsidRPr="001F7E8F">
              <w:rPr>
                <w:bCs/>
                <w:sz w:val="22"/>
                <w:szCs w:val="22"/>
              </w:rPr>
              <w:t xml:space="preserve"> and </w:t>
            </w:r>
            <w:r>
              <w:rPr>
                <w:bCs/>
                <w:sz w:val="22"/>
                <w:szCs w:val="22"/>
              </w:rPr>
              <w:t xml:space="preserve">PSI to review competition. </w:t>
            </w:r>
          </w:p>
          <w:p w:rsidR="00104259" w:rsidRPr="00022A36" w:rsidRDefault="00104259" w:rsidP="001F7E8F">
            <w:pPr>
              <w:numPr>
                <w:ilvl w:val="0"/>
                <w:numId w:val="34"/>
              </w:numPr>
              <w:spacing w:before="240" w:after="60"/>
              <w:rPr>
                <w:bCs/>
              </w:rPr>
            </w:pPr>
            <w:r w:rsidRPr="00022A36">
              <w:rPr>
                <w:bCs/>
                <w:sz w:val="22"/>
                <w:szCs w:val="22"/>
              </w:rPr>
              <w:t xml:space="preserve">To maintain and further develop a constructive relationship with the Government of </w:t>
            </w:r>
            <w:r>
              <w:rPr>
                <w:bCs/>
                <w:sz w:val="22"/>
                <w:szCs w:val="22"/>
              </w:rPr>
              <w:t>Burma</w:t>
            </w:r>
            <w:r w:rsidRPr="00022A36">
              <w:rPr>
                <w:bCs/>
                <w:sz w:val="22"/>
                <w:szCs w:val="22"/>
              </w:rPr>
              <w:t xml:space="preserve"> especially the Ministry of Health (MOH) and National Malaria Control Programme (NMCP) at all levels to facilitate a consistent evidence based strategy for ACT provision across the public and private sectors (</w:t>
            </w:r>
            <w:r>
              <w:rPr>
                <w:bCs/>
                <w:sz w:val="22"/>
                <w:szCs w:val="22"/>
              </w:rPr>
              <w:t>PSI).  There is also the need to raise awareness of this issue among other stakeholders including Parliament.</w:t>
            </w:r>
          </w:p>
          <w:p w:rsidR="00104259" w:rsidRPr="00022A36" w:rsidRDefault="00104259" w:rsidP="001F7E8F">
            <w:pPr>
              <w:numPr>
                <w:ilvl w:val="0"/>
                <w:numId w:val="34"/>
              </w:numPr>
              <w:spacing w:before="240" w:after="60"/>
              <w:rPr>
                <w:bCs/>
              </w:rPr>
            </w:pPr>
            <w:r w:rsidRPr="00022A36">
              <w:rPr>
                <w:bCs/>
                <w:sz w:val="22"/>
                <w:szCs w:val="22"/>
              </w:rPr>
              <w:t xml:space="preserve">To ensure secure supplies of </w:t>
            </w:r>
            <w:r>
              <w:rPr>
                <w:bCs/>
                <w:sz w:val="22"/>
                <w:szCs w:val="22"/>
              </w:rPr>
              <w:t xml:space="preserve">quality assured </w:t>
            </w:r>
            <w:r w:rsidRPr="00022A36">
              <w:rPr>
                <w:bCs/>
                <w:sz w:val="22"/>
                <w:szCs w:val="22"/>
              </w:rPr>
              <w:t>ACT through the private sector in conflict affected border and non Tier One areas (</w:t>
            </w:r>
            <w:r>
              <w:rPr>
                <w:bCs/>
                <w:sz w:val="22"/>
                <w:szCs w:val="22"/>
              </w:rPr>
              <w:t>PSI</w:t>
            </w:r>
            <w:r w:rsidRPr="00022A36">
              <w:rPr>
                <w:bCs/>
                <w:sz w:val="22"/>
                <w:szCs w:val="22"/>
              </w:rPr>
              <w:t>);</w:t>
            </w:r>
          </w:p>
          <w:p w:rsidR="00104259" w:rsidRPr="008A1824" w:rsidRDefault="00104259" w:rsidP="001F7E8F">
            <w:pPr>
              <w:numPr>
                <w:ilvl w:val="0"/>
                <w:numId w:val="34"/>
              </w:numPr>
              <w:spacing w:before="240" w:after="60"/>
              <w:rPr>
                <w:bCs/>
              </w:rPr>
            </w:pPr>
            <w:r w:rsidRPr="00022A36">
              <w:rPr>
                <w:bCs/>
                <w:sz w:val="22"/>
                <w:szCs w:val="22"/>
              </w:rPr>
              <w:t>To consider the issue of sustainable market suppl</w:t>
            </w:r>
            <w:r>
              <w:rPr>
                <w:bCs/>
                <w:sz w:val="22"/>
                <w:szCs w:val="22"/>
              </w:rPr>
              <w:t xml:space="preserve">y </w:t>
            </w:r>
            <w:r w:rsidRPr="00022A36">
              <w:rPr>
                <w:bCs/>
                <w:sz w:val="22"/>
                <w:szCs w:val="22"/>
              </w:rPr>
              <w:t xml:space="preserve">of </w:t>
            </w:r>
            <w:r>
              <w:rPr>
                <w:bCs/>
                <w:sz w:val="22"/>
                <w:szCs w:val="22"/>
              </w:rPr>
              <w:t xml:space="preserve">quality assured </w:t>
            </w:r>
            <w:r w:rsidRPr="00022A36">
              <w:rPr>
                <w:bCs/>
                <w:sz w:val="22"/>
                <w:szCs w:val="22"/>
              </w:rPr>
              <w:t>ACTs once subsidies end in this project in 2014.  Now that the G</w:t>
            </w:r>
            <w:r>
              <w:rPr>
                <w:bCs/>
                <w:sz w:val="22"/>
                <w:szCs w:val="22"/>
              </w:rPr>
              <w:t xml:space="preserve">lobal Fund </w:t>
            </w:r>
            <w:r w:rsidRPr="00022A36">
              <w:rPr>
                <w:bCs/>
                <w:sz w:val="22"/>
                <w:szCs w:val="22"/>
              </w:rPr>
              <w:t xml:space="preserve">has absorbed the Affordable Medicines Facility for Malaria (AMFm) into its normal grant making process, there is an opportunity for </w:t>
            </w:r>
            <w:r>
              <w:rPr>
                <w:bCs/>
                <w:sz w:val="22"/>
                <w:szCs w:val="22"/>
              </w:rPr>
              <w:t>Burma</w:t>
            </w:r>
            <w:r w:rsidRPr="00022A36">
              <w:rPr>
                <w:bCs/>
                <w:sz w:val="22"/>
                <w:szCs w:val="22"/>
              </w:rPr>
              <w:t xml:space="preserve"> to opt for an ACT drug subsidy within its overall proposal for support. (</w:t>
            </w:r>
            <w:r>
              <w:rPr>
                <w:bCs/>
                <w:sz w:val="22"/>
                <w:szCs w:val="22"/>
              </w:rPr>
              <w:t>PSI</w:t>
            </w:r>
            <w:r w:rsidRPr="00022A36">
              <w:rPr>
                <w:bCs/>
                <w:sz w:val="22"/>
                <w:szCs w:val="22"/>
              </w:rPr>
              <w:t>, DFID and other donors and stakeholders)</w:t>
            </w:r>
          </w:p>
        </w:tc>
      </w:tr>
      <w:tr>
        <w:trPr>
          <w:trHeight w:val="3074"/>
        </w:trPr>
        <w:tc>
          <w:tcPr>
            <w:tcW w:w="10260" w:type="dxa"/>
            <w:tcBorders>
              <w:bottom w:val="single" w:sz="6" w:space="0" w:color="000000"/>
            </w:tcBorders>
          </w:tcPr>
          <w:p w:rsidR="00104259" w:rsidRDefault="00104259" w:rsidP="00F14F87">
            <w:pPr>
              <w:numPr>
                <w:ilvl w:val="1"/>
                <w:numId w:val="7"/>
              </w:numPr>
              <w:spacing w:before="240" w:after="60"/>
              <w:rPr>
                <w:b/>
                <w:bCs/>
              </w:rPr>
            </w:pPr>
            <w:r w:rsidRPr="007B4757">
              <w:rPr>
                <w:b/>
                <w:bCs/>
              </w:rPr>
              <w:t>Annual Outcome Assessment</w:t>
            </w:r>
          </w:p>
          <w:p w:rsidR="00104259" w:rsidRPr="00022A36" w:rsidRDefault="00104259" w:rsidP="002A36C3">
            <w:pPr>
              <w:spacing w:before="240" w:after="60"/>
              <w:rPr>
                <w:bCs/>
              </w:rPr>
            </w:pPr>
            <w:r w:rsidRPr="00022A36">
              <w:rPr>
                <w:bCs/>
                <w:sz w:val="22"/>
                <w:szCs w:val="22"/>
              </w:rPr>
              <w:t xml:space="preserve">Due to the </w:t>
            </w:r>
            <w:r>
              <w:rPr>
                <w:bCs/>
                <w:sz w:val="22"/>
                <w:szCs w:val="22"/>
              </w:rPr>
              <w:t xml:space="preserve">4 - </w:t>
            </w:r>
            <w:r w:rsidRPr="00022A36">
              <w:rPr>
                <w:bCs/>
                <w:sz w:val="22"/>
                <w:szCs w:val="22"/>
              </w:rPr>
              <w:t>6 months delay AMTR is behind schedule</w:t>
            </w:r>
            <w:r>
              <w:rPr>
                <w:bCs/>
                <w:sz w:val="22"/>
                <w:szCs w:val="22"/>
              </w:rPr>
              <w:t xml:space="preserve"> in making progress towards the </w:t>
            </w:r>
            <w:r w:rsidRPr="00022A36">
              <w:rPr>
                <w:bCs/>
                <w:sz w:val="22"/>
                <w:szCs w:val="22"/>
              </w:rPr>
              <w:t>outcome although progress has been rapid in the past seven months.  Continuing close monitoring of the project’s progress will demonstrate the extent to which the project is delivering its key outputs and is on track to achieve the outcome by the end of Year 3 in 2014.</w:t>
            </w:r>
          </w:p>
          <w:p w:rsidR="00104259" w:rsidRPr="00022A36" w:rsidRDefault="00104259" w:rsidP="002A36C3">
            <w:pPr>
              <w:spacing w:before="240" w:after="60"/>
              <w:rPr>
                <w:bCs/>
              </w:rPr>
            </w:pPr>
            <w:r w:rsidRPr="00022A36">
              <w:rPr>
                <w:bCs/>
                <w:sz w:val="22"/>
                <w:szCs w:val="22"/>
              </w:rPr>
              <w:t>The role of RDTs in priority outlets (which is intended to help reduce unnecessary use of artemisinin based in the private sector) is still uncertain and will require the outcome of the field testing of different approaches to the use of RDTs.</w:t>
            </w:r>
          </w:p>
          <w:p w:rsidR="00104259" w:rsidRPr="002A36C3" w:rsidRDefault="00104259" w:rsidP="007B4757">
            <w:pPr>
              <w:spacing w:before="240" w:after="60"/>
              <w:rPr>
                <w:b/>
                <w:bCs/>
              </w:rPr>
            </w:pPr>
          </w:p>
        </w:tc>
      </w:tr>
    </w:tbl>
    <w:p w:rsidR="00104259" w:rsidRDefault="00104259" w:rsidP="009575A2"/>
    <w:p w:rsidR="00104259" w:rsidRDefault="00104259" w:rsidP="009575A2"/>
    <w:p w:rsidR="00104259" w:rsidRDefault="00104259" w:rsidP="009575A2"/>
    <w:p w:rsidR="00104259" w:rsidRDefault="00104259" w:rsidP="009575A2"/>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10260"/>
      </w:tblGrid>
      <w:tr>
        <w:tc>
          <w:tcPr>
            <w:tcW w:w="10260" w:type="dxa"/>
            <w:tcBorders>
              <w:top w:val="single" w:sz="6" w:space="0" w:color="000000"/>
              <w:bottom w:val="single" w:sz="6" w:space="0" w:color="000000"/>
            </w:tcBorders>
            <w:shd w:val="pct30" w:color="FFFF00" w:fill="FFFFFF"/>
          </w:tcPr>
          <w:p w:rsidR="00104259" w:rsidRPr="007B4757" w:rsidRDefault="00104259" w:rsidP="001621BC">
            <w:pPr>
              <w:pStyle w:val="Heading2"/>
              <w:rPr>
                <w:b w:val="0"/>
                <w:bCs w:val="0"/>
                <w:i w:val="0"/>
                <w:sz w:val="24"/>
                <w:szCs w:val="24"/>
              </w:rPr>
            </w:pPr>
            <w:r w:rsidRPr="007B4757">
              <w:rPr>
                <w:b w:val="0"/>
                <w:bCs w:val="0"/>
                <w:i w:val="0"/>
                <w:sz w:val="24"/>
                <w:szCs w:val="24"/>
              </w:rPr>
              <w:t>2.  Costs and timescale</w:t>
            </w:r>
          </w:p>
        </w:tc>
      </w:tr>
      <w:tr>
        <w:trPr>
          <w:trHeight w:val="5110"/>
        </w:trPr>
        <w:tc>
          <w:tcPr>
            <w:tcW w:w="10260" w:type="dxa"/>
            <w:tcBorders>
              <w:bottom w:val="single" w:sz="6" w:space="0" w:color="000000"/>
            </w:tcBorders>
          </w:tcPr>
          <w:p w:rsidR="00104259" w:rsidRDefault="00104259" w:rsidP="007B4757">
            <w:pPr>
              <w:spacing w:before="240" w:after="60"/>
              <w:rPr>
                <w:b/>
                <w:bCs/>
              </w:rPr>
            </w:pPr>
            <w:r w:rsidRPr="007B4757">
              <w:rPr>
                <w:b/>
                <w:bCs/>
              </w:rPr>
              <w:t>2.1  Is the project on-track against financial f</w:t>
            </w:r>
            <w:r>
              <w:rPr>
                <w:b/>
                <w:bCs/>
              </w:rPr>
              <w:t xml:space="preserve">orecasts:  </w:t>
            </w:r>
          </w:p>
          <w:p w:rsidR="00104259" w:rsidRPr="00133A4B" w:rsidRDefault="00104259" w:rsidP="007B4757">
            <w:pPr>
              <w:spacing w:before="240" w:after="60"/>
              <w:rPr>
                <w:b/>
                <w:bCs/>
              </w:rPr>
            </w:pPr>
            <w:r w:rsidRPr="00133A4B">
              <w:rPr>
                <w:bCs/>
                <w:sz w:val="22"/>
                <w:szCs w:val="22"/>
              </w:rPr>
              <w:t xml:space="preserve">No. Due to implementation delays, financial forecasting in the project has been a challenge and the project </w:t>
            </w:r>
            <w:r>
              <w:rPr>
                <w:bCs/>
                <w:sz w:val="22"/>
                <w:szCs w:val="22"/>
              </w:rPr>
              <w:t>has</w:t>
            </w:r>
            <w:r w:rsidRPr="00133A4B">
              <w:rPr>
                <w:bCs/>
                <w:sz w:val="22"/>
                <w:szCs w:val="22"/>
              </w:rPr>
              <w:t xml:space="preserve"> underspent </w:t>
            </w:r>
            <w:r>
              <w:rPr>
                <w:bCs/>
                <w:sz w:val="22"/>
                <w:szCs w:val="22"/>
              </w:rPr>
              <w:t xml:space="preserve">against budget </w:t>
            </w:r>
            <w:r w:rsidRPr="00133A4B">
              <w:rPr>
                <w:bCs/>
                <w:sz w:val="22"/>
                <w:szCs w:val="22"/>
              </w:rPr>
              <w:t xml:space="preserve">at the end of the first year. With QAACTs now procured and starting to be ‘pulled through’ the </w:t>
            </w:r>
            <w:r>
              <w:rPr>
                <w:bCs/>
                <w:sz w:val="22"/>
                <w:szCs w:val="22"/>
              </w:rPr>
              <w:t xml:space="preserve">private sector </w:t>
            </w:r>
            <w:r w:rsidRPr="00133A4B">
              <w:rPr>
                <w:bCs/>
                <w:sz w:val="22"/>
                <w:szCs w:val="22"/>
              </w:rPr>
              <w:t>distribution system</w:t>
            </w:r>
            <w:r>
              <w:rPr>
                <w:bCs/>
                <w:sz w:val="22"/>
                <w:szCs w:val="22"/>
              </w:rPr>
              <w:t xml:space="preserve"> by retail sales</w:t>
            </w:r>
            <w:r w:rsidRPr="00133A4B">
              <w:rPr>
                <w:bCs/>
                <w:sz w:val="22"/>
                <w:szCs w:val="22"/>
              </w:rPr>
              <w:t xml:space="preserve">, </w:t>
            </w:r>
            <w:r>
              <w:rPr>
                <w:bCs/>
                <w:sz w:val="22"/>
                <w:szCs w:val="22"/>
              </w:rPr>
              <w:t>PSI</w:t>
            </w:r>
            <w:r w:rsidRPr="00133A4B">
              <w:rPr>
                <w:bCs/>
                <w:sz w:val="22"/>
                <w:szCs w:val="22"/>
              </w:rPr>
              <w:t xml:space="preserve"> expects forecasting in the project to improve in Year Two.</w:t>
            </w:r>
          </w:p>
          <w:p w:rsidR="00104259" w:rsidRPr="00133A4B" w:rsidRDefault="00104259" w:rsidP="00B90531">
            <w:pPr>
              <w:rPr>
                <w:b/>
                <w:bCs/>
              </w:rPr>
            </w:pPr>
          </w:p>
          <w:p w:rsidR="00104259" w:rsidRDefault="00104259" w:rsidP="00B90531">
            <w:pPr>
              <w:rPr>
                <w:b/>
                <w:bCs/>
              </w:rPr>
            </w:pPr>
            <w:r w:rsidRPr="007B4757">
              <w:rPr>
                <w:b/>
                <w:bCs/>
              </w:rPr>
              <w:t xml:space="preserve">2.2 Key cost drivers </w:t>
            </w:r>
          </w:p>
          <w:p w:rsidR="00104259" w:rsidRDefault="00104259" w:rsidP="00B90531">
            <w:pPr>
              <w:rPr>
                <w:b/>
                <w:bCs/>
              </w:rPr>
            </w:pPr>
          </w:p>
          <w:p w:rsidR="00104259" w:rsidRPr="00133A4B" w:rsidRDefault="00104259" w:rsidP="00B90531">
            <w:pPr>
              <w:rPr>
                <w:bCs/>
              </w:rPr>
            </w:pPr>
            <w:r w:rsidRPr="00133A4B">
              <w:rPr>
                <w:bCs/>
                <w:sz w:val="22"/>
                <w:szCs w:val="22"/>
              </w:rPr>
              <w:t xml:space="preserve">The main cost driver for the project is the purchase by PSI of QA ACT. These costs have been fixed in the project through the negotiation by </w:t>
            </w:r>
            <w:r>
              <w:rPr>
                <w:bCs/>
                <w:sz w:val="22"/>
                <w:szCs w:val="22"/>
              </w:rPr>
              <w:t>PSI</w:t>
            </w:r>
            <w:r w:rsidRPr="00133A4B">
              <w:rPr>
                <w:bCs/>
                <w:sz w:val="22"/>
                <w:szCs w:val="22"/>
              </w:rPr>
              <w:t xml:space="preserve"> of an Indefinite Quantity Contract with the assistance of PSI’s procurement group in the USA (see Value for Money section 5</w:t>
            </w:r>
            <w:r>
              <w:rPr>
                <w:bCs/>
                <w:sz w:val="22"/>
                <w:szCs w:val="22"/>
              </w:rPr>
              <w:t>.2</w:t>
            </w:r>
            <w:r w:rsidRPr="00133A4B">
              <w:rPr>
                <w:bCs/>
                <w:sz w:val="22"/>
                <w:szCs w:val="22"/>
              </w:rPr>
              <w:t xml:space="preserve"> below).</w:t>
            </w:r>
          </w:p>
          <w:p w:rsidR="00104259" w:rsidRDefault="00104259" w:rsidP="007B4757">
            <w:pPr>
              <w:spacing w:before="240" w:after="60"/>
              <w:rPr>
                <w:b/>
                <w:bCs/>
              </w:rPr>
            </w:pPr>
            <w:r w:rsidRPr="007B4757">
              <w:rPr>
                <w:b/>
                <w:bCs/>
              </w:rPr>
              <w:t xml:space="preserve">2.3  Is the project on-track against original timescale: </w:t>
            </w:r>
            <w:r>
              <w:rPr>
                <w:b/>
                <w:bCs/>
              </w:rPr>
              <w:t xml:space="preserve"> </w:t>
            </w:r>
          </w:p>
          <w:p w:rsidR="00104259" w:rsidRPr="00D85DFC" w:rsidRDefault="00104259" w:rsidP="007B4757">
            <w:pPr>
              <w:spacing w:before="240" w:after="60"/>
              <w:rPr>
                <w:bCs/>
              </w:rPr>
            </w:pPr>
            <w:r w:rsidRPr="00133A4B">
              <w:rPr>
                <w:bCs/>
                <w:sz w:val="22"/>
                <w:szCs w:val="22"/>
              </w:rPr>
              <w:t xml:space="preserve">No: see ‘Context’ section above for reasons for delays in project implementation. </w:t>
            </w:r>
            <w:r>
              <w:rPr>
                <w:bCs/>
                <w:sz w:val="22"/>
                <w:szCs w:val="22"/>
              </w:rPr>
              <w:t>These include a</w:t>
            </w:r>
            <w:r w:rsidRPr="00133A4B">
              <w:rPr>
                <w:bCs/>
                <w:sz w:val="22"/>
                <w:szCs w:val="22"/>
              </w:rPr>
              <w:t xml:space="preserve"> highly complex operating </w:t>
            </w:r>
            <w:r>
              <w:rPr>
                <w:bCs/>
                <w:sz w:val="22"/>
                <w:szCs w:val="22"/>
              </w:rPr>
              <w:t xml:space="preserve">environment and the </w:t>
            </w:r>
            <w:r w:rsidRPr="00133A4B">
              <w:rPr>
                <w:bCs/>
                <w:sz w:val="22"/>
                <w:szCs w:val="22"/>
              </w:rPr>
              <w:t xml:space="preserve">innovative </w:t>
            </w:r>
            <w:r>
              <w:rPr>
                <w:bCs/>
                <w:sz w:val="22"/>
                <w:szCs w:val="22"/>
              </w:rPr>
              <w:t xml:space="preserve">nature of the project which requires </w:t>
            </w:r>
            <w:r w:rsidRPr="00133A4B">
              <w:rPr>
                <w:bCs/>
                <w:sz w:val="22"/>
                <w:szCs w:val="22"/>
              </w:rPr>
              <w:t xml:space="preserve">careful monitoring.  Monthly project meetings have been instituted between </w:t>
            </w:r>
            <w:r>
              <w:rPr>
                <w:bCs/>
                <w:sz w:val="22"/>
                <w:szCs w:val="22"/>
              </w:rPr>
              <w:t>PSI</w:t>
            </w:r>
            <w:r w:rsidRPr="00133A4B">
              <w:rPr>
                <w:bCs/>
                <w:sz w:val="22"/>
                <w:szCs w:val="22"/>
              </w:rPr>
              <w:t xml:space="preserve"> and DFID to monitor project implementation risks, including financial costs and implementation delays.</w:t>
            </w:r>
          </w:p>
        </w:tc>
      </w:tr>
    </w:tbl>
    <w:p w:rsidR="00104259" w:rsidRDefault="00104259" w:rsidP="009575A2"/>
    <w:p w:rsidR="00104259" w:rsidRDefault="00104259" w:rsidP="009575A2"/>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10260"/>
      </w:tblGrid>
      <w:tr>
        <w:tc>
          <w:tcPr>
            <w:tcW w:w="10260" w:type="dxa"/>
            <w:tcBorders>
              <w:top w:val="single" w:sz="6" w:space="0" w:color="000000"/>
              <w:bottom w:val="single" w:sz="6" w:space="0" w:color="000000"/>
            </w:tcBorders>
            <w:shd w:val="pct30" w:color="FFFF00" w:fill="FFFFFF"/>
          </w:tcPr>
          <w:p w:rsidR="00104259" w:rsidRPr="007B4757" w:rsidRDefault="00104259" w:rsidP="00EE22E8">
            <w:pPr>
              <w:pStyle w:val="Heading2"/>
              <w:rPr>
                <w:b w:val="0"/>
                <w:bCs w:val="0"/>
                <w:i w:val="0"/>
                <w:sz w:val="24"/>
                <w:szCs w:val="24"/>
              </w:rPr>
            </w:pPr>
            <w:r w:rsidRPr="007B4757">
              <w:rPr>
                <w:b w:val="0"/>
                <w:bCs w:val="0"/>
                <w:i w:val="0"/>
                <w:sz w:val="24"/>
                <w:szCs w:val="24"/>
              </w:rPr>
              <w:t>3.  Evidence and Evaluation</w:t>
            </w:r>
          </w:p>
        </w:tc>
      </w:tr>
      <w:tr>
        <w:tc>
          <w:tcPr>
            <w:tcW w:w="10260" w:type="dxa"/>
            <w:tcBorders>
              <w:bottom w:val="single" w:sz="6" w:space="0" w:color="000000"/>
            </w:tcBorders>
          </w:tcPr>
          <w:p w:rsidR="00104259" w:rsidRPr="007B4757" w:rsidRDefault="00104259" w:rsidP="007B4757">
            <w:pPr>
              <w:spacing w:before="240" w:after="60"/>
              <w:rPr>
                <w:b/>
                <w:bCs/>
              </w:rPr>
            </w:pPr>
            <w:r w:rsidRPr="007B4757">
              <w:rPr>
                <w:b/>
                <w:bCs/>
              </w:rPr>
              <w:t>3.1 Assess any changes in evidence and implications for the project</w:t>
            </w:r>
          </w:p>
          <w:p w:rsidR="00104259" w:rsidRPr="00936CCD" w:rsidRDefault="00104259" w:rsidP="007B4757">
            <w:pPr>
              <w:spacing w:before="240" w:after="60"/>
              <w:rPr>
                <w:bCs/>
              </w:rPr>
            </w:pPr>
            <w:r w:rsidRPr="00936CCD">
              <w:rPr>
                <w:bCs/>
                <w:sz w:val="22"/>
                <w:szCs w:val="22"/>
              </w:rPr>
              <w:t xml:space="preserve">There have been a number of new studies and assessments on malaria in </w:t>
            </w:r>
            <w:r>
              <w:rPr>
                <w:bCs/>
                <w:sz w:val="22"/>
                <w:szCs w:val="22"/>
              </w:rPr>
              <w:t>Burma</w:t>
            </w:r>
            <w:r w:rsidRPr="00936CCD">
              <w:rPr>
                <w:bCs/>
                <w:sz w:val="22"/>
                <w:szCs w:val="22"/>
              </w:rPr>
              <w:t xml:space="preserve"> and the problem of artemisinin resistance since the project was designed and approved in 2011 (see list of key documents in Section 8 below, including the regional Strategic Assessment).  They provide additional evidence on a) the scale of the problem of artemisinin resistance and b) the importance of this intervention to address that problem in </w:t>
            </w:r>
            <w:r>
              <w:rPr>
                <w:bCs/>
                <w:sz w:val="22"/>
                <w:szCs w:val="22"/>
              </w:rPr>
              <w:t>Burma</w:t>
            </w:r>
            <w:r w:rsidRPr="00936CCD">
              <w:rPr>
                <w:bCs/>
                <w:sz w:val="22"/>
                <w:szCs w:val="22"/>
              </w:rPr>
              <w:t xml:space="preserve">. </w:t>
            </w:r>
          </w:p>
          <w:p w:rsidR="00104259" w:rsidRPr="00936CCD" w:rsidRDefault="00104259" w:rsidP="00936CCD">
            <w:pPr>
              <w:spacing w:after="60"/>
              <w:ind w:left="1080"/>
              <w:rPr>
                <w:b/>
                <w:bCs/>
              </w:rPr>
            </w:pPr>
          </w:p>
          <w:p w:rsidR="00104259" w:rsidRPr="00936CCD" w:rsidRDefault="00104259" w:rsidP="00936CCD">
            <w:pPr>
              <w:spacing w:after="60"/>
              <w:ind w:left="720" w:hanging="720"/>
              <w:rPr>
                <w:b/>
                <w:bCs/>
              </w:rPr>
            </w:pPr>
            <w:r w:rsidRPr="00936CCD">
              <w:rPr>
                <w:b/>
                <w:bCs/>
              </w:rPr>
              <w:t>3.2 Where</w:t>
            </w:r>
            <w:r w:rsidRPr="00936CCD">
              <w:rPr>
                <w:rFonts w:cs="Arial"/>
                <w:b/>
                <w:bCs/>
              </w:rPr>
              <w:t xml:space="preserve"> an evaluation is planned what progress has been made?</w:t>
            </w:r>
          </w:p>
          <w:p w:rsidR="00104259" w:rsidRPr="00936CCD" w:rsidRDefault="00104259" w:rsidP="00133A4B">
            <w:pPr>
              <w:spacing w:before="240" w:after="60"/>
              <w:rPr>
                <w:b/>
                <w:bCs/>
              </w:rPr>
            </w:pPr>
            <w:r w:rsidRPr="00936CCD">
              <w:rPr>
                <w:bCs/>
                <w:sz w:val="22"/>
                <w:szCs w:val="22"/>
              </w:rPr>
              <w:t>An independent evaluation is planned</w:t>
            </w:r>
            <w:r>
              <w:rPr>
                <w:bCs/>
                <w:sz w:val="22"/>
                <w:szCs w:val="22"/>
              </w:rPr>
              <w:t xml:space="preserve"> to start in 2013</w:t>
            </w:r>
            <w:r w:rsidRPr="00936CCD">
              <w:rPr>
                <w:bCs/>
                <w:sz w:val="22"/>
                <w:szCs w:val="22"/>
              </w:rPr>
              <w:t xml:space="preserve"> and is under procurement through DFID’s framework contract for evaluations.  The evaluation will:</w:t>
            </w:r>
          </w:p>
          <w:p w:rsidR="00104259" w:rsidRPr="00936CCD" w:rsidRDefault="00104259" w:rsidP="00936CCD">
            <w:pPr>
              <w:numPr>
                <w:ilvl w:val="0"/>
                <w:numId w:val="28"/>
              </w:numPr>
              <w:spacing w:before="240" w:after="60"/>
            </w:pPr>
            <w:r w:rsidRPr="00936CCD">
              <w:rPr>
                <w:sz w:val="22"/>
                <w:szCs w:val="22"/>
              </w:rPr>
              <w:t>assess the effectiveness  of what was done (for example,</w:t>
            </w:r>
            <w:r w:rsidRPr="00936CCD">
              <w:rPr>
                <w:sz w:val="22"/>
                <w:szCs w:val="22"/>
                <w:lang w:val="en-AU"/>
              </w:rPr>
              <w:t xml:space="preserve"> (i) the replacement of monotherapy (ii) the introduction of diagnosis and testing in the informal private sector and (iii) behaviour change strategies)</w:t>
            </w:r>
            <w:r w:rsidRPr="00936CCD">
              <w:rPr>
                <w:sz w:val="22"/>
                <w:szCs w:val="22"/>
              </w:rPr>
              <w:t xml:space="preserve">, whether and to what level the outcome targets have been achieved; </w:t>
            </w:r>
          </w:p>
          <w:p w:rsidR="00104259" w:rsidRPr="00936CCD" w:rsidRDefault="00104259" w:rsidP="00936CCD">
            <w:pPr>
              <w:numPr>
                <w:ilvl w:val="0"/>
                <w:numId w:val="28"/>
              </w:numPr>
              <w:spacing w:after="60"/>
            </w:pPr>
            <w:r w:rsidRPr="00936CCD">
              <w:rPr>
                <w:sz w:val="22"/>
                <w:szCs w:val="22"/>
                <w:lang w:val="en-AU"/>
              </w:rPr>
              <w:t xml:space="preserve">assess the value for money of the programme in delivering its outputs and outcomes; and </w:t>
            </w:r>
          </w:p>
          <w:p w:rsidR="00104259" w:rsidRPr="00936CCD" w:rsidRDefault="00104259" w:rsidP="00936CCD">
            <w:pPr>
              <w:numPr>
                <w:ilvl w:val="0"/>
                <w:numId w:val="28"/>
              </w:numPr>
              <w:spacing w:after="60"/>
            </w:pPr>
            <w:r w:rsidRPr="00936CCD">
              <w:rPr>
                <w:sz w:val="22"/>
                <w:szCs w:val="22"/>
              </w:rPr>
              <w:t xml:space="preserve">identify, document and disseminate lessons learnt for wider interest where results have or have not been achieved. </w:t>
            </w:r>
          </w:p>
          <w:p w:rsidR="00104259" w:rsidRPr="00933131" w:rsidRDefault="00104259" w:rsidP="00936CCD">
            <w:pPr>
              <w:spacing w:before="240" w:after="60"/>
              <w:rPr>
                <w:bCs/>
              </w:rPr>
            </w:pPr>
            <w:r w:rsidRPr="00936CCD">
              <w:rPr>
                <w:bCs/>
                <w:sz w:val="22"/>
                <w:szCs w:val="22"/>
              </w:rPr>
              <w:t>A reference group drawn from BMGF and DFID will steer the evaluation. The Evaluation Department of DFID will quality assure the evaluation final report.</w:t>
            </w:r>
          </w:p>
        </w:tc>
      </w:tr>
    </w:tbl>
    <w:p w:rsidR="00104259" w:rsidRDefault="00104259" w:rsidP="009575A2"/>
    <w:p w:rsidR="00104259" w:rsidRDefault="00104259" w:rsidP="009575A2"/>
    <w:p w:rsidR="00104259" w:rsidRDefault="00104259" w:rsidP="009575A2"/>
    <w:p w:rsidR="00104259" w:rsidRDefault="00104259" w:rsidP="009575A2"/>
    <w:p w:rsidR="00104259" w:rsidRDefault="00104259" w:rsidP="009575A2"/>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10260"/>
      </w:tblGrid>
      <w:tr>
        <w:tc>
          <w:tcPr>
            <w:tcW w:w="10260" w:type="dxa"/>
            <w:tcBorders>
              <w:top w:val="single" w:sz="6" w:space="0" w:color="000000"/>
              <w:bottom w:val="single" w:sz="6" w:space="0" w:color="000000"/>
            </w:tcBorders>
            <w:shd w:val="pct30" w:color="FFFF00" w:fill="FFFFFF"/>
          </w:tcPr>
          <w:p w:rsidR="00104259" w:rsidRPr="007B4757" w:rsidRDefault="00104259" w:rsidP="009E540D">
            <w:pPr>
              <w:pStyle w:val="Heading2"/>
              <w:rPr>
                <w:b w:val="0"/>
                <w:bCs w:val="0"/>
                <w:i w:val="0"/>
                <w:sz w:val="24"/>
                <w:szCs w:val="24"/>
              </w:rPr>
            </w:pPr>
            <w:r w:rsidRPr="007B4757">
              <w:rPr>
                <w:b w:val="0"/>
                <w:bCs w:val="0"/>
                <w:i w:val="0"/>
                <w:sz w:val="24"/>
                <w:szCs w:val="24"/>
              </w:rPr>
              <w:t>4.  Risk</w:t>
            </w:r>
          </w:p>
        </w:tc>
      </w:tr>
      <w:tr>
        <w:trPr>
          <w:trHeight w:val="2049"/>
        </w:trPr>
        <w:tc>
          <w:tcPr>
            <w:tcW w:w="10260" w:type="dxa"/>
          </w:tcPr>
          <w:p w:rsidR="00104259" w:rsidRPr="00DA47ED" w:rsidRDefault="00104259" w:rsidP="007B4757">
            <w:pPr>
              <w:spacing w:before="240" w:after="60"/>
              <w:rPr>
                <w:b/>
                <w:bCs/>
              </w:rPr>
            </w:pPr>
            <w:r w:rsidRPr="00DA47ED">
              <w:rPr>
                <w:b/>
                <w:bCs/>
                <w:sz w:val="22"/>
                <w:szCs w:val="22"/>
              </w:rPr>
              <w:t>4.1 Output</w:t>
            </w:r>
            <w:r w:rsidRPr="00DA47ED">
              <w:rPr>
                <w:b/>
                <w:bCs/>
              </w:rPr>
              <w:t xml:space="preserve"> Risk Rating: </w:t>
            </w:r>
          </w:p>
          <w:p w:rsidR="00104259" w:rsidRPr="00DA47ED" w:rsidRDefault="00104259" w:rsidP="006D4004">
            <w:pPr>
              <w:spacing w:before="240" w:after="60"/>
              <w:rPr>
                <w:bCs/>
              </w:rPr>
            </w:pPr>
            <w:r w:rsidRPr="00DA47ED">
              <w:rPr>
                <w:bCs/>
                <w:sz w:val="22"/>
                <w:szCs w:val="22"/>
              </w:rPr>
              <w:t>High</w:t>
            </w:r>
            <w:r w:rsidRPr="00DA47ED">
              <w:rPr>
                <w:bCs/>
              </w:rPr>
              <w:t xml:space="preserve">. </w:t>
            </w:r>
          </w:p>
          <w:p w:rsidR="00104259" w:rsidRPr="00DA47ED" w:rsidRDefault="00104259" w:rsidP="001621BC">
            <w:pPr>
              <w:rPr>
                <w:b/>
                <w:bCs/>
              </w:rPr>
            </w:pPr>
          </w:p>
          <w:p w:rsidR="00104259" w:rsidRPr="00DA47ED" w:rsidRDefault="00104259" w:rsidP="001621BC">
            <w:pPr>
              <w:rPr>
                <w:b/>
                <w:bCs/>
              </w:rPr>
            </w:pPr>
            <w:r w:rsidRPr="00DA47ED">
              <w:rPr>
                <w:b/>
                <w:bCs/>
              </w:rPr>
              <w:t>4.2 Assessment of the risk level</w:t>
            </w:r>
          </w:p>
          <w:p w:rsidR="00104259" w:rsidRPr="00DA47ED" w:rsidRDefault="00104259" w:rsidP="001621BC">
            <w:pPr>
              <w:rPr>
                <w:b/>
                <w:bCs/>
                <w:i/>
              </w:rPr>
            </w:pPr>
          </w:p>
          <w:p w:rsidR="00104259" w:rsidRPr="00DA47ED" w:rsidRDefault="00104259" w:rsidP="00D03823">
            <w:pPr>
              <w:rPr>
                <w:bCs/>
              </w:rPr>
            </w:pPr>
            <w:r w:rsidRPr="00DA47ED">
              <w:rPr>
                <w:bCs/>
                <w:sz w:val="22"/>
                <w:szCs w:val="22"/>
              </w:rPr>
              <w:t>The risk level for this project remains ‘high’.</w:t>
            </w:r>
            <w:r w:rsidRPr="00DA47ED">
              <w:rPr>
                <w:bCs/>
              </w:rPr>
              <w:t xml:space="preserve"> </w:t>
            </w:r>
            <w:r w:rsidRPr="00DA47ED">
              <w:rPr>
                <w:bCs/>
                <w:sz w:val="22"/>
                <w:szCs w:val="22"/>
              </w:rPr>
              <w:t>This reflects the difficult and rapidly changing political and epidemiological operating environment.  The risk register for the project is updated monthly and discussed in progress monitoring meetings with DFID. In addition to external factors to be managed, PSI will also include on the register internal implementation and management risks.</w:t>
            </w:r>
          </w:p>
          <w:p w:rsidR="00104259" w:rsidRPr="00DA47ED" w:rsidRDefault="00104259" w:rsidP="00D03823">
            <w:pPr>
              <w:rPr>
                <w:bCs/>
              </w:rPr>
            </w:pPr>
          </w:p>
          <w:p w:rsidR="00104259" w:rsidRPr="00DA47ED" w:rsidRDefault="00104259" w:rsidP="00D03823">
            <w:pPr>
              <w:rPr>
                <w:bCs/>
              </w:rPr>
            </w:pPr>
            <w:r w:rsidRPr="00DA47ED">
              <w:rPr>
                <w:bCs/>
                <w:sz w:val="22"/>
                <w:szCs w:val="22"/>
              </w:rPr>
              <w:t xml:space="preserve">Several milestone reviews have been scheduled to ensure that the project strategy adapts to changing circumstances and to check project progress at regular intervals. </w:t>
            </w:r>
          </w:p>
          <w:p w:rsidR="00104259" w:rsidRPr="00DA47ED" w:rsidRDefault="00104259" w:rsidP="001621BC">
            <w:pPr>
              <w:rPr>
                <w:b/>
                <w:bCs/>
              </w:rPr>
            </w:pPr>
          </w:p>
        </w:tc>
      </w:tr>
      <w:tr>
        <w:tc>
          <w:tcPr>
            <w:tcW w:w="10260" w:type="dxa"/>
            <w:tcBorders>
              <w:bottom w:val="single" w:sz="6" w:space="0" w:color="000000"/>
            </w:tcBorders>
          </w:tcPr>
          <w:p w:rsidR="00104259" w:rsidRPr="00DA47ED" w:rsidRDefault="00104259" w:rsidP="001621BC">
            <w:pPr>
              <w:rPr>
                <w:b/>
                <w:bCs/>
                <w:i/>
              </w:rPr>
            </w:pPr>
          </w:p>
          <w:p w:rsidR="00104259" w:rsidRPr="00DA47ED" w:rsidRDefault="00104259" w:rsidP="00F14F87">
            <w:pPr>
              <w:numPr>
                <w:ilvl w:val="1"/>
                <w:numId w:val="1"/>
              </w:numPr>
              <w:rPr>
                <w:b/>
                <w:bCs/>
              </w:rPr>
            </w:pPr>
            <w:r w:rsidRPr="00DA47ED">
              <w:rPr>
                <w:b/>
                <w:bCs/>
                <w:sz w:val="22"/>
                <w:szCs w:val="22"/>
              </w:rPr>
              <w:t xml:space="preserve"> Risk of funds not being used as intended</w:t>
            </w:r>
          </w:p>
          <w:p w:rsidR="00104259" w:rsidRPr="00DA47ED" w:rsidRDefault="00104259" w:rsidP="001621BC">
            <w:pPr>
              <w:rPr>
                <w:b/>
                <w:bCs/>
                <w:i/>
              </w:rPr>
            </w:pPr>
          </w:p>
          <w:p w:rsidR="00104259" w:rsidRPr="00DA47ED" w:rsidRDefault="00104259" w:rsidP="001621BC">
            <w:pPr>
              <w:rPr>
                <w:bCs/>
              </w:rPr>
            </w:pPr>
            <w:r w:rsidRPr="00DA47ED">
              <w:rPr>
                <w:bCs/>
                <w:sz w:val="22"/>
                <w:szCs w:val="22"/>
              </w:rPr>
              <w:t>There is low risk of the funds not being used as intended. Project finances are managed by PSI which has a good track record of project financial management.  PSI has reported on funds from a number of donors and demonstrated that these have been used as intended.   PSI has robust internal policies and procedures in place for reporting and managing fraud that have been tested in practice.</w:t>
            </w:r>
          </w:p>
          <w:p w:rsidR="00104259" w:rsidRPr="00DA47ED" w:rsidRDefault="00104259" w:rsidP="001621BC">
            <w:pPr>
              <w:rPr>
                <w:bCs/>
                <w:i/>
              </w:rPr>
            </w:pPr>
          </w:p>
          <w:p w:rsidR="00104259" w:rsidRPr="00DA47ED" w:rsidRDefault="00104259" w:rsidP="001621BC">
            <w:pPr>
              <w:rPr>
                <w:b/>
                <w:bCs/>
              </w:rPr>
            </w:pPr>
            <w:r w:rsidRPr="00DA47ED">
              <w:rPr>
                <w:b/>
                <w:bCs/>
                <w:sz w:val="22"/>
                <w:szCs w:val="22"/>
              </w:rPr>
              <w:t>4.4   Climate and Environment Risk</w:t>
            </w:r>
          </w:p>
          <w:p w:rsidR="00104259" w:rsidRPr="00DA47ED" w:rsidRDefault="00104259" w:rsidP="001621BC">
            <w:pPr>
              <w:rPr>
                <w:b/>
                <w:bCs/>
              </w:rPr>
            </w:pPr>
          </w:p>
          <w:p w:rsidR="00104259" w:rsidRPr="00DA47ED" w:rsidRDefault="00104259" w:rsidP="001621BC">
            <w:pPr>
              <w:rPr>
                <w:bCs/>
              </w:rPr>
            </w:pPr>
            <w:r w:rsidRPr="00DA47ED">
              <w:rPr>
                <w:bCs/>
                <w:sz w:val="22"/>
                <w:szCs w:val="22"/>
              </w:rPr>
              <w:t>There is limited evidence and low risk of climate and environment risk from this intervention. With the introduction of RDTs (which on current plans will not happen until 2014 at any scale) there is a risk of used tests being discharged into the environment. Appropriate disposal mechanisms will need to be in place and these can be tested during the research phase on use of RDTs in the private sector.</w:t>
            </w:r>
          </w:p>
          <w:p w:rsidR="00104259" w:rsidRPr="00DA47ED" w:rsidRDefault="00104259" w:rsidP="001621BC">
            <w:pPr>
              <w:rPr>
                <w:b/>
                <w:bCs/>
                <w:i/>
              </w:rPr>
            </w:pPr>
          </w:p>
          <w:p w:rsidR="00104259" w:rsidRPr="00DA47ED" w:rsidRDefault="00104259" w:rsidP="001621BC">
            <w:pPr>
              <w:rPr>
                <w:b/>
                <w:bCs/>
                <w:i/>
              </w:rPr>
            </w:pPr>
          </w:p>
        </w:tc>
      </w:tr>
    </w:tbl>
    <w:p w:rsidR="00104259" w:rsidRDefault="00104259" w:rsidP="00343D21"/>
    <w:tbl>
      <w:tblPr>
        <w:tblpPr w:leftFromText="180" w:rightFromText="180" w:vertAnchor="text" w:horzAnchor="margin" w:tblpY="44"/>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10260"/>
      </w:tblGrid>
      <w:tr>
        <w:tc>
          <w:tcPr>
            <w:tcW w:w="10260" w:type="dxa"/>
            <w:tcBorders>
              <w:top w:val="single" w:sz="6" w:space="0" w:color="000000"/>
              <w:bottom w:val="single" w:sz="6" w:space="0" w:color="000000"/>
            </w:tcBorders>
            <w:shd w:val="pct30" w:color="FFFF00" w:fill="FFFFFF"/>
          </w:tcPr>
          <w:p w:rsidR="00104259" w:rsidRPr="007B4757" w:rsidRDefault="00104259" w:rsidP="001F7E8F">
            <w:pPr>
              <w:pStyle w:val="Heading2"/>
              <w:rPr>
                <w:b w:val="0"/>
                <w:bCs w:val="0"/>
                <w:i w:val="0"/>
                <w:sz w:val="24"/>
                <w:szCs w:val="24"/>
              </w:rPr>
            </w:pPr>
            <w:r w:rsidRPr="007B4757">
              <w:rPr>
                <w:rFonts w:cs="Times New Roman"/>
                <w:b w:val="0"/>
                <w:bCs w:val="0"/>
                <w:i w:val="0"/>
                <w:iCs w:val="0"/>
                <w:sz w:val="24"/>
                <w:szCs w:val="24"/>
              </w:rPr>
              <w:br w:type="page"/>
              <w:t>5</w:t>
            </w:r>
            <w:r w:rsidRPr="007B4757">
              <w:rPr>
                <w:b w:val="0"/>
                <w:bCs w:val="0"/>
                <w:i w:val="0"/>
                <w:sz w:val="24"/>
                <w:szCs w:val="24"/>
              </w:rPr>
              <w:t>.  Value for Money</w:t>
            </w:r>
          </w:p>
        </w:tc>
      </w:tr>
      <w:tr>
        <w:tc>
          <w:tcPr>
            <w:tcW w:w="10260" w:type="dxa"/>
            <w:tcBorders>
              <w:bottom w:val="single" w:sz="6" w:space="0" w:color="000000"/>
            </w:tcBorders>
          </w:tcPr>
          <w:p w:rsidR="00104259" w:rsidRPr="007B4757" w:rsidRDefault="00104259" w:rsidP="001F7E8F">
            <w:pPr>
              <w:spacing w:before="240" w:after="60"/>
              <w:rPr>
                <w:b/>
                <w:bCs/>
              </w:rPr>
            </w:pPr>
            <w:r w:rsidRPr="007B4757">
              <w:rPr>
                <w:b/>
                <w:bCs/>
              </w:rPr>
              <w:t>5.1  Performance on VfM measures</w:t>
            </w:r>
          </w:p>
          <w:p w:rsidR="00104259" w:rsidRPr="007410D4" w:rsidRDefault="00104259" w:rsidP="001F7E8F">
            <w:pPr>
              <w:spacing w:before="240" w:after="60"/>
              <w:rPr>
                <w:bCs/>
              </w:rPr>
            </w:pPr>
            <w:r w:rsidRPr="00B95C68">
              <w:rPr>
                <w:bCs/>
                <w:sz w:val="22"/>
                <w:szCs w:val="22"/>
              </w:rPr>
              <w:t xml:space="preserve">The VFM for this proposal was elaborated in the appraisal section of the Business Case which still stands. </w:t>
            </w:r>
            <w:r w:rsidRPr="007410D4">
              <w:rPr>
                <w:bCs/>
                <w:sz w:val="22"/>
                <w:szCs w:val="22"/>
              </w:rPr>
              <w:t xml:space="preserve">Project delays mean that there are some limits </w:t>
            </w:r>
            <w:r>
              <w:rPr>
                <w:bCs/>
                <w:sz w:val="22"/>
                <w:szCs w:val="22"/>
              </w:rPr>
              <w:t>to assessing VFM at this stage</w:t>
            </w:r>
            <w:r w:rsidRPr="007410D4">
              <w:rPr>
                <w:bCs/>
                <w:sz w:val="22"/>
                <w:szCs w:val="22"/>
              </w:rPr>
              <w:t xml:space="preserve">. </w:t>
            </w:r>
          </w:p>
          <w:p w:rsidR="00104259" w:rsidRPr="007410D4" w:rsidRDefault="00104259" w:rsidP="001F7E8F">
            <w:pPr>
              <w:spacing w:before="240" w:after="60"/>
              <w:rPr>
                <w:bCs/>
              </w:rPr>
            </w:pPr>
            <w:r w:rsidRPr="007410D4">
              <w:rPr>
                <w:bCs/>
                <w:sz w:val="22"/>
                <w:szCs w:val="22"/>
              </w:rPr>
              <w:t>Economy: As stated in section 2.2, the main cost driver is the purchase of QA ACT. See the next section (5.2) for evidence on how the procurement of QA ACT has delivered good VFM.</w:t>
            </w:r>
          </w:p>
          <w:p w:rsidR="00104259" w:rsidRPr="007410D4" w:rsidRDefault="00104259" w:rsidP="001F7E8F">
            <w:pPr>
              <w:spacing w:before="240" w:after="60"/>
              <w:rPr>
                <w:bCs/>
              </w:rPr>
            </w:pPr>
            <w:r w:rsidRPr="007410D4">
              <w:rPr>
                <w:bCs/>
                <w:sz w:val="22"/>
                <w:szCs w:val="22"/>
              </w:rPr>
              <w:t xml:space="preserve">Efficiency: Because of the reasons set out in the output scoring, the project has not yet met expected outputs so we are unable to conclude that the project is delivering efficiency at this </w:t>
            </w:r>
            <w:r>
              <w:rPr>
                <w:bCs/>
                <w:sz w:val="22"/>
                <w:szCs w:val="22"/>
              </w:rPr>
              <w:t>point</w:t>
            </w:r>
            <w:r w:rsidRPr="007410D4">
              <w:rPr>
                <w:bCs/>
                <w:sz w:val="22"/>
                <w:szCs w:val="22"/>
              </w:rPr>
              <w:t xml:space="preserve">. Delivering on these outputs is the main area preventing the project being good VFM. </w:t>
            </w:r>
            <w:r>
              <w:rPr>
                <w:bCs/>
                <w:sz w:val="22"/>
                <w:szCs w:val="22"/>
              </w:rPr>
              <w:t>Ensuring delivery of outputs</w:t>
            </w:r>
            <w:r w:rsidRPr="007410D4">
              <w:rPr>
                <w:bCs/>
                <w:sz w:val="22"/>
                <w:szCs w:val="22"/>
              </w:rPr>
              <w:t xml:space="preserve"> </w:t>
            </w:r>
            <w:r>
              <w:rPr>
                <w:bCs/>
                <w:sz w:val="22"/>
                <w:szCs w:val="22"/>
              </w:rPr>
              <w:t xml:space="preserve">is now the </w:t>
            </w:r>
            <w:r w:rsidRPr="007410D4">
              <w:rPr>
                <w:bCs/>
                <w:sz w:val="22"/>
                <w:szCs w:val="22"/>
              </w:rPr>
              <w:t xml:space="preserve">focus of </w:t>
            </w:r>
            <w:r>
              <w:rPr>
                <w:bCs/>
                <w:sz w:val="22"/>
                <w:szCs w:val="22"/>
              </w:rPr>
              <w:t>PSI</w:t>
            </w:r>
            <w:r w:rsidRPr="007410D4">
              <w:rPr>
                <w:bCs/>
                <w:sz w:val="22"/>
                <w:szCs w:val="22"/>
              </w:rPr>
              <w:t xml:space="preserve"> and DFID.</w:t>
            </w:r>
          </w:p>
          <w:p w:rsidR="00104259" w:rsidRPr="007410D4" w:rsidRDefault="00104259" w:rsidP="001F7E8F">
            <w:pPr>
              <w:spacing w:before="240" w:after="60"/>
              <w:rPr>
                <w:bCs/>
              </w:rPr>
            </w:pPr>
            <w:r w:rsidRPr="007410D4">
              <w:rPr>
                <w:bCs/>
                <w:sz w:val="22"/>
                <w:szCs w:val="22"/>
              </w:rPr>
              <w:t>Effectiveness: As the Business Case laid out, there is a very strong VFM case for preventing the spread of artemisinin resistance. This is further backed up by additional evidence outlined in section 5.4 below. This project is an importan</w:t>
            </w:r>
            <w:r>
              <w:rPr>
                <w:bCs/>
                <w:sz w:val="22"/>
                <w:szCs w:val="22"/>
              </w:rPr>
              <w:t>t part of fighting the spread of</w:t>
            </w:r>
            <w:r w:rsidRPr="007410D4">
              <w:rPr>
                <w:bCs/>
                <w:sz w:val="22"/>
                <w:szCs w:val="22"/>
              </w:rPr>
              <w:t xml:space="preserve"> resistance</w:t>
            </w:r>
            <w:r>
              <w:rPr>
                <w:bCs/>
                <w:sz w:val="22"/>
                <w:szCs w:val="22"/>
              </w:rPr>
              <w:t xml:space="preserve"> in Burma and beyond</w:t>
            </w:r>
            <w:r w:rsidRPr="007410D4">
              <w:rPr>
                <w:bCs/>
                <w:sz w:val="22"/>
                <w:szCs w:val="22"/>
              </w:rPr>
              <w:t>.</w:t>
            </w:r>
          </w:p>
          <w:p w:rsidR="00104259" w:rsidRPr="00B95C68" w:rsidRDefault="00104259" w:rsidP="001F7E8F">
            <w:pPr>
              <w:spacing w:before="240" w:after="60"/>
              <w:rPr>
                <w:bCs/>
              </w:rPr>
            </w:pPr>
            <w:r w:rsidRPr="007410D4">
              <w:rPr>
                <w:bCs/>
                <w:sz w:val="22"/>
                <w:szCs w:val="22"/>
              </w:rPr>
              <w:t>Equity: It is too early to assess the impact this project has had on vulnerable groups.</w:t>
            </w:r>
          </w:p>
          <w:p w:rsidR="00104259" w:rsidRPr="007B4757" w:rsidRDefault="00104259" w:rsidP="001F7E8F">
            <w:pPr>
              <w:spacing w:before="240" w:after="60"/>
              <w:rPr>
                <w:b/>
                <w:bCs/>
              </w:rPr>
            </w:pPr>
            <w:r w:rsidRPr="007B4757">
              <w:rPr>
                <w:b/>
                <w:bCs/>
              </w:rPr>
              <w:t>5.2  Commercial Improvement and Value for Money</w:t>
            </w:r>
          </w:p>
          <w:p w:rsidR="00104259" w:rsidRDefault="00104259" w:rsidP="001F7E8F">
            <w:pPr>
              <w:rPr>
                <w:b/>
                <w:bCs/>
              </w:rPr>
            </w:pPr>
          </w:p>
          <w:p w:rsidR="00104259" w:rsidRDefault="00104259" w:rsidP="009220F0">
            <w:r>
              <w:rPr>
                <w:bCs/>
                <w:sz w:val="22"/>
                <w:szCs w:val="22"/>
              </w:rPr>
              <w:t>Commercial improvement within the project has focused on the VFM in procurement of the quality assured ACT (Artemeter Lumafantrine (AL)). PSI received and assessed two bids for the supply of this ACT and sought DFID agreement on the price and VFM of this procurement in February 2012 as required in the Business Case.  PSI made the case to DFID for an Indefinite Quantity Contract (IQC) at a price fixed for 2 years which allowed tertiary packaging and overbranding.  The features of the supply contract allow PSI significant flexibility in purchasing the required amount of AL (which is somewhat unpredictable) while meeting the project requirements for marketing and promoting the ‘Padonmar’ quality seal</w:t>
            </w:r>
          </w:p>
          <w:p w:rsidR="00104259" w:rsidRPr="006706B7" w:rsidRDefault="00104259" w:rsidP="001F7E8F">
            <w:pPr>
              <w:rPr>
                <w:bCs/>
              </w:rPr>
            </w:pPr>
            <w:r>
              <w:rPr>
                <w:bCs/>
                <w:sz w:val="22"/>
                <w:szCs w:val="22"/>
              </w:rPr>
              <w:t xml:space="preserve"> </w:t>
            </w:r>
          </w:p>
          <w:p w:rsidR="00104259" w:rsidRPr="007B4757" w:rsidRDefault="00104259" w:rsidP="001F7E8F">
            <w:pPr>
              <w:rPr>
                <w:b/>
                <w:bCs/>
              </w:rPr>
            </w:pPr>
            <w:r w:rsidRPr="007B4757">
              <w:rPr>
                <w:b/>
                <w:bCs/>
              </w:rPr>
              <w:t>5.3  Role of project partners</w:t>
            </w:r>
          </w:p>
          <w:p w:rsidR="00104259" w:rsidRDefault="00104259" w:rsidP="001F7E8F">
            <w:pPr>
              <w:rPr>
                <w:b/>
                <w:bCs/>
              </w:rPr>
            </w:pPr>
          </w:p>
          <w:p w:rsidR="00104259" w:rsidRPr="006706B7" w:rsidRDefault="00104259" w:rsidP="009220F0">
            <w:pPr>
              <w:spacing w:after="120"/>
            </w:pPr>
            <w:r>
              <w:rPr>
                <w:bCs/>
                <w:sz w:val="22"/>
                <w:szCs w:val="22"/>
              </w:rPr>
              <w:t>PSI</w:t>
            </w:r>
            <w:r w:rsidRPr="00162F98">
              <w:rPr>
                <w:bCs/>
                <w:sz w:val="22"/>
                <w:szCs w:val="22"/>
              </w:rPr>
              <w:t xml:space="preserve">’s </w:t>
            </w:r>
            <w:r>
              <w:rPr>
                <w:bCs/>
                <w:sz w:val="22"/>
                <w:szCs w:val="22"/>
              </w:rPr>
              <w:t xml:space="preserve">own </w:t>
            </w:r>
            <w:r w:rsidRPr="00162F98">
              <w:rPr>
                <w:bCs/>
                <w:sz w:val="22"/>
                <w:szCs w:val="22"/>
              </w:rPr>
              <w:t xml:space="preserve">procurement practices in this project are </w:t>
            </w:r>
            <w:r>
              <w:rPr>
                <w:bCs/>
                <w:sz w:val="22"/>
                <w:szCs w:val="22"/>
              </w:rPr>
              <w:t xml:space="preserve">important for realising VFM at the level of economy. </w:t>
            </w:r>
            <w:r>
              <w:rPr>
                <w:szCs w:val="22"/>
              </w:rPr>
              <w:t xml:space="preserve"> </w:t>
            </w:r>
            <w:r w:rsidRPr="006706B7">
              <w:rPr>
                <w:sz w:val="22"/>
                <w:szCs w:val="22"/>
              </w:rPr>
              <w:t>PSI has procured more products worldwide than any other private entity engaged in social marketing.  For example, in 2010, PSI procured more than 10 million courses of ACT worldwide</w:t>
            </w:r>
            <w:r>
              <w:rPr>
                <w:sz w:val="22"/>
                <w:szCs w:val="22"/>
              </w:rPr>
              <w:t>, and its large operation benefits from economies of scale to ensure value for money.</w:t>
            </w:r>
          </w:p>
          <w:p w:rsidR="00104259" w:rsidRPr="006706B7" w:rsidRDefault="00104259" w:rsidP="009220F0">
            <w:r w:rsidRPr="006706B7">
              <w:rPr>
                <w:sz w:val="22"/>
                <w:szCs w:val="22"/>
              </w:rPr>
              <w:t xml:space="preserve">PSI’s Procurement and Logistics Department is based in its headquarters office in Washington, DC, to facilitate the international procurement of products.  PSI follows stringent procedures and controls, following international </w:t>
            </w:r>
            <w:r>
              <w:rPr>
                <w:sz w:val="22"/>
                <w:szCs w:val="22"/>
              </w:rPr>
              <w:t xml:space="preserve">procurement </w:t>
            </w:r>
            <w:r w:rsidRPr="006706B7">
              <w:rPr>
                <w:sz w:val="22"/>
                <w:szCs w:val="22"/>
              </w:rPr>
              <w:t xml:space="preserve">guidelines.  PSI has used its procurement mechanisms to purchase ACT at the best price, ensure quality through formal lot sampling and testing, and maintain an uninterrupted supply. </w:t>
            </w:r>
          </w:p>
          <w:p w:rsidR="00104259" w:rsidRPr="00162F98" w:rsidRDefault="00104259" w:rsidP="009220F0">
            <w:pPr>
              <w:rPr>
                <w:bCs/>
              </w:rPr>
            </w:pPr>
          </w:p>
          <w:p w:rsidR="00104259" w:rsidRDefault="00104259" w:rsidP="001F7E8F">
            <w:pPr>
              <w:spacing w:before="240" w:after="60"/>
              <w:rPr>
                <w:b/>
                <w:bCs/>
              </w:rPr>
            </w:pPr>
            <w:r>
              <w:rPr>
                <w:bCs/>
                <w:sz w:val="22"/>
                <w:szCs w:val="22"/>
              </w:rPr>
              <w:t>See 5.1 and 5.2.</w:t>
            </w:r>
            <w:r w:rsidRPr="007B4757">
              <w:rPr>
                <w:b/>
                <w:bCs/>
              </w:rPr>
              <w:t xml:space="preserve">5.4  Does the project still </w:t>
            </w:r>
            <w:r>
              <w:rPr>
                <w:b/>
                <w:bCs/>
              </w:rPr>
              <w:t xml:space="preserve">represent Value for Money: </w:t>
            </w:r>
          </w:p>
          <w:p w:rsidR="00104259" w:rsidRDefault="00104259" w:rsidP="001F7E8F">
            <w:pPr>
              <w:rPr>
                <w:bCs/>
              </w:rPr>
            </w:pPr>
            <w:r w:rsidRPr="00162F98">
              <w:rPr>
                <w:bCs/>
                <w:sz w:val="22"/>
                <w:szCs w:val="22"/>
              </w:rPr>
              <w:t>Yes, a paper prepared for the October 2012 Malaria Summit in Australia</w:t>
            </w:r>
            <w:r w:rsidRPr="00162F98">
              <w:rPr>
                <w:rStyle w:val="FootnoteReference"/>
                <w:bCs/>
                <w:sz w:val="22"/>
                <w:szCs w:val="22"/>
              </w:rPr>
              <w:footnoteReference w:id="3"/>
            </w:r>
            <w:r w:rsidRPr="00162F98">
              <w:rPr>
                <w:bCs/>
                <w:sz w:val="22"/>
                <w:szCs w:val="22"/>
              </w:rPr>
              <w:t xml:space="preserve"> reiterated the importance of the issue of artemisinin resistance spread and estimated that if unchecked, global malaria mortality could rise by 25% with an economic cost of $4billion annually. </w:t>
            </w:r>
            <w:r>
              <w:rPr>
                <w:bCs/>
                <w:sz w:val="22"/>
                <w:szCs w:val="22"/>
              </w:rPr>
              <w:t xml:space="preserve"> The project is expected to contribute significantly to containing that spread, despite the delays that have occurred at the beginning of the project</w:t>
            </w:r>
          </w:p>
          <w:p w:rsidR="00104259" w:rsidRPr="006706B7" w:rsidRDefault="00104259" w:rsidP="001F7E8F">
            <w:pPr>
              <w:rPr>
                <w:b/>
                <w:bCs/>
                <w:color w:val="FF0000"/>
              </w:rPr>
            </w:pPr>
          </w:p>
          <w:p w:rsidR="00104259" w:rsidRDefault="00104259" w:rsidP="001F7E8F">
            <w:pPr>
              <w:rPr>
                <w:b/>
                <w:bCs/>
              </w:rPr>
            </w:pPr>
          </w:p>
          <w:p w:rsidR="00104259" w:rsidRPr="007B4757" w:rsidRDefault="00104259" w:rsidP="006706B7">
            <w:pPr>
              <w:rPr>
                <w:b/>
                <w:bCs/>
              </w:rPr>
            </w:pPr>
          </w:p>
        </w:tc>
      </w:tr>
    </w:tbl>
    <w:p w:rsidR="00104259" w:rsidRDefault="00104259"/>
    <w:p w:rsidR="00104259" w:rsidRPr="00910AA2" w:rsidRDefault="00104259" w:rsidP="00910AA2"/>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10260"/>
      </w:tblGrid>
      <w:tr>
        <w:tc>
          <w:tcPr>
            <w:tcW w:w="10260" w:type="dxa"/>
            <w:tcBorders>
              <w:top w:val="single" w:sz="6" w:space="0" w:color="000000"/>
              <w:bottom w:val="single" w:sz="6" w:space="0" w:color="000000"/>
            </w:tcBorders>
            <w:shd w:val="pct30" w:color="FFFF00" w:fill="FFFFFF"/>
          </w:tcPr>
          <w:p w:rsidR="00104259" w:rsidRPr="007B4757" w:rsidRDefault="00104259" w:rsidP="001621BC">
            <w:pPr>
              <w:pStyle w:val="Heading2"/>
              <w:rPr>
                <w:b w:val="0"/>
                <w:bCs w:val="0"/>
                <w:i w:val="0"/>
                <w:sz w:val="24"/>
                <w:szCs w:val="24"/>
              </w:rPr>
            </w:pPr>
            <w:r w:rsidRPr="007B4757">
              <w:rPr>
                <w:b w:val="0"/>
                <w:bCs w:val="0"/>
                <w:i w:val="0"/>
                <w:sz w:val="24"/>
                <w:szCs w:val="24"/>
              </w:rPr>
              <w:t>6.  Conditionality</w:t>
            </w:r>
          </w:p>
        </w:tc>
      </w:tr>
      <w:tr>
        <w:tc>
          <w:tcPr>
            <w:tcW w:w="10260" w:type="dxa"/>
            <w:tcBorders>
              <w:bottom w:val="single" w:sz="6" w:space="0" w:color="000000"/>
            </w:tcBorders>
          </w:tcPr>
          <w:p w:rsidR="00104259" w:rsidRPr="007B4757" w:rsidRDefault="00104259" w:rsidP="00354399">
            <w:pPr>
              <w:rPr>
                <w:b/>
                <w:bCs/>
              </w:rPr>
            </w:pPr>
          </w:p>
          <w:p w:rsidR="00104259" w:rsidRPr="007B4757" w:rsidRDefault="00104259" w:rsidP="00354399">
            <w:pPr>
              <w:rPr>
                <w:b/>
                <w:bCs/>
              </w:rPr>
            </w:pPr>
            <w:r w:rsidRPr="007B4757">
              <w:rPr>
                <w:b/>
                <w:bCs/>
              </w:rPr>
              <w:t xml:space="preserve">6.1  Update on specific conditions </w:t>
            </w:r>
          </w:p>
          <w:p w:rsidR="00104259" w:rsidRPr="007B4757" w:rsidRDefault="00104259" w:rsidP="00354399">
            <w:pPr>
              <w:rPr>
                <w:b/>
                <w:bCs/>
                <w:color w:val="FF0000"/>
              </w:rPr>
            </w:pPr>
          </w:p>
          <w:p w:rsidR="00104259" w:rsidRPr="00B95C68" w:rsidRDefault="00104259" w:rsidP="0040485F">
            <w:pPr>
              <w:tabs>
                <w:tab w:val="left" w:pos="8370"/>
              </w:tabs>
              <w:rPr>
                <w:bCs/>
              </w:rPr>
            </w:pPr>
            <w:r w:rsidRPr="00B95C68">
              <w:rPr>
                <w:bCs/>
                <w:sz w:val="22"/>
                <w:szCs w:val="22"/>
              </w:rPr>
              <w:t>Not applicable</w:t>
            </w:r>
          </w:p>
          <w:p w:rsidR="00104259" w:rsidRPr="007B4757" w:rsidRDefault="00104259" w:rsidP="00A229E2">
            <w:pPr>
              <w:rPr>
                <w:b/>
                <w:bCs/>
              </w:rPr>
            </w:pPr>
          </w:p>
        </w:tc>
      </w:tr>
    </w:tbl>
    <w:p w:rsidR="00104259" w:rsidRDefault="00104259" w:rsidP="00910AA2"/>
    <w:p w:rsidR="00104259" w:rsidRPr="00910AA2" w:rsidRDefault="00104259" w:rsidP="00910AA2"/>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10260"/>
      </w:tblGrid>
      <w:tr>
        <w:tc>
          <w:tcPr>
            <w:tcW w:w="10260" w:type="dxa"/>
            <w:tcBorders>
              <w:top w:val="single" w:sz="6" w:space="0" w:color="000000"/>
              <w:bottom w:val="single" w:sz="6" w:space="0" w:color="000000"/>
            </w:tcBorders>
            <w:shd w:val="pct30" w:color="FFFF00" w:fill="FFFFFF"/>
          </w:tcPr>
          <w:p w:rsidR="00104259" w:rsidRPr="007B4757" w:rsidRDefault="00104259" w:rsidP="00EE22E8">
            <w:pPr>
              <w:pStyle w:val="Heading2"/>
              <w:rPr>
                <w:b w:val="0"/>
                <w:bCs w:val="0"/>
                <w:i w:val="0"/>
                <w:sz w:val="24"/>
                <w:szCs w:val="24"/>
              </w:rPr>
            </w:pPr>
            <w:r w:rsidRPr="007B4757">
              <w:rPr>
                <w:b w:val="0"/>
                <w:bCs w:val="0"/>
                <w:i w:val="0"/>
                <w:sz w:val="24"/>
                <w:szCs w:val="24"/>
              </w:rPr>
              <w:t>7.  Conclusions and actions</w:t>
            </w:r>
          </w:p>
        </w:tc>
      </w:tr>
      <w:tr>
        <w:tc>
          <w:tcPr>
            <w:tcW w:w="10260" w:type="dxa"/>
            <w:tcBorders>
              <w:bottom w:val="single" w:sz="6" w:space="0" w:color="000000"/>
            </w:tcBorders>
          </w:tcPr>
          <w:p w:rsidR="00104259" w:rsidRPr="007B4757" w:rsidRDefault="00104259" w:rsidP="007B4757">
            <w:pPr>
              <w:ind w:left="284"/>
              <w:rPr>
                <w:b/>
                <w:bCs/>
                <w:i/>
                <w:color w:val="FF0000"/>
              </w:rPr>
            </w:pPr>
          </w:p>
          <w:p w:rsidR="00104259" w:rsidRPr="00253283" w:rsidRDefault="00104259" w:rsidP="007B4757">
            <w:pPr>
              <w:ind w:left="284"/>
              <w:rPr>
                <w:bCs/>
              </w:rPr>
            </w:pPr>
            <w:r w:rsidRPr="001F7E8F">
              <w:rPr>
                <w:b/>
                <w:bCs/>
                <w:sz w:val="22"/>
                <w:szCs w:val="22"/>
              </w:rPr>
              <w:t>Recommendations</w:t>
            </w:r>
            <w:r>
              <w:rPr>
                <w:b/>
                <w:bCs/>
                <w:sz w:val="22"/>
                <w:szCs w:val="22"/>
              </w:rPr>
              <w:t xml:space="preserve"> </w:t>
            </w:r>
            <w:r w:rsidRPr="00253283">
              <w:rPr>
                <w:bCs/>
                <w:sz w:val="22"/>
                <w:szCs w:val="22"/>
              </w:rPr>
              <w:t>(in addition to the output and log frame-specific recommendations above):</w:t>
            </w:r>
          </w:p>
          <w:p w:rsidR="00104259" w:rsidRDefault="00104259" w:rsidP="007B4757">
            <w:pPr>
              <w:ind w:left="284"/>
              <w:rPr>
                <w:bCs/>
              </w:rPr>
            </w:pPr>
          </w:p>
          <w:p w:rsidR="00104259" w:rsidRDefault="00104259" w:rsidP="0040485F">
            <w:pPr>
              <w:numPr>
                <w:ilvl w:val="0"/>
                <w:numId w:val="22"/>
              </w:numPr>
              <w:rPr>
                <w:bCs/>
              </w:rPr>
            </w:pPr>
            <w:r>
              <w:rPr>
                <w:bCs/>
                <w:sz w:val="22"/>
                <w:szCs w:val="22"/>
              </w:rPr>
              <w:t>PSI and DFID Burma to continue to meet</w:t>
            </w:r>
            <w:r w:rsidRPr="008A1824">
              <w:rPr>
                <w:bCs/>
                <w:sz w:val="22"/>
                <w:szCs w:val="22"/>
              </w:rPr>
              <w:t xml:space="preserve"> monthly with DFID </w:t>
            </w:r>
            <w:r>
              <w:rPr>
                <w:bCs/>
                <w:sz w:val="22"/>
                <w:szCs w:val="22"/>
              </w:rPr>
              <w:t xml:space="preserve">to monitor project implementation including </w:t>
            </w:r>
            <w:r w:rsidRPr="008A1824">
              <w:rPr>
                <w:bCs/>
                <w:sz w:val="22"/>
                <w:szCs w:val="22"/>
              </w:rPr>
              <w:t xml:space="preserve">for </w:t>
            </w:r>
            <w:r>
              <w:rPr>
                <w:bCs/>
                <w:sz w:val="22"/>
                <w:szCs w:val="22"/>
              </w:rPr>
              <w:t xml:space="preserve">an </w:t>
            </w:r>
            <w:r w:rsidRPr="008A1824">
              <w:rPr>
                <w:bCs/>
                <w:sz w:val="22"/>
                <w:szCs w:val="22"/>
              </w:rPr>
              <w:t xml:space="preserve">update on: sales, negotiations with distributors, work with Government, any new survey results, any new risks, </w:t>
            </w:r>
            <w:r>
              <w:rPr>
                <w:bCs/>
                <w:sz w:val="22"/>
                <w:szCs w:val="22"/>
              </w:rPr>
              <w:t xml:space="preserve">the </w:t>
            </w:r>
            <w:r w:rsidRPr="008A1824">
              <w:rPr>
                <w:bCs/>
                <w:sz w:val="22"/>
                <w:szCs w:val="22"/>
              </w:rPr>
              <w:t xml:space="preserve">RDT </w:t>
            </w:r>
            <w:r>
              <w:rPr>
                <w:bCs/>
                <w:sz w:val="22"/>
                <w:szCs w:val="22"/>
              </w:rPr>
              <w:t>research</w:t>
            </w:r>
            <w:r w:rsidRPr="008A1824">
              <w:rPr>
                <w:bCs/>
                <w:sz w:val="22"/>
                <w:szCs w:val="22"/>
              </w:rPr>
              <w:t>,</w:t>
            </w:r>
            <w:r>
              <w:rPr>
                <w:bCs/>
                <w:sz w:val="22"/>
                <w:szCs w:val="22"/>
              </w:rPr>
              <w:t xml:space="preserve"> budget execution and forecasts</w:t>
            </w:r>
            <w:r w:rsidRPr="008A1824">
              <w:rPr>
                <w:bCs/>
                <w:sz w:val="22"/>
                <w:szCs w:val="22"/>
              </w:rPr>
              <w:t xml:space="preserve">. </w:t>
            </w:r>
            <w:r w:rsidRPr="008A1824">
              <w:rPr>
                <w:bCs/>
                <w:sz w:val="22"/>
                <w:szCs w:val="22"/>
                <w:u w:val="single"/>
              </w:rPr>
              <w:t>Action</w:t>
            </w:r>
            <w:r w:rsidRPr="008A1824">
              <w:rPr>
                <w:bCs/>
                <w:sz w:val="22"/>
                <w:szCs w:val="22"/>
              </w:rPr>
              <w:t xml:space="preserve">: DFID and </w:t>
            </w:r>
            <w:r>
              <w:rPr>
                <w:bCs/>
                <w:sz w:val="22"/>
                <w:szCs w:val="22"/>
              </w:rPr>
              <w:t>PSI on-going</w:t>
            </w:r>
          </w:p>
          <w:p w:rsidR="00104259" w:rsidRPr="008A1824" w:rsidRDefault="00104259" w:rsidP="00936CCD">
            <w:pPr>
              <w:ind w:left="360"/>
              <w:rPr>
                <w:bCs/>
              </w:rPr>
            </w:pPr>
          </w:p>
          <w:p w:rsidR="00104259" w:rsidRPr="008A1824" w:rsidRDefault="00104259" w:rsidP="0040485F">
            <w:pPr>
              <w:numPr>
                <w:ilvl w:val="0"/>
                <w:numId w:val="22"/>
              </w:numPr>
              <w:rPr>
                <w:bCs/>
              </w:rPr>
            </w:pPr>
            <w:r>
              <w:rPr>
                <w:bCs/>
                <w:sz w:val="22"/>
                <w:szCs w:val="22"/>
              </w:rPr>
              <w:t>To improve the impact of the outlet and household s</w:t>
            </w:r>
            <w:r w:rsidRPr="008A1824">
              <w:rPr>
                <w:bCs/>
                <w:sz w:val="22"/>
                <w:szCs w:val="22"/>
              </w:rPr>
              <w:t>urveys:</w:t>
            </w:r>
          </w:p>
          <w:p w:rsidR="00104259" w:rsidRDefault="00104259" w:rsidP="0040485F">
            <w:pPr>
              <w:numPr>
                <w:ilvl w:val="1"/>
                <w:numId w:val="23"/>
              </w:numPr>
              <w:rPr>
                <w:bCs/>
              </w:rPr>
            </w:pPr>
            <w:r w:rsidRPr="008A1824">
              <w:rPr>
                <w:bCs/>
                <w:sz w:val="22"/>
                <w:szCs w:val="22"/>
              </w:rPr>
              <w:t>Monitor all five private outlet types but with</w:t>
            </w:r>
            <w:r>
              <w:rPr>
                <w:bCs/>
                <w:sz w:val="22"/>
                <w:szCs w:val="22"/>
              </w:rPr>
              <w:t xml:space="preserve"> a focus on a subset of three –</w:t>
            </w:r>
            <w:r w:rsidRPr="008A1824">
              <w:rPr>
                <w:bCs/>
                <w:sz w:val="22"/>
                <w:szCs w:val="22"/>
              </w:rPr>
              <w:t xml:space="preserve"> pharmacies and </w:t>
            </w:r>
            <w:r>
              <w:rPr>
                <w:bCs/>
                <w:sz w:val="22"/>
                <w:szCs w:val="22"/>
              </w:rPr>
              <w:t>Itinerant drug vendors</w:t>
            </w:r>
            <w:r w:rsidRPr="008A1824">
              <w:rPr>
                <w:bCs/>
                <w:sz w:val="22"/>
                <w:szCs w:val="22"/>
              </w:rPr>
              <w:t xml:space="preserve"> </w:t>
            </w:r>
            <w:r>
              <w:rPr>
                <w:bCs/>
                <w:sz w:val="22"/>
                <w:szCs w:val="22"/>
              </w:rPr>
              <w:t xml:space="preserve">and general retailers </w:t>
            </w:r>
            <w:r w:rsidRPr="008A1824">
              <w:rPr>
                <w:bCs/>
                <w:sz w:val="22"/>
                <w:szCs w:val="22"/>
              </w:rPr>
              <w:t>given their imp</w:t>
            </w:r>
            <w:r>
              <w:rPr>
                <w:bCs/>
                <w:sz w:val="22"/>
                <w:szCs w:val="22"/>
              </w:rPr>
              <w:t>ortance for AMT</w:t>
            </w:r>
            <w:r w:rsidRPr="008A1824">
              <w:rPr>
                <w:bCs/>
                <w:sz w:val="22"/>
                <w:szCs w:val="22"/>
              </w:rPr>
              <w:t xml:space="preserve">. </w:t>
            </w:r>
            <w:r w:rsidRPr="008A1824">
              <w:rPr>
                <w:bCs/>
                <w:sz w:val="22"/>
                <w:szCs w:val="22"/>
                <w:u w:val="single"/>
              </w:rPr>
              <w:t>Action</w:t>
            </w:r>
            <w:r w:rsidRPr="008A1824">
              <w:rPr>
                <w:bCs/>
                <w:sz w:val="22"/>
                <w:szCs w:val="22"/>
              </w:rPr>
              <w:t xml:space="preserve">: </w:t>
            </w:r>
            <w:r>
              <w:rPr>
                <w:bCs/>
                <w:sz w:val="22"/>
                <w:szCs w:val="22"/>
              </w:rPr>
              <w:t>PSI</w:t>
            </w:r>
            <w:r w:rsidRPr="008A1824">
              <w:rPr>
                <w:bCs/>
                <w:sz w:val="22"/>
                <w:szCs w:val="22"/>
              </w:rPr>
              <w:t xml:space="preserve"> ongoing</w:t>
            </w:r>
          </w:p>
          <w:p w:rsidR="00104259" w:rsidRPr="008A1824" w:rsidRDefault="00104259" w:rsidP="0040485F">
            <w:pPr>
              <w:numPr>
                <w:ilvl w:val="1"/>
                <w:numId w:val="23"/>
              </w:numPr>
              <w:rPr>
                <w:bCs/>
              </w:rPr>
            </w:pPr>
            <w:r>
              <w:rPr>
                <w:bCs/>
                <w:sz w:val="22"/>
                <w:szCs w:val="22"/>
              </w:rPr>
              <w:t>Institute</w:t>
            </w:r>
            <w:r w:rsidRPr="008A1824">
              <w:rPr>
                <w:bCs/>
                <w:sz w:val="22"/>
                <w:szCs w:val="22"/>
              </w:rPr>
              <w:t xml:space="preserve"> </w:t>
            </w:r>
            <w:r w:rsidRPr="00936CCD">
              <w:rPr>
                <w:bCs/>
                <w:sz w:val="22"/>
                <w:szCs w:val="22"/>
              </w:rPr>
              <w:t>annual</w:t>
            </w:r>
            <w:r w:rsidRPr="008A1824">
              <w:rPr>
                <w:bCs/>
                <w:sz w:val="22"/>
                <w:szCs w:val="22"/>
              </w:rPr>
              <w:t xml:space="preserve"> household surveys to monitor programme progress</w:t>
            </w:r>
            <w:r>
              <w:rPr>
                <w:bCs/>
                <w:sz w:val="22"/>
                <w:szCs w:val="22"/>
              </w:rPr>
              <w:t xml:space="preserve"> under Output 2</w:t>
            </w:r>
            <w:r w:rsidRPr="008A1824">
              <w:rPr>
                <w:bCs/>
                <w:sz w:val="22"/>
                <w:szCs w:val="22"/>
              </w:rPr>
              <w:t xml:space="preserve">, </w:t>
            </w:r>
            <w:r w:rsidRPr="008A1824">
              <w:rPr>
                <w:bCs/>
                <w:sz w:val="22"/>
                <w:szCs w:val="22"/>
                <w:u w:val="single"/>
              </w:rPr>
              <w:t>Action</w:t>
            </w:r>
            <w:r w:rsidRPr="008A1824">
              <w:rPr>
                <w:bCs/>
                <w:sz w:val="22"/>
                <w:szCs w:val="22"/>
              </w:rPr>
              <w:t xml:space="preserve">: </w:t>
            </w:r>
            <w:r>
              <w:rPr>
                <w:bCs/>
                <w:sz w:val="22"/>
                <w:szCs w:val="22"/>
              </w:rPr>
              <w:t>PSI</w:t>
            </w:r>
          </w:p>
          <w:p w:rsidR="00104259" w:rsidRPr="008A1824" w:rsidRDefault="00104259" w:rsidP="0040485F">
            <w:pPr>
              <w:numPr>
                <w:ilvl w:val="1"/>
                <w:numId w:val="23"/>
              </w:numPr>
              <w:rPr>
                <w:bCs/>
              </w:rPr>
            </w:pPr>
            <w:r w:rsidRPr="008A1824">
              <w:rPr>
                <w:bCs/>
                <w:sz w:val="22"/>
                <w:szCs w:val="22"/>
              </w:rPr>
              <w:t>Explicitly link timing of annual reviews to the availability of survey results</w:t>
            </w:r>
            <w:r>
              <w:rPr>
                <w:bCs/>
                <w:sz w:val="22"/>
                <w:szCs w:val="22"/>
              </w:rPr>
              <w:t xml:space="preserve"> in order to have the most up to date data to inform reviews.</w:t>
            </w:r>
            <w:r w:rsidRPr="008A1824">
              <w:rPr>
                <w:bCs/>
                <w:sz w:val="22"/>
                <w:szCs w:val="22"/>
              </w:rPr>
              <w:t xml:space="preserve">. </w:t>
            </w:r>
            <w:r w:rsidRPr="008A1824">
              <w:rPr>
                <w:bCs/>
                <w:sz w:val="22"/>
                <w:szCs w:val="22"/>
                <w:u w:val="single"/>
              </w:rPr>
              <w:t>Action</w:t>
            </w:r>
            <w:r w:rsidRPr="008A1824">
              <w:rPr>
                <w:bCs/>
                <w:sz w:val="22"/>
                <w:szCs w:val="22"/>
              </w:rPr>
              <w:t>: PSI</w:t>
            </w:r>
            <w:r>
              <w:rPr>
                <w:bCs/>
                <w:sz w:val="22"/>
                <w:szCs w:val="22"/>
              </w:rPr>
              <w:t xml:space="preserve">  and DFID/ Gates Foundation.</w:t>
            </w:r>
          </w:p>
          <w:p w:rsidR="00104259" w:rsidRPr="008A1824" w:rsidRDefault="00104259" w:rsidP="0040485F">
            <w:pPr>
              <w:numPr>
                <w:ilvl w:val="1"/>
                <w:numId w:val="23"/>
              </w:numPr>
              <w:rPr>
                <w:bCs/>
              </w:rPr>
            </w:pPr>
            <w:r w:rsidRPr="008A1824">
              <w:rPr>
                <w:bCs/>
                <w:sz w:val="22"/>
                <w:szCs w:val="22"/>
              </w:rPr>
              <w:t xml:space="preserve">Disseminate widely findings of the Outlet Survey as basis for project strategy </w:t>
            </w:r>
            <w:r>
              <w:rPr>
                <w:bCs/>
                <w:sz w:val="22"/>
                <w:szCs w:val="22"/>
              </w:rPr>
              <w:t>both</w:t>
            </w:r>
            <w:r w:rsidRPr="008A1824">
              <w:rPr>
                <w:bCs/>
                <w:sz w:val="22"/>
                <w:szCs w:val="22"/>
              </w:rPr>
              <w:t xml:space="preserve"> nationally and beyond</w:t>
            </w:r>
            <w:r>
              <w:rPr>
                <w:bCs/>
                <w:sz w:val="22"/>
                <w:szCs w:val="22"/>
              </w:rPr>
              <w:t xml:space="preserve"> Burma to contribute to global learning</w:t>
            </w:r>
            <w:r w:rsidRPr="008A1824">
              <w:rPr>
                <w:bCs/>
                <w:sz w:val="22"/>
                <w:szCs w:val="22"/>
              </w:rPr>
              <w:t xml:space="preserve">. </w:t>
            </w:r>
            <w:r w:rsidRPr="008A1824">
              <w:rPr>
                <w:bCs/>
                <w:sz w:val="22"/>
                <w:szCs w:val="22"/>
                <w:u w:val="single"/>
              </w:rPr>
              <w:t>Action</w:t>
            </w:r>
            <w:r w:rsidRPr="008A1824">
              <w:rPr>
                <w:bCs/>
                <w:sz w:val="22"/>
                <w:szCs w:val="22"/>
              </w:rPr>
              <w:t xml:space="preserve">: </w:t>
            </w:r>
            <w:r>
              <w:rPr>
                <w:bCs/>
                <w:sz w:val="22"/>
                <w:szCs w:val="22"/>
              </w:rPr>
              <w:t>PSI</w:t>
            </w:r>
            <w:r w:rsidRPr="008A1824">
              <w:rPr>
                <w:bCs/>
                <w:sz w:val="22"/>
                <w:szCs w:val="22"/>
              </w:rPr>
              <w:t xml:space="preserve"> asap</w:t>
            </w:r>
          </w:p>
          <w:p w:rsidR="00104259" w:rsidRPr="008A1824" w:rsidRDefault="00104259" w:rsidP="0040485F">
            <w:pPr>
              <w:numPr>
                <w:ilvl w:val="1"/>
                <w:numId w:val="23"/>
              </w:numPr>
              <w:rPr>
                <w:bCs/>
              </w:rPr>
            </w:pPr>
            <w:r w:rsidRPr="008A1824">
              <w:rPr>
                <w:bCs/>
                <w:sz w:val="22"/>
                <w:szCs w:val="22"/>
              </w:rPr>
              <w:t xml:space="preserve">Lock in dedicated technical support from PSI for timely analysis and dissemination of surveys findings esp. </w:t>
            </w:r>
            <w:r>
              <w:rPr>
                <w:bCs/>
                <w:sz w:val="22"/>
                <w:szCs w:val="22"/>
              </w:rPr>
              <w:t>the Outlet S</w:t>
            </w:r>
            <w:r w:rsidRPr="008A1824">
              <w:rPr>
                <w:bCs/>
                <w:sz w:val="22"/>
                <w:szCs w:val="22"/>
              </w:rPr>
              <w:t>urvey</w:t>
            </w:r>
            <w:r>
              <w:rPr>
                <w:bCs/>
                <w:sz w:val="22"/>
                <w:szCs w:val="22"/>
              </w:rPr>
              <w:t xml:space="preserve"> in order use information effectively for the project</w:t>
            </w:r>
            <w:r w:rsidRPr="008A1824">
              <w:rPr>
                <w:bCs/>
                <w:sz w:val="22"/>
                <w:szCs w:val="22"/>
              </w:rPr>
              <w:t xml:space="preserve">. </w:t>
            </w:r>
            <w:r w:rsidRPr="008A1824">
              <w:rPr>
                <w:bCs/>
                <w:sz w:val="22"/>
                <w:szCs w:val="22"/>
                <w:u w:val="single"/>
              </w:rPr>
              <w:t>Action</w:t>
            </w:r>
            <w:r w:rsidRPr="008A1824">
              <w:rPr>
                <w:bCs/>
                <w:sz w:val="22"/>
                <w:szCs w:val="22"/>
              </w:rPr>
              <w:t xml:space="preserve">: </w:t>
            </w:r>
            <w:r>
              <w:rPr>
                <w:bCs/>
                <w:sz w:val="22"/>
                <w:szCs w:val="22"/>
              </w:rPr>
              <w:t>PSI</w:t>
            </w:r>
            <w:r w:rsidRPr="008A1824">
              <w:rPr>
                <w:bCs/>
                <w:sz w:val="22"/>
                <w:szCs w:val="22"/>
              </w:rPr>
              <w:t xml:space="preserve"> by end 2012</w:t>
            </w:r>
          </w:p>
          <w:p w:rsidR="00104259" w:rsidRPr="008A1824" w:rsidRDefault="00104259" w:rsidP="0040485F">
            <w:pPr>
              <w:numPr>
                <w:ilvl w:val="1"/>
                <w:numId w:val="23"/>
              </w:numPr>
              <w:rPr>
                <w:bCs/>
              </w:rPr>
            </w:pPr>
            <w:r w:rsidRPr="008A1824">
              <w:rPr>
                <w:bCs/>
                <w:sz w:val="22"/>
                <w:szCs w:val="22"/>
              </w:rPr>
              <w:t>Consider disaggregating the results of the outlet survey by containment zone</w:t>
            </w:r>
            <w:r>
              <w:rPr>
                <w:bCs/>
                <w:sz w:val="22"/>
                <w:szCs w:val="22"/>
              </w:rPr>
              <w:t xml:space="preserve"> (Tier One, Tier Two etc) to assess usage of ACTs according to the Tiers and take appropriate steps and inputs as necessary</w:t>
            </w:r>
            <w:r w:rsidRPr="008A1824">
              <w:rPr>
                <w:bCs/>
                <w:sz w:val="22"/>
                <w:szCs w:val="22"/>
              </w:rPr>
              <w:t xml:space="preserve">. </w:t>
            </w:r>
            <w:r w:rsidRPr="008A1824">
              <w:rPr>
                <w:bCs/>
                <w:sz w:val="22"/>
                <w:szCs w:val="22"/>
                <w:u w:val="single"/>
              </w:rPr>
              <w:t>Action</w:t>
            </w:r>
            <w:r w:rsidRPr="008A1824">
              <w:rPr>
                <w:bCs/>
                <w:sz w:val="22"/>
                <w:szCs w:val="22"/>
              </w:rPr>
              <w:t>: PSI by end 2012</w:t>
            </w:r>
          </w:p>
          <w:p w:rsidR="00104259" w:rsidRPr="008A1824" w:rsidRDefault="00104259" w:rsidP="008A1824">
            <w:pPr>
              <w:ind w:left="720"/>
              <w:rPr>
                <w:bCs/>
              </w:rPr>
            </w:pPr>
          </w:p>
          <w:p w:rsidR="00104259" w:rsidRDefault="00104259" w:rsidP="0040485F">
            <w:pPr>
              <w:numPr>
                <w:ilvl w:val="0"/>
                <w:numId w:val="22"/>
              </w:numPr>
              <w:rPr>
                <w:bCs/>
              </w:rPr>
            </w:pPr>
            <w:r>
              <w:rPr>
                <w:bCs/>
                <w:sz w:val="22"/>
                <w:szCs w:val="22"/>
              </w:rPr>
              <w:t xml:space="preserve">DFID to continue to provide </w:t>
            </w:r>
            <w:r w:rsidRPr="008A1824">
              <w:rPr>
                <w:bCs/>
                <w:sz w:val="22"/>
                <w:szCs w:val="22"/>
              </w:rPr>
              <w:t xml:space="preserve">support </w:t>
            </w:r>
            <w:r>
              <w:rPr>
                <w:bCs/>
                <w:sz w:val="22"/>
                <w:szCs w:val="22"/>
              </w:rPr>
              <w:t xml:space="preserve">to PSI on </w:t>
            </w:r>
            <w:r w:rsidRPr="008A1824">
              <w:rPr>
                <w:bCs/>
                <w:sz w:val="22"/>
                <w:szCs w:val="22"/>
              </w:rPr>
              <w:t xml:space="preserve">competition assessment </w:t>
            </w:r>
            <w:r>
              <w:rPr>
                <w:bCs/>
                <w:sz w:val="22"/>
                <w:szCs w:val="22"/>
              </w:rPr>
              <w:t>and PSI to negotiate towards agreements with two additional distributors</w:t>
            </w:r>
            <w:r w:rsidRPr="008A1824">
              <w:rPr>
                <w:bCs/>
                <w:sz w:val="22"/>
                <w:szCs w:val="22"/>
              </w:rPr>
              <w:t xml:space="preserve">. </w:t>
            </w:r>
            <w:r w:rsidRPr="008A1824">
              <w:rPr>
                <w:bCs/>
                <w:sz w:val="22"/>
                <w:szCs w:val="22"/>
                <w:u w:val="single"/>
              </w:rPr>
              <w:t>Action</w:t>
            </w:r>
            <w:r w:rsidRPr="008A1824">
              <w:rPr>
                <w:bCs/>
                <w:sz w:val="22"/>
                <w:szCs w:val="22"/>
              </w:rPr>
              <w:t xml:space="preserve">: DFID and </w:t>
            </w:r>
            <w:r>
              <w:rPr>
                <w:bCs/>
                <w:sz w:val="22"/>
                <w:szCs w:val="22"/>
              </w:rPr>
              <w:t>PSI by end May 2013</w:t>
            </w:r>
          </w:p>
          <w:p w:rsidR="00104259" w:rsidRPr="008A1824" w:rsidRDefault="00104259" w:rsidP="00936CCD">
            <w:pPr>
              <w:ind w:left="360"/>
              <w:rPr>
                <w:bCs/>
              </w:rPr>
            </w:pPr>
          </w:p>
          <w:p w:rsidR="00104259" w:rsidRDefault="00104259" w:rsidP="0040485F">
            <w:pPr>
              <w:numPr>
                <w:ilvl w:val="0"/>
                <w:numId w:val="22"/>
              </w:numPr>
              <w:rPr>
                <w:bCs/>
              </w:rPr>
            </w:pPr>
            <w:r>
              <w:rPr>
                <w:bCs/>
                <w:sz w:val="22"/>
                <w:szCs w:val="22"/>
              </w:rPr>
              <w:t>PSI to monitor the wider epidemiological situation</w:t>
            </w:r>
            <w:r w:rsidRPr="008A1824">
              <w:rPr>
                <w:bCs/>
                <w:sz w:val="22"/>
                <w:szCs w:val="22"/>
              </w:rPr>
              <w:t xml:space="preserve"> in real time by accessing </w:t>
            </w:r>
            <w:r>
              <w:rPr>
                <w:bCs/>
                <w:sz w:val="22"/>
                <w:szCs w:val="22"/>
              </w:rPr>
              <w:t xml:space="preserve">MOH/ </w:t>
            </w:r>
            <w:r w:rsidRPr="008A1824">
              <w:rPr>
                <w:bCs/>
                <w:sz w:val="22"/>
                <w:szCs w:val="22"/>
              </w:rPr>
              <w:t xml:space="preserve">NMCP </w:t>
            </w:r>
            <w:r>
              <w:rPr>
                <w:bCs/>
                <w:sz w:val="22"/>
                <w:szCs w:val="22"/>
              </w:rPr>
              <w:t xml:space="preserve">service </w:t>
            </w:r>
            <w:r w:rsidRPr="008A1824">
              <w:rPr>
                <w:bCs/>
                <w:sz w:val="22"/>
                <w:szCs w:val="22"/>
              </w:rPr>
              <w:t xml:space="preserve">data </w:t>
            </w:r>
            <w:r>
              <w:rPr>
                <w:bCs/>
                <w:sz w:val="22"/>
                <w:szCs w:val="22"/>
              </w:rPr>
              <w:t>if</w:t>
            </w:r>
            <w:r w:rsidRPr="008A1824">
              <w:rPr>
                <w:bCs/>
                <w:sz w:val="22"/>
                <w:szCs w:val="22"/>
              </w:rPr>
              <w:t xml:space="preserve"> possible. </w:t>
            </w:r>
            <w:r w:rsidRPr="008A1824">
              <w:rPr>
                <w:bCs/>
                <w:sz w:val="22"/>
                <w:szCs w:val="22"/>
                <w:u w:val="single"/>
              </w:rPr>
              <w:t>Action</w:t>
            </w:r>
            <w:r w:rsidRPr="008A1824">
              <w:rPr>
                <w:bCs/>
                <w:sz w:val="22"/>
                <w:szCs w:val="22"/>
              </w:rPr>
              <w:t xml:space="preserve">: </w:t>
            </w:r>
            <w:r>
              <w:rPr>
                <w:bCs/>
                <w:sz w:val="22"/>
                <w:szCs w:val="22"/>
              </w:rPr>
              <w:t>PSI</w:t>
            </w:r>
            <w:r w:rsidRPr="008A1824">
              <w:rPr>
                <w:bCs/>
                <w:sz w:val="22"/>
                <w:szCs w:val="22"/>
              </w:rPr>
              <w:t xml:space="preserve"> through</w:t>
            </w:r>
            <w:r>
              <w:rPr>
                <w:bCs/>
                <w:sz w:val="22"/>
                <w:szCs w:val="22"/>
              </w:rPr>
              <w:t xml:space="preserve"> </w:t>
            </w:r>
            <w:r w:rsidRPr="008A1824">
              <w:rPr>
                <w:bCs/>
                <w:sz w:val="22"/>
                <w:szCs w:val="22"/>
              </w:rPr>
              <w:t>TSG</w:t>
            </w:r>
            <w:r>
              <w:rPr>
                <w:bCs/>
                <w:sz w:val="22"/>
                <w:szCs w:val="22"/>
              </w:rPr>
              <w:t xml:space="preserve"> (malaria)</w:t>
            </w:r>
          </w:p>
          <w:p w:rsidR="00104259" w:rsidRPr="008A1824" w:rsidRDefault="00104259" w:rsidP="00936CCD">
            <w:pPr>
              <w:rPr>
                <w:bCs/>
              </w:rPr>
            </w:pPr>
          </w:p>
          <w:p w:rsidR="00104259" w:rsidRDefault="00104259" w:rsidP="0040485F">
            <w:pPr>
              <w:numPr>
                <w:ilvl w:val="0"/>
                <w:numId w:val="22"/>
              </w:numPr>
              <w:rPr>
                <w:bCs/>
              </w:rPr>
            </w:pPr>
            <w:r>
              <w:rPr>
                <w:bCs/>
                <w:sz w:val="22"/>
                <w:szCs w:val="22"/>
              </w:rPr>
              <w:t>PSI to explore w</w:t>
            </w:r>
            <w:r w:rsidRPr="008A1824">
              <w:rPr>
                <w:bCs/>
                <w:sz w:val="22"/>
                <w:szCs w:val="22"/>
              </w:rPr>
              <w:t>heth</w:t>
            </w:r>
            <w:r>
              <w:rPr>
                <w:bCs/>
                <w:sz w:val="22"/>
                <w:szCs w:val="22"/>
              </w:rPr>
              <w:t>er further communication of art</w:t>
            </w:r>
            <w:r w:rsidRPr="008A1824">
              <w:rPr>
                <w:bCs/>
                <w:sz w:val="22"/>
                <w:szCs w:val="22"/>
              </w:rPr>
              <w:t>emet</w:t>
            </w:r>
            <w:r>
              <w:rPr>
                <w:bCs/>
                <w:sz w:val="22"/>
                <w:szCs w:val="22"/>
              </w:rPr>
              <w:t>h</w:t>
            </w:r>
            <w:r w:rsidRPr="008A1824">
              <w:rPr>
                <w:bCs/>
                <w:sz w:val="22"/>
                <w:szCs w:val="22"/>
              </w:rPr>
              <w:t xml:space="preserve">er ban </w:t>
            </w:r>
            <w:r>
              <w:rPr>
                <w:bCs/>
                <w:sz w:val="22"/>
                <w:szCs w:val="22"/>
              </w:rPr>
              <w:t xml:space="preserve">by government and/or others is </w:t>
            </w:r>
            <w:r w:rsidRPr="008A1824">
              <w:rPr>
                <w:bCs/>
                <w:sz w:val="22"/>
                <w:szCs w:val="22"/>
              </w:rPr>
              <w:t xml:space="preserve">needed. </w:t>
            </w:r>
            <w:r w:rsidRPr="008A1824">
              <w:rPr>
                <w:bCs/>
                <w:sz w:val="22"/>
                <w:szCs w:val="22"/>
                <w:u w:val="single"/>
              </w:rPr>
              <w:t>Action</w:t>
            </w:r>
            <w:r w:rsidRPr="008A1824">
              <w:rPr>
                <w:bCs/>
                <w:sz w:val="22"/>
                <w:szCs w:val="22"/>
              </w:rPr>
              <w:t xml:space="preserve">: </w:t>
            </w:r>
            <w:r>
              <w:rPr>
                <w:bCs/>
                <w:sz w:val="22"/>
                <w:szCs w:val="22"/>
              </w:rPr>
              <w:t>PSI</w:t>
            </w:r>
            <w:r w:rsidRPr="008A1824">
              <w:rPr>
                <w:bCs/>
                <w:sz w:val="22"/>
                <w:szCs w:val="22"/>
              </w:rPr>
              <w:t xml:space="preserve"> by end 2012</w:t>
            </w:r>
          </w:p>
          <w:p w:rsidR="00104259" w:rsidRPr="008A1824" w:rsidRDefault="00104259" w:rsidP="00936CCD">
            <w:pPr>
              <w:rPr>
                <w:bCs/>
              </w:rPr>
            </w:pPr>
          </w:p>
          <w:p w:rsidR="00104259" w:rsidRDefault="00104259" w:rsidP="0040485F">
            <w:pPr>
              <w:numPr>
                <w:ilvl w:val="0"/>
                <w:numId w:val="22"/>
              </w:numPr>
              <w:rPr>
                <w:bCs/>
              </w:rPr>
            </w:pPr>
            <w:r>
              <w:rPr>
                <w:bCs/>
                <w:sz w:val="22"/>
                <w:szCs w:val="22"/>
              </w:rPr>
              <w:t xml:space="preserve">Consider the </w:t>
            </w:r>
            <w:r w:rsidRPr="008A1824">
              <w:rPr>
                <w:bCs/>
                <w:sz w:val="22"/>
                <w:szCs w:val="22"/>
              </w:rPr>
              <w:t xml:space="preserve">financial sustainability of </w:t>
            </w:r>
            <w:r>
              <w:rPr>
                <w:bCs/>
                <w:sz w:val="22"/>
                <w:szCs w:val="22"/>
              </w:rPr>
              <w:t xml:space="preserve">the quality assured </w:t>
            </w:r>
            <w:r w:rsidRPr="008A1824">
              <w:rPr>
                <w:bCs/>
                <w:sz w:val="22"/>
                <w:szCs w:val="22"/>
              </w:rPr>
              <w:t xml:space="preserve">ACT market in absence of subsidy at next milestone review (mid term) in </w:t>
            </w:r>
            <w:r>
              <w:rPr>
                <w:bCs/>
                <w:sz w:val="22"/>
                <w:szCs w:val="22"/>
              </w:rPr>
              <w:t>February</w:t>
            </w:r>
            <w:r w:rsidRPr="008A1824">
              <w:rPr>
                <w:bCs/>
                <w:sz w:val="22"/>
                <w:szCs w:val="22"/>
              </w:rPr>
              <w:t xml:space="preserve"> 2013. </w:t>
            </w:r>
            <w:r w:rsidRPr="008A1824">
              <w:rPr>
                <w:bCs/>
                <w:sz w:val="22"/>
                <w:szCs w:val="22"/>
                <w:u w:val="single"/>
              </w:rPr>
              <w:t>Action</w:t>
            </w:r>
            <w:r w:rsidRPr="008A1824">
              <w:rPr>
                <w:bCs/>
                <w:sz w:val="22"/>
                <w:szCs w:val="22"/>
              </w:rPr>
              <w:t xml:space="preserve">: PSI and PSI/ Malaria team and DFID/ </w:t>
            </w:r>
            <w:r>
              <w:rPr>
                <w:bCs/>
                <w:sz w:val="22"/>
                <w:szCs w:val="22"/>
              </w:rPr>
              <w:t>Gates Foundation.</w:t>
            </w:r>
            <w:r w:rsidRPr="008A1824">
              <w:rPr>
                <w:bCs/>
                <w:sz w:val="22"/>
                <w:szCs w:val="22"/>
              </w:rPr>
              <w:t xml:space="preserve"> </w:t>
            </w:r>
          </w:p>
          <w:p w:rsidR="00104259" w:rsidRDefault="00104259" w:rsidP="00936CCD">
            <w:pPr>
              <w:rPr>
                <w:bCs/>
              </w:rPr>
            </w:pPr>
          </w:p>
          <w:p w:rsidR="00104259" w:rsidRDefault="00104259" w:rsidP="0040485F">
            <w:pPr>
              <w:numPr>
                <w:ilvl w:val="0"/>
                <w:numId w:val="22"/>
              </w:numPr>
              <w:rPr>
                <w:bCs/>
              </w:rPr>
            </w:pPr>
            <w:r w:rsidRPr="0040485F">
              <w:rPr>
                <w:bCs/>
                <w:sz w:val="22"/>
                <w:szCs w:val="22"/>
              </w:rPr>
              <w:t xml:space="preserve">DFID Burma and </w:t>
            </w:r>
            <w:r>
              <w:rPr>
                <w:bCs/>
                <w:sz w:val="22"/>
                <w:szCs w:val="22"/>
              </w:rPr>
              <w:t>PSI</w:t>
            </w:r>
            <w:r w:rsidRPr="0040485F">
              <w:rPr>
                <w:bCs/>
                <w:sz w:val="22"/>
                <w:szCs w:val="22"/>
              </w:rPr>
              <w:t xml:space="preserve"> to agree a methodology to measure the DFID  indicator ‘Number of women and men who receive appropriate treatment to contain the spread of drug-resistant malaria’ and incorporate this within the log frame (at the outcome level).</w:t>
            </w:r>
            <w:r>
              <w:rPr>
                <w:bCs/>
                <w:sz w:val="22"/>
                <w:szCs w:val="22"/>
              </w:rPr>
              <w:t>Action: PSI and the Gates Foundation by Feb 2013</w:t>
            </w:r>
          </w:p>
          <w:p w:rsidR="00104259" w:rsidRDefault="00104259" w:rsidP="00D85DFC">
            <w:pPr>
              <w:pStyle w:val="ListParagraph"/>
              <w:rPr>
                <w:bCs/>
              </w:rPr>
            </w:pPr>
          </w:p>
          <w:p w:rsidR="00104259" w:rsidRDefault="00104259" w:rsidP="00D85DFC">
            <w:pPr>
              <w:ind w:left="360"/>
              <w:rPr>
                <w:bCs/>
              </w:rPr>
            </w:pPr>
          </w:p>
          <w:p w:rsidR="00104259" w:rsidRDefault="00104259" w:rsidP="00253283">
            <w:pPr>
              <w:pStyle w:val="ListParagraph"/>
              <w:rPr>
                <w:bCs/>
              </w:rPr>
            </w:pPr>
          </w:p>
          <w:p w:rsidR="00104259" w:rsidRDefault="00104259" w:rsidP="00253283">
            <w:pPr>
              <w:numPr>
                <w:ilvl w:val="0"/>
                <w:numId w:val="22"/>
              </w:numPr>
              <w:rPr>
                <w:bCs/>
              </w:rPr>
            </w:pPr>
            <w:r>
              <w:rPr>
                <w:bCs/>
                <w:sz w:val="22"/>
                <w:szCs w:val="22"/>
              </w:rPr>
              <w:t>PSI t</w:t>
            </w:r>
            <w:r w:rsidRPr="00253283">
              <w:rPr>
                <w:bCs/>
                <w:sz w:val="22"/>
                <w:szCs w:val="22"/>
              </w:rPr>
              <w:t xml:space="preserve">o seek guidance from the Ministry of Health </w:t>
            </w:r>
            <w:r>
              <w:rPr>
                <w:bCs/>
                <w:sz w:val="22"/>
                <w:szCs w:val="22"/>
              </w:rPr>
              <w:t>on</w:t>
            </w:r>
            <w:r w:rsidRPr="00253283">
              <w:rPr>
                <w:bCs/>
                <w:sz w:val="22"/>
                <w:szCs w:val="22"/>
              </w:rPr>
              <w:t xml:space="preserve"> the treatment of </w:t>
            </w:r>
            <w:r w:rsidRPr="00D85DFC">
              <w:rPr>
                <w:bCs/>
                <w:i/>
                <w:sz w:val="22"/>
                <w:szCs w:val="22"/>
              </w:rPr>
              <w:t>P.Vivax</w:t>
            </w:r>
            <w:r w:rsidRPr="00253283">
              <w:rPr>
                <w:bCs/>
                <w:sz w:val="22"/>
                <w:szCs w:val="22"/>
              </w:rPr>
              <w:t xml:space="preserve">  cases which are  likely to increase as a proportion of all malaria and fever cases as </w:t>
            </w:r>
            <w:r w:rsidRPr="00D85DFC">
              <w:rPr>
                <w:bCs/>
                <w:i/>
                <w:sz w:val="22"/>
                <w:szCs w:val="22"/>
              </w:rPr>
              <w:t>P.Falciparum</w:t>
            </w:r>
            <w:r w:rsidRPr="00253283">
              <w:rPr>
                <w:bCs/>
                <w:sz w:val="22"/>
                <w:szCs w:val="22"/>
              </w:rPr>
              <w:t xml:space="preserve"> declines wi</w:t>
            </w:r>
            <w:r>
              <w:rPr>
                <w:bCs/>
                <w:sz w:val="22"/>
                <w:szCs w:val="22"/>
              </w:rPr>
              <w:t xml:space="preserve">th expanding access to QAACTs. </w:t>
            </w:r>
            <w:r w:rsidRPr="00D85DFC">
              <w:rPr>
                <w:bCs/>
                <w:sz w:val="22"/>
                <w:szCs w:val="22"/>
                <w:u w:val="single"/>
              </w:rPr>
              <w:t>Action</w:t>
            </w:r>
            <w:r>
              <w:rPr>
                <w:bCs/>
                <w:sz w:val="22"/>
                <w:szCs w:val="22"/>
              </w:rPr>
              <w:t>: PSI</w:t>
            </w:r>
          </w:p>
          <w:p w:rsidR="00104259" w:rsidRDefault="00104259" w:rsidP="006706B7">
            <w:pPr>
              <w:pStyle w:val="ListParagraph"/>
              <w:rPr>
                <w:bCs/>
              </w:rPr>
            </w:pPr>
          </w:p>
          <w:p w:rsidR="00104259" w:rsidRPr="00253283" w:rsidRDefault="00104259" w:rsidP="00253283">
            <w:pPr>
              <w:numPr>
                <w:ilvl w:val="0"/>
                <w:numId w:val="22"/>
              </w:numPr>
              <w:rPr>
                <w:bCs/>
              </w:rPr>
            </w:pPr>
            <w:r>
              <w:rPr>
                <w:bCs/>
                <w:sz w:val="22"/>
                <w:szCs w:val="22"/>
              </w:rPr>
              <w:t xml:space="preserve">DFID and PSI to seek to work with Parliament, including appropriate committees, and wider stakeholders in order to engage more widely on malaria resistance containment.   </w:t>
            </w:r>
            <w:r w:rsidRPr="006706B7">
              <w:rPr>
                <w:bCs/>
                <w:sz w:val="22"/>
                <w:szCs w:val="22"/>
                <w:u w:val="single"/>
              </w:rPr>
              <w:t>Action</w:t>
            </w:r>
            <w:r>
              <w:rPr>
                <w:bCs/>
                <w:sz w:val="22"/>
                <w:szCs w:val="22"/>
              </w:rPr>
              <w:t>:  DFID/ PSI by mid 2013.</w:t>
            </w:r>
          </w:p>
          <w:p w:rsidR="00104259" w:rsidRPr="0040485F" w:rsidRDefault="00104259" w:rsidP="00253283">
            <w:pPr>
              <w:ind w:left="360"/>
              <w:rPr>
                <w:bCs/>
              </w:rPr>
            </w:pPr>
          </w:p>
        </w:tc>
      </w:tr>
    </w:tbl>
    <w:p w:rsidR="00104259" w:rsidRDefault="00104259" w:rsidP="00CA01F5"/>
    <w:p w:rsidR="00104259" w:rsidRDefault="00104259" w:rsidP="00E74FE1"/>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10260"/>
      </w:tblGrid>
      <w:tr>
        <w:tc>
          <w:tcPr>
            <w:tcW w:w="10260" w:type="dxa"/>
            <w:tcBorders>
              <w:top w:val="single" w:sz="6" w:space="0" w:color="000000"/>
              <w:bottom w:val="single" w:sz="6" w:space="0" w:color="000000"/>
            </w:tcBorders>
            <w:shd w:val="pct30" w:color="FFFF00" w:fill="FFFFFF"/>
          </w:tcPr>
          <w:p w:rsidR="00104259" w:rsidRPr="007B4757" w:rsidRDefault="00104259" w:rsidP="008A72A6">
            <w:pPr>
              <w:pStyle w:val="Heading2"/>
              <w:rPr>
                <w:b w:val="0"/>
                <w:bCs w:val="0"/>
                <w:i w:val="0"/>
                <w:sz w:val="24"/>
                <w:szCs w:val="24"/>
              </w:rPr>
            </w:pPr>
            <w:r w:rsidRPr="007B4757">
              <w:rPr>
                <w:b w:val="0"/>
                <w:bCs w:val="0"/>
                <w:i w:val="0"/>
                <w:sz w:val="24"/>
                <w:szCs w:val="24"/>
              </w:rPr>
              <w:t>8.  Review Process</w:t>
            </w:r>
          </w:p>
        </w:tc>
      </w:tr>
      <w:tr>
        <w:tc>
          <w:tcPr>
            <w:tcW w:w="10260" w:type="dxa"/>
          </w:tcPr>
          <w:p w:rsidR="00104259" w:rsidRPr="007B4757" w:rsidRDefault="00104259" w:rsidP="007B4757">
            <w:pPr>
              <w:ind w:left="360"/>
              <w:rPr>
                <w:rFonts w:cs="Arial"/>
                <w:b/>
                <w:bCs/>
                <w:i/>
                <w:color w:val="FF0000"/>
                <w:lang w:eastAsia="en-GB"/>
              </w:rPr>
            </w:pPr>
          </w:p>
          <w:p w:rsidR="00104259" w:rsidRPr="00B35C90" w:rsidRDefault="00104259" w:rsidP="00B35C90">
            <w:pPr>
              <w:ind w:left="360"/>
              <w:rPr>
                <w:rFonts w:cs="Arial"/>
                <w:bCs/>
                <w:lang w:eastAsia="en-GB"/>
              </w:rPr>
            </w:pPr>
            <w:r w:rsidRPr="00537B02">
              <w:rPr>
                <w:rFonts w:cs="Arial"/>
                <w:bCs/>
                <w:i/>
                <w:color w:val="FF0000"/>
                <w:sz w:val="22"/>
                <w:szCs w:val="22"/>
                <w:lang w:eastAsia="en-GB"/>
              </w:rPr>
              <w:t> </w:t>
            </w:r>
            <w:r>
              <w:rPr>
                <w:rFonts w:cs="Arial"/>
                <w:bCs/>
                <w:sz w:val="22"/>
                <w:szCs w:val="22"/>
                <w:lang w:eastAsia="en-GB"/>
              </w:rPr>
              <w:t>A DFID Senior Regional Health A</w:t>
            </w:r>
            <w:r w:rsidRPr="00537B02">
              <w:rPr>
                <w:rFonts w:cs="Arial"/>
                <w:bCs/>
                <w:sz w:val="22"/>
                <w:szCs w:val="22"/>
                <w:lang w:eastAsia="en-GB"/>
              </w:rPr>
              <w:t>dviser conducted the review between 22 and 26 October 2012</w:t>
            </w:r>
            <w:r>
              <w:rPr>
                <w:rFonts w:cs="Arial"/>
                <w:bCs/>
                <w:sz w:val="22"/>
                <w:szCs w:val="22"/>
                <w:lang w:eastAsia="en-GB"/>
              </w:rPr>
              <w:t xml:space="preserve">. </w:t>
            </w:r>
            <w:r w:rsidRPr="00B35C90">
              <w:rPr>
                <w:rFonts w:cs="Arial"/>
                <w:bCs/>
                <w:sz w:val="22"/>
                <w:szCs w:val="22"/>
                <w:lang w:eastAsia="en-GB"/>
              </w:rPr>
              <w:t xml:space="preserve">The draft </w:t>
            </w:r>
            <w:r>
              <w:rPr>
                <w:rFonts w:cs="Arial"/>
                <w:bCs/>
                <w:sz w:val="22"/>
                <w:szCs w:val="22"/>
                <w:lang w:eastAsia="en-GB"/>
              </w:rPr>
              <w:t>review was consulted with Economic</w:t>
            </w:r>
            <w:r w:rsidRPr="00B35C90">
              <w:rPr>
                <w:rFonts w:cs="Arial"/>
                <w:bCs/>
                <w:sz w:val="22"/>
                <w:szCs w:val="22"/>
                <w:lang w:eastAsia="en-GB"/>
              </w:rPr>
              <w:t xml:space="preserve"> A</w:t>
            </w:r>
            <w:r>
              <w:rPr>
                <w:rFonts w:cs="Arial"/>
                <w:bCs/>
                <w:sz w:val="22"/>
                <w:szCs w:val="22"/>
                <w:lang w:eastAsia="en-GB"/>
              </w:rPr>
              <w:t>dviser and the Results and E</w:t>
            </w:r>
            <w:r w:rsidRPr="00B35C90">
              <w:rPr>
                <w:rFonts w:cs="Arial"/>
                <w:bCs/>
                <w:sz w:val="22"/>
                <w:szCs w:val="22"/>
                <w:lang w:eastAsia="en-GB"/>
              </w:rPr>
              <w:t>valuat</w:t>
            </w:r>
            <w:r>
              <w:rPr>
                <w:rFonts w:cs="Arial"/>
                <w:bCs/>
                <w:sz w:val="22"/>
                <w:szCs w:val="22"/>
                <w:lang w:eastAsia="en-GB"/>
              </w:rPr>
              <w:t>ion A</w:t>
            </w:r>
            <w:r w:rsidRPr="00B35C90">
              <w:rPr>
                <w:rFonts w:cs="Arial"/>
                <w:bCs/>
                <w:sz w:val="22"/>
                <w:szCs w:val="22"/>
                <w:lang w:eastAsia="en-GB"/>
              </w:rPr>
              <w:t xml:space="preserve">dviser </w:t>
            </w:r>
            <w:r>
              <w:rPr>
                <w:rFonts w:cs="Arial"/>
                <w:bCs/>
                <w:sz w:val="22"/>
                <w:szCs w:val="22"/>
                <w:lang w:eastAsia="en-GB"/>
              </w:rPr>
              <w:t>for DFID</w:t>
            </w:r>
            <w:r w:rsidRPr="00B35C90">
              <w:rPr>
                <w:rFonts w:cs="Arial"/>
                <w:bCs/>
                <w:sz w:val="22"/>
                <w:szCs w:val="22"/>
                <w:lang w:eastAsia="en-GB"/>
              </w:rPr>
              <w:t xml:space="preserve">, </w:t>
            </w:r>
            <w:r>
              <w:rPr>
                <w:rFonts w:cs="Arial"/>
                <w:bCs/>
                <w:sz w:val="22"/>
                <w:szCs w:val="22"/>
                <w:lang w:eastAsia="en-GB"/>
              </w:rPr>
              <w:t>PSI</w:t>
            </w:r>
            <w:r w:rsidRPr="00B35C90">
              <w:rPr>
                <w:rFonts w:cs="Arial"/>
                <w:bCs/>
                <w:sz w:val="22"/>
                <w:szCs w:val="22"/>
                <w:lang w:eastAsia="en-GB"/>
              </w:rPr>
              <w:t xml:space="preserve"> and </w:t>
            </w:r>
            <w:r>
              <w:rPr>
                <w:rFonts w:cs="Arial"/>
                <w:bCs/>
                <w:sz w:val="22"/>
                <w:szCs w:val="22"/>
                <w:lang w:eastAsia="en-GB"/>
              </w:rPr>
              <w:t>the Gates Foundation</w:t>
            </w:r>
          </w:p>
          <w:p w:rsidR="00104259" w:rsidRDefault="00104259" w:rsidP="00B35C90">
            <w:pPr>
              <w:rPr>
                <w:rFonts w:cs="Arial"/>
                <w:bCs/>
                <w:lang w:eastAsia="en-GB"/>
              </w:rPr>
            </w:pPr>
          </w:p>
          <w:p w:rsidR="00104259" w:rsidRPr="00537B02" w:rsidRDefault="00104259" w:rsidP="00B35C90">
            <w:pPr>
              <w:ind w:left="360"/>
              <w:rPr>
                <w:rFonts w:cs="Arial"/>
                <w:bCs/>
                <w:lang w:eastAsia="en-GB"/>
              </w:rPr>
            </w:pPr>
            <w:r>
              <w:rPr>
                <w:rFonts w:cs="Arial"/>
                <w:bCs/>
                <w:sz w:val="22"/>
                <w:szCs w:val="22"/>
                <w:lang w:eastAsia="en-GB"/>
              </w:rPr>
              <w:t>The review process consisted of:</w:t>
            </w:r>
          </w:p>
          <w:p w:rsidR="00104259" w:rsidRDefault="00104259" w:rsidP="00F14F87">
            <w:pPr>
              <w:numPr>
                <w:ilvl w:val="0"/>
                <w:numId w:val="5"/>
              </w:numPr>
              <w:rPr>
                <w:rFonts w:cs="Arial"/>
                <w:bCs/>
                <w:lang w:eastAsia="en-GB"/>
              </w:rPr>
            </w:pPr>
            <w:r>
              <w:rPr>
                <w:rFonts w:cs="Arial"/>
                <w:bCs/>
                <w:sz w:val="22"/>
                <w:szCs w:val="22"/>
                <w:lang w:eastAsia="en-GB"/>
              </w:rPr>
              <w:t>D</w:t>
            </w:r>
            <w:r w:rsidRPr="00537B02">
              <w:rPr>
                <w:rFonts w:cs="Arial"/>
                <w:bCs/>
                <w:sz w:val="22"/>
                <w:szCs w:val="22"/>
                <w:lang w:eastAsia="en-GB"/>
              </w:rPr>
              <w:t>ocument review</w:t>
            </w:r>
            <w:r>
              <w:rPr>
                <w:rFonts w:cs="Arial"/>
                <w:bCs/>
                <w:sz w:val="22"/>
                <w:szCs w:val="22"/>
                <w:lang w:eastAsia="en-GB"/>
              </w:rPr>
              <w:t xml:space="preserve"> (see below)</w:t>
            </w:r>
          </w:p>
          <w:p w:rsidR="00104259" w:rsidRPr="00537B02" w:rsidRDefault="00104259" w:rsidP="00F14F87">
            <w:pPr>
              <w:numPr>
                <w:ilvl w:val="0"/>
                <w:numId w:val="5"/>
              </w:numPr>
              <w:rPr>
                <w:rFonts w:cs="Arial"/>
                <w:bCs/>
                <w:lang w:eastAsia="en-GB"/>
              </w:rPr>
            </w:pPr>
            <w:r>
              <w:rPr>
                <w:rFonts w:cs="Arial"/>
                <w:bCs/>
                <w:sz w:val="22"/>
                <w:szCs w:val="22"/>
                <w:lang w:eastAsia="en-GB"/>
              </w:rPr>
              <w:t>PSI</w:t>
            </w:r>
            <w:r w:rsidRPr="00537B02">
              <w:rPr>
                <w:rFonts w:cs="Arial"/>
                <w:bCs/>
                <w:sz w:val="22"/>
                <w:szCs w:val="22"/>
                <w:lang w:eastAsia="en-GB"/>
              </w:rPr>
              <w:t xml:space="preserve"> presentations </w:t>
            </w:r>
            <w:r>
              <w:rPr>
                <w:rFonts w:cs="Arial"/>
                <w:bCs/>
                <w:sz w:val="22"/>
                <w:szCs w:val="22"/>
                <w:lang w:eastAsia="en-GB"/>
              </w:rPr>
              <w:t>to DFID</w:t>
            </w:r>
          </w:p>
          <w:p w:rsidR="00104259" w:rsidRPr="00537B02" w:rsidRDefault="00104259" w:rsidP="00F14F87">
            <w:pPr>
              <w:numPr>
                <w:ilvl w:val="0"/>
                <w:numId w:val="5"/>
              </w:numPr>
              <w:rPr>
                <w:rFonts w:cs="Arial"/>
                <w:bCs/>
                <w:lang w:eastAsia="en-GB"/>
              </w:rPr>
            </w:pPr>
            <w:r>
              <w:rPr>
                <w:rFonts w:cs="Arial"/>
                <w:bCs/>
                <w:sz w:val="22"/>
                <w:szCs w:val="22"/>
                <w:lang w:eastAsia="en-GB"/>
              </w:rPr>
              <w:t>A m</w:t>
            </w:r>
            <w:r w:rsidRPr="00537B02">
              <w:rPr>
                <w:rFonts w:cs="Arial"/>
                <w:bCs/>
                <w:sz w:val="22"/>
                <w:szCs w:val="22"/>
                <w:lang w:eastAsia="en-GB"/>
              </w:rPr>
              <w:t>eeting with AA Medical Products Ltd</w:t>
            </w:r>
          </w:p>
          <w:p w:rsidR="00104259" w:rsidRPr="00537B02" w:rsidRDefault="00104259" w:rsidP="00F14F87">
            <w:pPr>
              <w:numPr>
                <w:ilvl w:val="0"/>
                <w:numId w:val="5"/>
              </w:numPr>
              <w:rPr>
                <w:rFonts w:cs="Arial"/>
                <w:bCs/>
                <w:lang w:eastAsia="en-GB"/>
              </w:rPr>
            </w:pPr>
            <w:r>
              <w:rPr>
                <w:rFonts w:cs="Arial"/>
                <w:bCs/>
                <w:sz w:val="22"/>
                <w:szCs w:val="22"/>
                <w:lang w:eastAsia="en-GB"/>
              </w:rPr>
              <w:t>A v</w:t>
            </w:r>
            <w:r w:rsidRPr="00537B02">
              <w:rPr>
                <w:rFonts w:cs="Arial"/>
                <w:bCs/>
                <w:sz w:val="22"/>
                <w:szCs w:val="22"/>
                <w:lang w:eastAsia="en-GB"/>
              </w:rPr>
              <w:t xml:space="preserve">isit to </w:t>
            </w:r>
            <w:r>
              <w:rPr>
                <w:rFonts w:cs="Arial"/>
                <w:bCs/>
                <w:sz w:val="22"/>
                <w:szCs w:val="22"/>
                <w:lang w:eastAsia="en-GB"/>
              </w:rPr>
              <w:t>the PSI</w:t>
            </w:r>
            <w:r w:rsidRPr="00537B02">
              <w:rPr>
                <w:rFonts w:cs="Arial"/>
                <w:bCs/>
                <w:sz w:val="22"/>
                <w:szCs w:val="22"/>
                <w:lang w:eastAsia="en-GB"/>
              </w:rPr>
              <w:t xml:space="preserve"> warehouse/ packaging operation</w:t>
            </w:r>
            <w:r>
              <w:rPr>
                <w:rFonts w:cs="Arial"/>
                <w:bCs/>
                <w:sz w:val="22"/>
                <w:szCs w:val="22"/>
                <w:lang w:eastAsia="en-GB"/>
              </w:rPr>
              <w:t xml:space="preserve"> in Yangon</w:t>
            </w:r>
          </w:p>
          <w:p w:rsidR="00104259" w:rsidRPr="00537B02" w:rsidRDefault="00104259" w:rsidP="00F14F87">
            <w:pPr>
              <w:numPr>
                <w:ilvl w:val="0"/>
                <w:numId w:val="5"/>
              </w:numPr>
              <w:rPr>
                <w:rFonts w:cs="Arial"/>
                <w:bCs/>
                <w:lang w:eastAsia="en-GB"/>
              </w:rPr>
            </w:pPr>
            <w:r>
              <w:rPr>
                <w:rFonts w:cs="Arial"/>
                <w:bCs/>
                <w:sz w:val="22"/>
                <w:szCs w:val="22"/>
                <w:lang w:eastAsia="en-GB"/>
              </w:rPr>
              <w:t>A 3 day f</w:t>
            </w:r>
            <w:r w:rsidRPr="00537B02">
              <w:rPr>
                <w:rFonts w:cs="Arial"/>
                <w:bCs/>
                <w:sz w:val="22"/>
                <w:szCs w:val="22"/>
                <w:lang w:eastAsia="en-GB"/>
              </w:rPr>
              <w:t xml:space="preserve">ield visit to Tier One </w:t>
            </w:r>
            <w:r>
              <w:rPr>
                <w:rFonts w:cs="Arial"/>
                <w:bCs/>
                <w:sz w:val="22"/>
                <w:szCs w:val="22"/>
                <w:lang w:eastAsia="en-GB"/>
              </w:rPr>
              <w:t xml:space="preserve">MARC </w:t>
            </w:r>
            <w:r w:rsidRPr="00537B02">
              <w:rPr>
                <w:rFonts w:cs="Arial"/>
                <w:bCs/>
                <w:sz w:val="22"/>
                <w:szCs w:val="22"/>
                <w:lang w:eastAsia="en-GB"/>
              </w:rPr>
              <w:t xml:space="preserve">area (Thanintharyi Division) with PSI and </w:t>
            </w:r>
            <w:r>
              <w:rPr>
                <w:rFonts w:cs="Arial"/>
                <w:bCs/>
                <w:sz w:val="22"/>
                <w:szCs w:val="22"/>
                <w:lang w:eastAsia="en-GB"/>
              </w:rPr>
              <w:t xml:space="preserve">Ministry of Health National Malaria Control Programme (NMCP) </w:t>
            </w:r>
            <w:r w:rsidRPr="00537B02">
              <w:rPr>
                <w:rFonts w:cs="Arial"/>
                <w:bCs/>
                <w:sz w:val="22"/>
                <w:szCs w:val="22"/>
                <w:lang w:eastAsia="en-GB"/>
              </w:rPr>
              <w:t>staff</w:t>
            </w:r>
            <w:r>
              <w:rPr>
                <w:rFonts w:cs="Arial"/>
                <w:bCs/>
                <w:sz w:val="22"/>
                <w:szCs w:val="22"/>
                <w:lang w:eastAsia="en-GB"/>
              </w:rPr>
              <w:t xml:space="preserve"> including visits to and discussions with:  the </w:t>
            </w:r>
            <w:r w:rsidRPr="00537B02">
              <w:rPr>
                <w:rFonts w:cs="Arial"/>
                <w:bCs/>
                <w:sz w:val="22"/>
                <w:szCs w:val="22"/>
                <w:lang w:eastAsia="en-GB"/>
              </w:rPr>
              <w:t>AA office</w:t>
            </w:r>
            <w:r>
              <w:rPr>
                <w:rFonts w:cs="Arial"/>
                <w:bCs/>
                <w:sz w:val="22"/>
                <w:szCs w:val="22"/>
                <w:lang w:eastAsia="en-GB"/>
              </w:rPr>
              <w:t xml:space="preserve"> and warehouse</w:t>
            </w:r>
            <w:r w:rsidRPr="00537B02">
              <w:rPr>
                <w:rFonts w:cs="Arial"/>
                <w:bCs/>
                <w:sz w:val="22"/>
                <w:szCs w:val="22"/>
                <w:lang w:eastAsia="en-GB"/>
              </w:rPr>
              <w:t xml:space="preserve">, </w:t>
            </w:r>
            <w:r>
              <w:rPr>
                <w:rFonts w:cs="Arial"/>
                <w:bCs/>
                <w:sz w:val="22"/>
                <w:szCs w:val="22"/>
                <w:lang w:eastAsia="en-GB"/>
              </w:rPr>
              <w:t>a drug wholesaler and</w:t>
            </w:r>
            <w:r w:rsidRPr="00537B02">
              <w:rPr>
                <w:rFonts w:cs="Arial"/>
                <w:bCs/>
                <w:sz w:val="22"/>
                <w:szCs w:val="22"/>
                <w:lang w:eastAsia="en-GB"/>
              </w:rPr>
              <w:t xml:space="preserve"> pharmacies in urban areas of My</w:t>
            </w:r>
            <w:r>
              <w:rPr>
                <w:rFonts w:cs="Arial"/>
                <w:bCs/>
                <w:sz w:val="22"/>
                <w:szCs w:val="22"/>
                <w:lang w:eastAsia="en-GB"/>
              </w:rPr>
              <w:t>ei</w:t>
            </w:r>
            <w:r w:rsidRPr="00537B02">
              <w:rPr>
                <w:rFonts w:cs="Arial"/>
                <w:bCs/>
                <w:sz w:val="22"/>
                <w:szCs w:val="22"/>
                <w:lang w:eastAsia="en-GB"/>
              </w:rPr>
              <w:t>k</w:t>
            </w:r>
            <w:r>
              <w:rPr>
                <w:rFonts w:cs="Arial"/>
                <w:bCs/>
                <w:sz w:val="22"/>
                <w:szCs w:val="22"/>
                <w:lang w:eastAsia="en-GB"/>
              </w:rPr>
              <w:t xml:space="preserve">; a </w:t>
            </w:r>
            <w:r w:rsidRPr="00537B02">
              <w:rPr>
                <w:rFonts w:cs="Arial"/>
                <w:bCs/>
                <w:sz w:val="22"/>
                <w:szCs w:val="22"/>
                <w:lang w:eastAsia="en-GB"/>
              </w:rPr>
              <w:t xml:space="preserve">Government </w:t>
            </w:r>
            <w:r>
              <w:rPr>
                <w:rFonts w:cs="Arial"/>
                <w:bCs/>
                <w:sz w:val="22"/>
                <w:szCs w:val="22"/>
                <w:lang w:eastAsia="en-GB"/>
              </w:rPr>
              <w:t>rural health centre</w:t>
            </w:r>
            <w:r w:rsidRPr="00537B02">
              <w:rPr>
                <w:rFonts w:cs="Arial"/>
                <w:bCs/>
                <w:sz w:val="22"/>
                <w:szCs w:val="22"/>
                <w:lang w:eastAsia="en-GB"/>
              </w:rPr>
              <w:t>, retailer</w:t>
            </w:r>
            <w:r>
              <w:rPr>
                <w:rFonts w:cs="Arial"/>
                <w:bCs/>
                <w:sz w:val="22"/>
                <w:szCs w:val="22"/>
                <w:lang w:eastAsia="en-GB"/>
              </w:rPr>
              <w:t>s</w:t>
            </w:r>
            <w:r w:rsidRPr="00537B02">
              <w:rPr>
                <w:rFonts w:cs="Arial"/>
                <w:bCs/>
                <w:sz w:val="22"/>
                <w:szCs w:val="22"/>
                <w:lang w:eastAsia="en-GB"/>
              </w:rPr>
              <w:t xml:space="preserve">, </w:t>
            </w:r>
            <w:r>
              <w:rPr>
                <w:rFonts w:cs="Arial"/>
                <w:bCs/>
                <w:sz w:val="22"/>
                <w:szCs w:val="22"/>
                <w:lang w:eastAsia="en-GB"/>
              </w:rPr>
              <w:t xml:space="preserve">a </w:t>
            </w:r>
            <w:r w:rsidRPr="00537B02">
              <w:rPr>
                <w:rFonts w:cs="Arial"/>
                <w:bCs/>
                <w:sz w:val="22"/>
                <w:szCs w:val="22"/>
                <w:lang w:eastAsia="en-GB"/>
              </w:rPr>
              <w:t xml:space="preserve">private doctor, </w:t>
            </w:r>
            <w:r>
              <w:rPr>
                <w:rFonts w:cs="Arial"/>
                <w:bCs/>
                <w:sz w:val="22"/>
                <w:szCs w:val="22"/>
                <w:lang w:eastAsia="en-GB"/>
              </w:rPr>
              <w:t>an itinerant drug vendor and</w:t>
            </w:r>
            <w:r w:rsidRPr="00537B02">
              <w:rPr>
                <w:rFonts w:cs="Arial"/>
                <w:bCs/>
                <w:sz w:val="22"/>
                <w:szCs w:val="22"/>
                <w:lang w:eastAsia="en-GB"/>
              </w:rPr>
              <w:t xml:space="preserve"> </w:t>
            </w:r>
            <w:r>
              <w:rPr>
                <w:rFonts w:cs="Arial"/>
                <w:bCs/>
                <w:sz w:val="22"/>
                <w:szCs w:val="22"/>
                <w:lang w:eastAsia="en-GB"/>
              </w:rPr>
              <w:t xml:space="preserve">a </w:t>
            </w:r>
            <w:r w:rsidRPr="00537B02">
              <w:rPr>
                <w:rFonts w:cs="Arial"/>
                <w:bCs/>
                <w:sz w:val="22"/>
                <w:szCs w:val="22"/>
                <w:lang w:eastAsia="en-GB"/>
              </w:rPr>
              <w:t>health worker in rural areas along main road south of Myiek towards Thanintharyi town</w:t>
            </w:r>
          </w:p>
          <w:p w:rsidR="00104259" w:rsidRPr="00537B02" w:rsidRDefault="00104259" w:rsidP="00F14F87">
            <w:pPr>
              <w:numPr>
                <w:ilvl w:val="0"/>
                <w:numId w:val="5"/>
              </w:numPr>
              <w:rPr>
                <w:rFonts w:cs="Arial"/>
                <w:bCs/>
                <w:lang w:eastAsia="en-GB"/>
              </w:rPr>
            </w:pPr>
            <w:r>
              <w:rPr>
                <w:rFonts w:cs="Arial"/>
                <w:bCs/>
                <w:sz w:val="22"/>
                <w:szCs w:val="22"/>
                <w:lang w:eastAsia="en-GB"/>
              </w:rPr>
              <w:t>A concluding meeting between meeting PSI and DFID for the presentation of findings from the review and discussion of recommendations</w:t>
            </w:r>
          </w:p>
          <w:p w:rsidR="00104259" w:rsidRDefault="00104259" w:rsidP="007B4757">
            <w:pPr>
              <w:ind w:left="360"/>
              <w:rPr>
                <w:rFonts w:cs="Arial"/>
                <w:bCs/>
                <w:lang w:eastAsia="en-GB"/>
              </w:rPr>
            </w:pPr>
          </w:p>
          <w:p w:rsidR="00104259" w:rsidRDefault="00104259" w:rsidP="007B4757">
            <w:pPr>
              <w:ind w:left="360"/>
              <w:rPr>
                <w:rFonts w:cs="Arial"/>
                <w:bCs/>
                <w:lang w:eastAsia="en-GB"/>
              </w:rPr>
            </w:pPr>
            <w:r>
              <w:rPr>
                <w:rFonts w:cs="Arial"/>
                <w:bCs/>
                <w:sz w:val="22"/>
                <w:szCs w:val="22"/>
                <w:lang w:eastAsia="en-GB"/>
              </w:rPr>
              <w:t>Principal documents used in this review:</w:t>
            </w:r>
          </w:p>
          <w:p w:rsidR="00104259" w:rsidRDefault="00104259" w:rsidP="007B4757">
            <w:pPr>
              <w:ind w:left="360"/>
              <w:rPr>
                <w:rFonts w:cs="Arial"/>
                <w:bCs/>
                <w:lang w:eastAsia="en-GB"/>
              </w:rPr>
            </w:pPr>
          </w:p>
          <w:p w:rsidR="00104259" w:rsidRDefault="00104259" w:rsidP="00224468">
            <w:pPr>
              <w:ind w:left="360"/>
              <w:rPr>
                <w:rFonts w:cs="Arial"/>
                <w:bCs/>
                <w:lang w:eastAsia="en-GB"/>
              </w:rPr>
            </w:pPr>
            <w:r>
              <w:rPr>
                <w:rFonts w:cs="Arial"/>
                <w:bCs/>
                <w:sz w:val="22"/>
                <w:szCs w:val="22"/>
                <w:lang w:eastAsia="en-GB"/>
              </w:rPr>
              <w:t>Sales and Distribution Services Agreement between PSI and AA Medical Products Ltd signed 18</w:t>
            </w:r>
            <w:r w:rsidRPr="000931F6">
              <w:rPr>
                <w:rFonts w:cs="Arial"/>
                <w:bCs/>
                <w:sz w:val="22"/>
                <w:szCs w:val="22"/>
                <w:vertAlign w:val="superscript"/>
                <w:lang w:eastAsia="en-GB"/>
              </w:rPr>
              <w:t>th</w:t>
            </w:r>
            <w:r>
              <w:rPr>
                <w:rFonts w:cs="Arial"/>
                <w:bCs/>
                <w:sz w:val="22"/>
                <w:szCs w:val="22"/>
                <w:lang w:eastAsia="en-GB"/>
              </w:rPr>
              <w:t xml:space="preserve"> June 2012 (3761626, 3761632)</w:t>
            </w:r>
          </w:p>
          <w:p w:rsidR="00104259" w:rsidRDefault="00104259" w:rsidP="00224468">
            <w:pPr>
              <w:ind w:left="360"/>
              <w:rPr>
                <w:rFonts w:cs="Arial"/>
                <w:bCs/>
                <w:lang w:eastAsia="en-GB"/>
              </w:rPr>
            </w:pPr>
            <w:r>
              <w:rPr>
                <w:rFonts w:cs="Arial"/>
                <w:bCs/>
                <w:sz w:val="22"/>
                <w:szCs w:val="22"/>
                <w:lang w:eastAsia="en-GB"/>
              </w:rPr>
              <w:t>Outlet Survey 2012 Survey Report (3761634)</w:t>
            </w:r>
          </w:p>
          <w:p w:rsidR="00104259" w:rsidRDefault="00104259" w:rsidP="00224468">
            <w:pPr>
              <w:ind w:left="360"/>
              <w:rPr>
                <w:rFonts w:cs="Arial"/>
                <w:bCs/>
                <w:lang w:eastAsia="en-GB"/>
              </w:rPr>
            </w:pPr>
            <w:r>
              <w:rPr>
                <w:rFonts w:cs="Arial"/>
                <w:bCs/>
                <w:sz w:val="22"/>
                <w:szCs w:val="22"/>
                <w:lang w:eastAsia="en-GB"/>
              </w:rPr>
              <w:t>Price Structure for AMTR project (PSI) (3844344)</w:t>
            </w:r>
          </w:p>
          <w:p w:rsidR="00104259" w:rsidRDefault="00104259" w:rsidP="00224468">
            <w:pPr>
              <w:ind w:left="360"/>
              <w:rPr>
                <w:rFonts w:cs="Arial"/>
                <w:bCs/>
                <w:lang w:eastAsia="en-GB"/>
              </w:rPr>
            </w:pPr>
            <w:r>
              <w:rPr>
                <w:rFonts w:cs="Arial"/>
                <w:bCs/>
                <w:sz w:val="22"/>
                <w:szCs w:val="22"/>
                <w:lang w:eastAsia="en-GB"/>
              </w:rPr>
              <w:t>Antimalarial market competition in Myanmar in the context of drug resistance containment (PSI) (3706025)</w:t>
            </w:r>
          </w:p>
          <w:p w:rsidR="00104259" w:rsidRDefault="00104259" w:rsidP="00224468">
            <w:pPr>
              <w:ind w:left="360"/>
              <w:rPr>
                <w:rFonts w:cs="Arial"/>
                <w:bCs/>
                <w:lang w:eastAsia="en-GB"/>
              </w:rPr>
            </w:pPr>
            <w:r>
              <w:rPr>
                <w:rFonts w:cs="Arial"/>
                <w:bCs/>
                <w:sz w:val="22"/>
                <w:szCs w:val="22"/>
                <w:lang w:eastAsia="en-GB"/>
              </w:rPr>
              <w:t>Letter to DFID and BMGF on Decision on the procurement of ACTs dated 7</w:t>
            </w:r>
            <w:r w:rsidRPr="00253283">
              <w:rPr>
                <w:rFonts w:cs="Arial"/>
                <w:bCs/>
                <w:sz w:val="22"/>
                <w:szCs w:val="22"/>
                <w:vertAlign w:val="superscript"/>
                <w:lang w:eastAsia="en-GB"/>
              </w:rPr>
              <w:t>th</w:t>
            </w:r>
            <w:r>
              <w:rPr>
                <w:rFonts w:cs="Arial"/>
                <w:bCs/>
                <w:sz w:val="22"/>
                <w:szCs w:val="22"/>
                <w:lang w:eastAsia="en-GB"/>
              </w:rPr>
              <w:t xml:space="preserve"> February 2012 (3761863)</w:t>
            </w:r>
          </w:p>
          <w:p w:rsidR="00104259" w:rsidRDefault="00104259" w:rsidP="00224468">
            <w:pPr>
              <w:ind w:left="360"/>
              <w:rPr>
                <w:rFonts w:cs="Arial"/>
                <w:bCs/>
                <w:lang w:eastAsia="en-GB"/>
              </w:rPr>
            </w:pPr>
            <w:r>
              <w:rPr>
                <w:rFonts w:cs="Arial"/>
                <w:bCs/>
                <w:sz w:val="22"/>
                <w:szCs w:val="22"/>
                <w:lang w:eastAsia="en-GB"/>
              </w:rPr>
              <w:t>Behavioural Change Communication Campaign/ Activities under AMTR (3761975)</w:t>
            </w:r>
          </w:p>
          <w:p w:rsidR="00104259" w:rsidRDefault="00104259" w:rsidP="006706B7">
            <w:pPr>
              <w:ind w:left="360"/>
              <w:rPr>
                <w:rFonts w:cs="Arial"/>
                <w:bCs/>
                <w:lang w:eastAsia="en-GB"/>
              </w:rPr>
            </w:pPr>
            <w:r>
              <w:rPr>
                <w:rFonts w:cs="Arial"/>
                <w:bCs/>
                <w:sz w:val="22"/>
                <w:szCs w:val="22"/>
                <w:lang w:eastAsia="en-GB"/>
              </w:rPr>
              <w:t>PowerPoint presentation (3763460) : Preliminary Findings from Supply Chain Survey, Outlet Survey and Household Survey, PSI 22</w:t>
            </w:r>
            <w:r w:rsidRPr="000537F6">
              <w:rPr>
                <w:rFonts w:cs="Arial"/>
                <w:bCs/>
                <w:sz w:val="22"/>
                <w:szCs w:val="22"/>
                <w:vertAlign w:val="superscript"/>
                <w:lang w:eastAsia="en-GB"/>
              </w:rPr>
              <w:t>nd</w:t>
            </w:r>
            <w:r>
              <w:rPr>
                <w:rFonts w:cs="Arial"/>
                <w:bCs/>
                <w:sz w:val="22"/>
                <w:szCs w:val="22"/>
                <w:lang w:eastAsia="en-GB"/>
              </w:rPr>
              <w:t xml:space="preserve"> October 2012.</w:t>
            </w:r>
          </w:p>
          <w:p w:rsidR="00104259" w:rsidRDefault="00104259" w:rsidP="00224468">
            <w:pPr>
              <w:ind w:left="360"/>
              <w:rPr>
                <w:rFonts w:cs="Arial"/>
                <w:bCs/>
                <w:lang w:eastAsia="en-GB"/>
              </w:rPr>
            </w:pPr>
            <w:r>
              <w:rPr>
                <w:rFonts w:cs="Arial"/>
                <w:bCs/>
                <w:sz w:val="22"/>
                <w:szCs w:val="22"/>
                <w:lang w:eastAsia="en-GB"/>
              </w:rPr>
              <w:t>Joint Assessment of the Response to Artemisinin Resistance in the Greater Mekong Sub-region) (2012) (3762396)</w:t>
            </w:r>
          </w:p>
          <w:p w:rsidR="00104259" w:rsidRDefault="00104259" w:rsidP="00224468">
            <w:pPr>
              <w:ind w:left="360"/>
              <w:rPr>
                <w:rFonts w:cs="Arial"/>
                <w:bCs/>
                <w:lang w:eastAsia="en-GB"/>
              </w:rPr>
            </w:pPr>
            <w:r>
              <w:rPr>
                <w:rFonts w:cs="Arial"/>
                <w:bCs/>
                <w:sz w:val="22"/>
                <w:szCs w:val="22"/>
                <w:lang w:eastAsia="en-GB"/>
              </w:rPr>
              <w:t>Report of the First Annual Meeting: Myanmar Artemisinin Resistance Containment (MARC) (3762238)</w:t>
            </w:r>
          </w:p>
          <w:p w:rsidR="00104259" w:rsidRDefault="00104259" w:rsidP="00224468">
            <w:pPr>
              <w:ind w:left="360"/>
              <w:rPr>
                <w:rFonts w:cs="Arial"/>
                <w:bCs/>
                <w:lang w:eastAsia="en-GB"/>
              </w:rPr>
            </w:pPr>
            <w:r>
              <w:rPr>
                <w:rFonts w:cs="Arial"/>
                <w:bCs/>
                <w:sz w:val="22"/>
                <w:szCs w:val="22"/>
                <w:lang w:eastAsia="en-GB"/>
              </w:rPr>
              <w:t xml:space="preserve">Improving malaria treatment practices in Myanmar’s private sector: an evaluation of incentives for driving demand for diagnostic tools. </w:t>
            </w:r>
          </w:p>
          <w:p w:rsidR="00104259" w:rsidRDefault="00104259" w:rsidP="00224468">
            <w:pPr>
              <w:ind w:left="360"/>
              <w:rPr>
                <w:rFonts w:cs="Arial"/>
                <w:bCs/>
                <w:lang w:eastAsia="en-GB"/>
              </w:rPr>
            </w:pPr>
            <w:r>
              <w:rPr>
                <w:rFonts w:cs="Arial"/>
                <w:bCs/>
                <w:sz w:val="22"/>
                <w:szCs w:val="22"/>
                <w:lang w:eastAsia="en-GB"/>
              </w:rPr>
              <w:t>Risk and Risk Management for Annual Joint Donor Review (18</w:t>
            </w:r>
            <w:r w:rsidRPr="00D03823">
              <w:rPr>
                <w:rFonts w:cs="Arial"/>
                <w:bCs/>
                <w:sz w:val="22"/>
                <w:szCs w:val="22"/>
                <w:vertAlign w:val="superscript"/>
                <w:lang w:eastAsia="en-GB"/>
              </w:rPr>
              <w:t>th</w:t>
            </w:r>
            <w:r>
              <w:rPr>
                <w:rFonts w:cs="Arial"/>
                <w:bCs/>
                <w:sz w:val="22"/>
                <w:szCs w:val="22"/>
                <w:lang w:eastAsia="en-GB"/>
              </w:rPr>
              <w:t xml:space="preserve"> October 2012) (3761689)</w:t>
            </w:r>
          </w:p>
          <w:p w:rsidR="00104259" w:rsidRPr="007B4757" w:rsidRDefault="00104259" w:rsidP="0087653B">
            <w:pPr>
              <w:rPr>
                <w:b/>
                <w:bCs/>
              </w:rPr>
            </w:pPr>
          </w:p>
        </w:tc>
      </w:tr>
      <w:tr>
        <w:trPr>
          <w:trHeight w:val="95"/>
        </w:trPr>
        <w:tc>
          <w:tcPr>
            <w:tcW w:w="10260" w:type="dxa"/>
            <w:tcBorders>
              <w:bottom w:val="single" w:sz="6" w:space="0" w:color="000000"/>
            </w:tcBorders>
          </w:tcPr>
          <w:p w:rsidR="00104259" w:rsidRPr="007B4757" w:rsidRDefault="00104259" w:rsidP="007E472F">
            <w:pPr>
              <w:rPr>
                <w:rFonts w:cs="Arial"/>
                <w:b/>
                <w:bCs/>
                <w:i/>
                <w:color w:val="FF0000"/>
                <w:lang w:eastAsia="en-GB"/>
              </w:rPr>
            </w:pPr>
          </w:p>
        </w:tc>
      </w:tr>
    </w:tbl>
    <w:p w:rsidR="00104259" w:rsidRPr="00C94C53" w:rsidRDefault="00104259" w:rsidP="00AC7A96">
      <w:pPr>
        <w:pStyle w:val="Heading2"/>
      </w:pPr>
    </w:p>
    <w:sectPr w:rsidR="00104259" w:rsidRPr="00C94C53" w:rsidSect="00A20BCE">
      <w:footerReference w:type="even" r:id="rId7"/>
      <w:footerReference w:type="default" r:id="rId8"/>
      <w:pgSz w:w="11906" w:h="16838" w:code="9"/>
      <w:pgMar w:top="719"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259" w:rsidRDefault="00104259">
      <w:r>
        <w:separator/>
      </w:r>
    </w:p>
  </w:endnote>
  <w:endnote w:type="continuationSeparator" w:id="1">
    <w:p w:rsidR="00104259" w:rsidRDefault="00104259">
      <w:r>
        <w:continuationSeparator/>
      </w:r>
    </w:p>
  </w:endnote>
  <w:endnote w:id="2">
    <w:p w:rsidR="00104259" w:rsidRDefault="00104259">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59" w:rsidRDefault="00104259" w:rsidP="00CC06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4259" w:rsidRDefault="001042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59" w:rsidRDefault="00104259" w:rsidP="00CC06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04259" w:rsidRDefault="001042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259" w:rsidRDefault="00104259">
      <w:r>
        <w:separator/>
      </w:r>
    </w:p>
  </w:footnote>
  <w:footnote w:type="continuationSeparator" w:id="1">
    <w:p w:rsidR="00104259" w:rsidRDefault="00104259">
      <w:r>
        <w:continuationSeparator/>
      </w:r>
    </w:p>
  </w:footnote>
  <w:footnote w:id="2">
    <w:p w:rsidR="00104259" w:rsidRPr="00245322" w:rsidRDefault="00104259" w:rsidP="00C0028A">
      <w:pPr>
        <w:pStyle w:val="NormalWeb"/>
        <w:rPr>
          <w:rFonts w:ascii="Arial" w:hAnsi="Arial" w:cs="Arial"/>
          <w:lang w:eastAsia="en-GB"/>
        </w:rPr>
      </w:pPr>
      <w:r w:rsidRPr="00245322">
        <w:rPr>
          <w:rStyle w:val="FootnoteReference"/>
          <w:rFonts w:ascii="Arial" w:hAnsi="Arial" w:cs="Arial"/>
        </w:rPr>
        <w:footnoteRef/>
      </w:r>
      <w:r w:rsidRPr="00245322">
        <w:rPr>
          <w:rFonts w:ascii="Arial" w:hAnsi="Arial" w:cs="Arial"/>
        </w:rPr>
        <w:t xml:space="preserve"> </w:t>
      </w:r>
      <w:r w:rsidRPr="00245322">
        <w:rPr>
          <w:rFonts w:ascii="Arial" w:hAnsi="Arial" w:cs="Arial"/>
          <w:lang w:eastAsia="en-GB"/>
        </w:rPr>
        <w:t xml:space="preserve">One DALY represents one lost year of "healthy" life. The sum of these DALYs across the population, or the burden of disease, can be thought of as a measurement of the gap between current health status and an ideal health situation where the entire population lives to an advanced age, free of disease and disability.  (WHO definition) </w:t>
      </w:r>
    </w:p>
    <w:p w:rsidR="00104259" w:rsidRPr="00C0028A" w:rsidRDefault="00104259" w:rsidP="00C0028A">
      <w:pPr>
        <w:rPr>
          <w:rFonts w:ascii="Times New Roman" w:hAnsi="Times New Roman"/>
          <w:lang w:eastAsia="en-GB"/>
        </w:rPr>
      </w:pPr>
      <w:r w:rsidRPr="000E319C">
        <w:rPr>
          <w:rFonts w:cs="Arial"/>
          <w:sz w:val="20"/>
          <w:szCs w:val="20"/>
          <w:lang w:eastAsia="en-GB"/>
        </w:rPr>
        <w:pict>
          <v:rect id="_x0000_i1026" style="width:0;height:1.5pt" o:hralign="center" o:hrstd="t" o:hr="t" fillcolor="#aca899" stroked="f"/>
        </w:pict>
      </w:r>
    </w:p>
    <w:p w:rsidR="00104259" w:rsidRDefault="00104259" w:rsidP="00C0028A"/>
  </w:footnote>
  <w:footnote w:id="3">
    <w:p w:rsidR="00104259" w:rsidRDefault="00104259" w:rsidP="001F7E8F">
      <w:pPr>
        <w:autoSpaceDE w:val="0"/>
        <w:autoSpaceDN w:val="0"/>
        <w:adjustRightInd w:val="0"/>
      </w:pPr>
      <w:r>
        <w:rPr>
          <w:rStyle w:val="FootnoteReference"/>
        </w:rPr>
        <w:footnoteRef/>
      </w:r>
      <w:r>
        <w:t xml:space="preserve"> </w:t>
      </w:r>
      <w:r w:rsidRPr="00936CCD">
        <w:rPr>
          <w:rFonts w:cs="Arial"/>
          <w:color w:val="333333"/>
          <w:sz w:val="18"/>
          <w:szCs w:val="18"/>
          <w:lang w:eastAsia="en-GB"/>
        </w:rPr>
        <w:t xml:space="preserve">White LJ; Lubell Y; Meek S; White NJ; Day NPJ; Nosten FH; Ashley E; Socheat D; Nguon C; Dondorp AM; </w:t>
      </w:r>
      <w:r w:rsidRPr="001F7E8F">
        <w:rPr>
          <w:rFonts w:cs="Arial"/>
          <w:bCs/>
          <w:color w:val="000000"/>
          <w:sz w:val="18"/>
          <w:szCs w:val="18"/>
          <w:lang w:eastAsia="en-GB"/>
        </w:rPr>
        <w:t xml:space="preserve">Malaria in the Asia-Pacific: </w:t>
      </w:r>
      <w:r w:rsidRPr="001F7E8F">
        <w:rPr>
          <w:rFonts w:cs="Arial"/>
          <w:color w:val="000000"/>
          <w:sz w:val="18"/>
          <w:szCs w:val="18"/>
          <w:lang w:eastAsia="en-GB"/>
        </w:rPr>
        <w:t>Modelling the current and potential impact of artemesinin resistance and its containment. Issue Paper Number 4 Malaria 2012.  http://malaria2012conference.com/materials.php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3D4C82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4110D"/>
    <w:multiLevelType w:val="multilevel"/>
    <w:tmpl w:val="63C4F028"/>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267608A"/>
    <w:multiLevelType w:val="hybridMultilevel"/>
    <w:tmpl w:val="892256F6"/>
    <w:lvl w:ilvl="0" w:tplc="70C4A1FE">
      <w:start w:val="1"/>
      <w:numFmt w:val="bullet"/>
      <w:lvlText w:val="•"/>
      <w:lvlJc w:val="left"/>
      <w:pPr>
        <w:tabs>
          <w:tab w:val="num" w:pos="720"/>
        </w:tabs>
        <w:ind w:left="720" w:hanging="360"/>
      </w:pPr>
      <w:rPr>
        <w:rFonts w:ascii="Arial" w:hAnsi="Arial" w:hint="default"/>
      </w:rPr>
    </w:lvl>
    <w:lvl w:ilvl="1" w:tplc="0B88A27C">
      <w:numFmt w:val="none"/>
      <w:lvlText w:val=""/>
      <w:lvlJc w:val="left"/>
      <w:pPr>
        <w:tabs>
          <w:tab w:val="num" w:pos="360"/>
        </w:tabs>
      </w:pPr>
      <w:rPr>
        <w:rFonts w:cs="Times New Roman"/>
      </w:rPr>
    </w:lvl>
    <w:lvl w:ilvl="2" w:tplc="1C1C9CC8" w:tentative="1">
      <w:start w:val="1"/>
      <w:numFmt w:val="bullet"/>
      <w:lvlText w:val="•"/>
      <w:lvlJc w:val="left"/>
      <w:pPr>
        <w:tabs>
          <w:tab w:val="num" w:pos="2160"/>
        </w:tabs>
        <w:ind w:left="2160" w:hanging="360"/>
      </w:pPr>
      <w:rPr>
        <w:rFonts w:ascii="Arial" w:hAnsi="Arial" w:hint="default"/>
      </w:rPr>
    </w:lvl>
    <w:lvl w:ilvl="3" w:tplc="22EE4E28" w:tentative="1">
      <w:start w:val="1"/>
      <w:numFmt w:val="bullet"/>
      <w:lvlText w:val="•"/>
      <w:lvlJc w:val="left"/>
      <w:pPr>
        <w:tabs>
          <w:tab w:val="num" w:pos="2880"/>
        </w:tabs>
        <w:ind w:left="2880" w:hanging="360"/>
      </w:pPr>
      <w:rPr>
        <w:rFonts w:ascii="Arial" w:hAnsi="Arial" w:hint="default"/>
      </w:rPr>
    </w:lvl>
    <w:lvl w:ilvl="4" w:tplc="AB6A6DA0" w:tentative="1">
      <w:start w:val="1"/>
      <w:numFmt w:val="bullet"/>
      <w:lvlText w:val="•"/>
      <w:lvlJc w:val="left"/>
      <w:pPr>
        <w:tabs>
          <w:tab w:val="num" w:pos="3600"/>
        </w:tabs>
        <w:ind w:left="3600" w:hanging="360"/>
      </w:pPr>
      <w:rPr>
        <w:rFonts w:ascii="Arial" w:hAnsi="Arial" w:hint="default"/>
      </w:rPr>
    </w:lvl>
    <w:lvl w:ilvl="5" w:tplc="0C128DB6" w:tentative="1">
      <w:start w:val="1"/>
      <w:numFmt w:val="bullet"/>
      <w:lvlText w:val="•"/>
      <w:lvlJc w:val="left"/>
      <w:pPr>
        <w:tabs>
          <w:tab w:val="num" w:pos="4320"/>
        </w:tabs>
        <w:ind w:left="4320" w:hanging="360"/>
      </w:pPr>
      <w:rPr>
        <w:rFonts w:ascii="Arial" w:hAnsi="Arial" w:hint="default"/>
      </w:rPr>
    </w:lvl>
    <w:lvl w:ilvl="6" w:tplc="F6AA5CFC" w:tentative="1">
      <w:start w:val="1"/>
      <w:numFmt w:val="bullet"/>
      <w:lvlText w:val="•"/>
      <w:lvlJc w:val="left"/>
      <w:pPr>
        <w:tabs>
          <w:tab w:val="num" w:pos="5040"/>
        </w:tabs>
        <w:ind w:left="5040" w:hanging="360"/>
      </w:pPr>
      <w:rPr>
        <w:rFonts w:ascii="Arial" w:hAnsi="Arial" w:hint="default"/>
      </w:rPr>
    </w:lvl>
    <w:lvl w:ilvl="7" w:tplc="85E05C28" w:tentative="1">
      <w:start w:val="1"/>
      <w:numFmt w:val="bullet"/>
      <w:lvlText w:val="•"/>
      <w:lvlJc w:val="left"/>
      <w:pPr>
        <w:tabs>
          <w:tab w:val="num" w:pos="5760"/>
        </w:tabs>
        <w:ind w:left="5760" w:hanging="360"/>
      </w:pPr>
      <w:rPr>
        <w:rFonts w:ascii="Arial" w:hAnsi="Arial" w:hint="default"/>
      </w:rPr>
    </w:lvl>
    <w:lvl w:ilvl="8" w:tplc="08F042DC" w:tentative="1">
      <w:start w:val="1"/>
      <w:numFmt w:val="bullet"/>
      <w:lvlText w:val="•"/>
      <w:lvlJc w:val="left"/>
      <w:pPr>
        <w:tabs>
          <w:tab w:val="num" w:pos="6480"/>
        </w:tabs>
        <w:ind w:left="6480" w:hanging="360"/>
      </w:pPr>
      <w:rPr>
        <w:rFonts w:ascii="Arial" w:hAnsi="Arial" w:hint="default"/>
      </w:rPr>
    </w:lvl>
  </w:abstractNum>
  <w:abstractNum w:abstractNumId="3">
    <w:nsid w:val="08B778FE"/>
    <w:multiLevelType w:val="hybridMultilevel"/>
    <w:tmpl w:val="907A318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A1B6711"/>
    <w:multiLevelType w:val="multilevel"/>
    <w:tmpl w:val="A2365A82"/>
    <w:lvl w:ilvl="0">
      <w:start w:val="1"/>
      <w:numFmt w:val="decimal"/>
      <w:lvlText w:val="%1"/>
      <w:lvlJc w:val="left"/>
      <w:pPr>
        <w:ind w:left="460" w:hanging="460"/>
      </w:pPr>
      <w:rPr>
        <w:rFonts w:cs="Times New Roman" w:hint="default"/>
      </w:rPr>
    </w:lvl>
    <w:lvl w:ilvl="1">
      <w:start w:val="1"/>
      <w:numFmt w:val="decimal"/>
      <w:lvlText w:val="%1.%2"/>
      <w:lvlJc w:val="left"/>
      <w:pPr>
        <w:ind w:left="460" w:hanging="4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A807832"/>
    <w:multiLevelType w:val="hybridMultilevel"/>
    <w:tmpl w:val="DC52EE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0BAD2473"/>
    <w:multiLevelType w:val="hybridMultilevel"/>
    <w:tmpl w:val="EFE00D0C"/>
    <w:lvl w:ilvl="0" w:tplc="9CC6BD8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CCF031E"/>
    <w:multiLevelType w:val="multilevel"/>
    <w:tmpl w:val="412ED48E"/>
    <w:lvl w:ilvl="0">
      <w:start w:val="1"/>
      <w:numFmt w:val="bullet"/>
      <w:lvlText w:val="o"/>
      <w:lvlJc w:val="left"/>
      <w:pPr>
        <w:ind w:left="1147" w:hanging="360"/>
      </w:pPr>
      <w:rPr>
        <w:rFonts w:ascii="Courier New" w:hAnsi="Courier New" w:hint="default"/>
      </w:rPr>
    </w:lvl>
    <w:lvl w:ilvl="1">
      <w:start w:val="1"/>
      <w:numFmt w:val="bullet"/>
      <w:lvlText w:val="o"/>
      <w:lvlJc w:val="left"/>
      <w:pPr>
        <w:ind w:left="1867" w:hanging="360"/>
      </w:pPr>
      <w:rPr>
        <w:rFonts w:ascii="Courier New" w:hAnsi="Courier New" w:hint="default"/>
      </w:rPr>
    </w:lvl>
    <w:lvl w:ilvl="2">
      <w:start w:val="1"/>
      <w:numFmt w:val="bullet"/>
      <w:lvlText w:val=""/>
      <w:lvlJc w:val="left"/>
      <w:pPr>
        <w:ind w:left="2587" w:hanging="360"/>
      </w:pPr>
      <w:rPr>
        <w:rFonts w:ascii="Wingdings" w:hAnsi="Wingdings" w:hint="default"/>
      </w:rPr>
    </w:lvl>
    <w:lvl w:ilvl="3">
      <w:start w:val="1"/>
      <w:numFmt w:val="bullet"/>
      <w:lvlText w:val=""/>
      <w:lvlJc w:val="left"/>
      <w:pPr>
        <w:ind w:left="3307" w:hanging="360"/>
      </w:pPr>
      <w:rPr>
        <w:rFonts w:ascii="Symbol" w:hAnsi="Symbol" w:hint="default"/>
      </w:rPr>
    </w:lvl>
    <w:lvl w:ilvl="4">
      <w:start w:val="1"/>
      <w:numFmt w:val="bullet"/>
      <w:lvlText w:val="o"/>
      <w:lvlJc w:val="left"/>
      <w:pPr>
        <w:ind w:left="4027" w:hanging="360"/>
      </w:pPr>
      <w:rPr>
        <w:rFonts w:ascii="Courier New" w:hAnsi="Courier New" w:hint="default"/>
      </w:rPr>
    </w:lvl>
    <w:lvl w:ilvl="5">
      <w:start w:val="1"/>
      <w:numFmt w:val="bullet"/>
      <w:lvlText w:val=""/>
      <w:lvlJc w:val="left"/>
      <w:pPr>
        <w:ind w:left="4747" w:hanging="360"/>
      </w:pPr>
      <w:rPr>
        <w:rFonts w:ascii="Wingdings" w:hAnsi="Wingdings" w:hint="default"/>
      </w:rPr>
    </w:lvl>
    <w:lvl w:ilvl="6">
      <w:start w:val="1"/>
      <w:numFmt w:val="bullet"/>
      <w:lvlText w:val=""/>
      <w:lvlJc w:val="left"/>
      <w:pPr>
        <w:ind w:left="5467" w:hanging="360"/>
      </w:pPr>
      <w:rPr>
        <w:rFonts w:ascii="Symbol" w:hAnsi="Symbol" w:hint="default"/>
      </w:rPr>
    </w:lvl>
    <w:lvl w:ilvl="7">
      <w:start w:val="1"/>
      <w:numFmt w:val="bullet"/>
      <w:lvlText w:val="o"/>
      <w:lvlJc w:val="left"/>
      <w:pPr>
        <w:ind w:left="6187" w:hanging="360"/>
      </w:pPr>
      <w:rPr>
        <w:rFonts w:ascii="Courier New" w:hAnsi="Courier New" w:hint="default"/>
      </w:rPr>
    </w:lvl>
    <w:lvl w:ilvl="8">
      <w:start w:val="1"/>
      <w:numFmt w:val="bullet"/>
      <w:lvlText w:val=""/>
      <w:lvlJc w:val="left"/>
      <w:pPr>
        <w:ind w:left="6907" w:hanging="360"/>
      </w:pPr>
      <w:rPr>
        <w:rFonts w:ascii="Wingdings" w:hAnsi="Wingdings" w:hint="default"/>
      </w:rPr>
    </w:lvl>
  </w:abstractNum>
  <w:abstractNum w:abstractNumId="8">
    <w:nsid w:val="10EC5F17"/>
    <w:multiLevelType w:val="hybridMultilevel"/>
    <w:tmpl w:val="A5DEAEC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2F4008"/>
    <w:multiLevelType w:val="hybridMultilevel"/>
    <w:tmpl w:val="740C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443401"/>
    <w:multiLevelType w:val="multilevel"/>
    <w:tmpl w:val="88E659F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BD7507B"/>
    <w:multiLevelType w:val="hybridMultilevel"/>
    <w:tmpl w:val="8228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AE6DA1"/>
    <w:multiLevelType w:val="hybridMultilevel"/>
    <w:tmpl w:val="EECA855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3">
    <w:nsid w:val="21741BC0"/>
    <w:multiLevelType w:val="hybridMultilevel"/>
    <w:tmpl w:val="77FC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165C8F"/>
    <w:multiLevelType w:val="hybridMultilevel"/>
    <w:tmpl w:val="2E80564E"/>
    <w:lvl w:ilvl="0" w:tplc="9CC6BD8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6E60BC5"/>
    <w:multiLevelType w:val="hybridMultilevel"/>
    <w:tmpl w:val="871C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925536"/>
    <w:multiLevelType w:val="multilevel"/>
    <w:tmpl w:val="63C4F028"/>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C0D22BA"/>
    <w:multiLevelType w:val="hybridMultilevel"/>
    <w:tmpl w:val="CC4E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DE556B9"/>
    <w:multiLevelType w:val="hybridMultilevel"/>
    <w:tmpl w:val="8164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7A325A"/>
    <w:multiLevelType w:val="hybridMultilevel"/>
    <w:tmpl w:val="58922EAC"/>
    <w:lvl w:ilvl="0" w:tplc="9B48CA5E">
      <w:start w:val="1"/>
      <w:numFmt w:val="bullet"/>
      <w:lvlText w:val="•"/>
      <w:lvlJc w:val="left"/>
      <w:pPr>
        <w:tabs>
          <w:tab w:val="num" w:pos="720"/>
        </w:tabs>
        <w:ind w:left="720" w:hanging="360"/>
      </w:pPr>
      <w:rPr>
        <w:rFonts w:ascii="Arial" w:hAnsi="Arial" w:hint="default"/>
      </w:rPr>
    </w:lvl>
    <w:lvl w:ilvl="1" w:tplc="1938CA16" w:tentative="1">
      <w:start w:val="1"/>
      <w:numFmt w:val="bullet"/>
      <w:lvlText w:val="•"/>
      <w:lvlJc w:val="left"/>
      <w:pPr>
        <w:tabs>
          <w:tab w:val="num" w:pos="1440"/>
        </w:tabs>
        <w:ind w:left="1440" w:hanging="360"/>
      </w:pPr>
      <w:rPr>
        <w:rFonts w:ascii="Arial" w:hAnsi="Arial" w:hint="default"/>
      </w:rPr>
    </w:lvl>
    <w:lvl w:ilvl="2" w:tplc="3F0C35D6" w:tentative="1">
      <w:start w:val="1"/>
      <w:numFmt w:val="bullet"/>
      <w:lvlText w:val="•"/>
      <w:lvlJc w:val="left"/>
      <w:pPr>
        <w:tabs>
          <w:tab w:val="num" w:pos="2160"/>
        </w:tabs>
        <w:ind w:left="2160" w:hanging="360"/>
      </w:pPr>
      <w:rPr>
        <w:rFonts w:ascii="Arial" w:hAnsi="Arial" w:hint="default"/>
      </w:rPr>
    </w:lvl>
    <w:lvl w:ilvl="3" w:tplc="D6E00754" w:tentative="1">
      <w:start w:val="1"/>
      <w:numFmt w:val="bullet"/>
      <w:lvlText w:val="•"/>
      <w:lvlJc w:val="left"/>
      <w:pPr>
        <w:tabs>
          <w:tab w:val="num" w:pos="2880"/>
        </w:tabs>
        <w:ind w:left="2880" w:hanging="360"/>
      </w:pPr>
      <w:rPr>
        <w:rFonts w:ascii="Arial" w:hAnsi="Arial" w:hint="default"/>
      </w:rPr>
    </w:lvl>
    <w:lvl w:ilvl="4" w:tplc="7A2EA1F4" w:tentative="1">
      <w:start w:val="1"/>
      <w:numFmt w:val="bullet"/>
      <w:lvlText w:val="•"/>
      <w:lvlJc w:val="left"/>
      <w:pPr>
        <w:tabs>
          <w:tab w:val="num" w:pos="3600"/>
        </w:tabs>
        <w:ind w:left="3600" w:hanging="360"/>
      </w:pPr>
      <w:rPr>
        <w:rFonts w:ascii="Arial" w:hAnsi="Arial" w:hint="default"/>
      </w:rPr>
    </w:lvl>
    <w:lvl w:ilvl="5" w:tplc="9934105E" w:tentative="1">
      <w:start w:val="1"/>
      <w:numFmt w:val="bullet"/>
      <w:lvlText w:val="•"/>
      <w:lvlJc w:val="left"/>
      <w:pPr>
        <w:tabs>
          <w:tab w:val="num" w:pos="4320"/>
        </w:tabs>
        <w:ind w:left="4320" w:hanging="360"/>
      </w:pPr>
      <w:rPr>
        <w:rFonts w:ascii="Arial" w:hAnsi="Arial" w:hint="default"/>
      </w:rPr>
    </w:lvl>
    <w:lvl w:ilvl="6" w:tplc="3E8E3B58" w:tentative="1">
      <w:start w:val="1"/>
      <w:numFmt w:val="bullet"/>
      <w:lvlText w:val="•"/>
      <w:lvlJc w:val="left"/>
      <w:pPr>
        <w:tabs>
          <w:tab w:val="num" w:pos="5040"/>
        </w:tabs>
        <w:ind w:left="5040" w:hanging="360"/>
      </w:pPr>
      <w:rPr>
        <w:rFonts w:ascii="Arial" w:hAnsi="Arial" w:hint="default"/>
      </w:rPr>
    </w:lvl>
    <w:lvl w:ilvl="7" w:tplc="FC9A3E38" w:tentative="1">
      <w:start w:val="1"/>
      <w:numFmt w:val="bullet"/>
      <w:lvlText w:val="•"/>
      <w:lvlJc w:val="left"/>
      <w:pPr>
        <w:tabs>
          <w:tab w:val="num" w:pos="5760"/>
        </w:tabs>
        <w:ind w:left="5760" w:hanging="360"/>
      </w:pPr>
      <w:rPr>
        <w:rFonts w:ascii="Arial" w:hAnsi="Arial" w:hint="default"/>
      </w:rPr>
    </w:lvl>
    <w:lvl w:ilvl="8" w:tplc="4582FA84" w:tentative="1">
      <w:start w:val="1"/>
      <w:numFmt w:val="bullet"/>
      <w:lvlText w:val="•"/>
      <w:lvlJc w:val="left"/>
      <w:pPr>
        <w:tabs>
          <w:tab w:val="num" w:pos="6480"/>
        </w:tabs>
        <w:ind w:left="6480" w:hanging="360"/>
      </w:pPr>
      <w:rPr>
        <w:rFonts w:ascii="Arial" w:hAnsi="Arial" w:hint="default"/>
      </w:rPr>
    </w:lvl>
  </w:abstractNum>
  <w:abstractNum w:abstractNumId="20">
    <w:nsid w:val="3A3004CA"/>
    <w:multiLevelType w:val="hybridMultilevel"/>
    <w:tmpl w:val="A2E6D09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BB417D1"/>
    <w:multiLevelType w:val="multilevel"/>
    <w:tmpl w:val="CD76A5E4"/>
    <w:lvl w:ilvl="0">
      <w:start w:val="1"/>
      <w:numFmt w:val="bullet"/>
      <w:lvlText w:val=""/>
      <w:lvlJc w:val="left"/>
      <w:pPr>
        <w:ind w:left="360" w:hanging="360"/>
      </w:pPr>
      <w:rPr>
        <w:rFonts w:ascii="Symbol" w:hAnsi="Symbol"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3CE26ED1"/>
    <w:multiLevelType w:val="hybridMultilevel"/>
    <w:tmpl w:val="412ED48E"/>
    <w:lvl w:ilvl="0" w:tplc="04090003">
      <w:start w:val="1"/>
      <w:numFmt w:val="bullet"/>
      <w:lvlText w:val="o"/>
      <w:lvlJc w:val="left"/>
      <w:pPr>
        <w:ind w:left="1147" w:hanging="360"/>
      </w:pPr>
      <w:rPr>
        <w:rFonts w:ascii="Courier New" w:hAnsi="Courier New" w:hint="default"/>
      </w:rPr>
    </w:lvl>
    <w:lvl w:ilvl="1" w:tplc="04090003" w:tentative="1">
      <w:start w:val="1"/>
      <w:numFmt w:val="bullet"/>
      <w:lvlText w:val="o"/>
      <w:lvlJc w:val="left"/>
      <w:pPr>
        <w:ind w:left="1867" w:hanging="360"/>
      </w:pPr>
      <w:rPr>
        <w:rFonts w:ascii="Courier New" w:hAnsi="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3">
    <w:nsid w:val="3F891DD3"/>
    <w:multiLevelType w:val="hybridMultilevel"/>
    <w:tmpl w:val="976C80E0"/>
    <w:lvl w:ilvl="0" w:tplc="9566EFC0">
      <w:start w:val="1"/>
      <w:numFmt w:val="bullet"/>
      <w:lvlText w:val="•"/>
      <w:lvlJc w:val="left"/>
      <w:pPr>
        <w:tabs>
          <w:tab w:val="num" w:pos="720"/>
        </w:tabs>
        <w:ind w:left="720" w:hanging="360"/>
      </w:pPr>
      <w:rPr>
        <w:rFonts w:ascii="Arial" w:hAnsi="Arial" w:hint="default"/>
      </w:rPr>
    </w:lvl>
    <w:lvl w:ilvl="1" w:tplc="418ACB76" w:tentative="1">
      <w:start w:val="1"/>
      <w:numFmt w:val="bullet"/>
      <w:lvlText w:val="•"/>
      <w:lvlJc w:val="left"/>
      <w:pPr>
        <w:tabs>
          <w:tab w:val="num" w:pos="1440"/>
        </w:tabs>
        <w:ind w:left="1440" w:hanging="360"/>
      </w:pPr>
      <w:rPr>
        <w:rFonts w:ascii="Arial" w:hAnsi="Arial" w:hint="default"/>
      </w:rPr>
    </w:lvl>
    <w:lvl w:ilvl="2" w:tplc="E3CCB1EE" w:tentative="1">
      <w:start w:val="1"/>
      <w:numFmt w:val="bullet"/>
      <w:lvlText w:val="•"/>
      <w:lvlJc w:val="left"/>
      <w:pPr>
        <w:tabs>
          <w:tab w:val="num" w:pos="2160"/>
        </w:tabs>
        <w:ind w:left="2160" w:hanging="360"/>
      </w:pPr>
      <w:rPr>
        <w:rFonts w:ascii="Arial" w:hAnsi="Arial" w:hint="default"/>
      </w:rPr>
    </w:lvl>
    <w:lvl w:ilvl="3" w:tplc="8F68F080" w:tentative="1">
      <w:start w:val="1"/>
      <w:numFmt w:val="bullet"/>
      <w:lvlText w:val="•"/>
      <w:lvlJc w:val="left"/>
      <w:pPr>
        <w:tabs>
          <w:tab w:val="num" w:pos="2880"/>
        </w:tabs>
        <w:ind w:left="2880" w:hanging="360"/>
      </w:pPr>
      <w:rPr>
        <w:rFonts w:ascii="Arial" w:hAnsi="Arial" w:hint="default"/>
      </w:rPr>
    </w:lvl>
    <w:lvl w:ilvl="4" w:tplc="FE9074C0" w:tentative="1">
      <w:start w:val="1"/>
      <w:numFmt w:val="bullet"/>
      <w:lvlText w:val="•"/>
      <w:lvlJc w:val="left"/>
      <w:pPr>
        <w:tabs>
          <w:tab w:val="num" w:pos="3600"/>
        </w:tabs>
        <w:ind w:left="3600" w:hanging="360"/>
      </w:pPr>
      <w:rPr>
        <w:rFonts w:ascii="Arial" w:hAnsi="Arial" w:hint="default"/>
      </w:rPr>
    </w:lvl>
    <w:lvl w:ilvl="5" w:tplc="54221D92" w:tentative="1">
      <w:start w:val="1"/>
      <w:numFmt w:val="bullet"/>
      <w:lvlText w:val="•"/>
      <w:lvlJc w:val="left"/>
      <w:pPr>
        <w:tabs>
          <w:tab w:val="num" w:pos="4320"/>
        </w:tabs>
        <w:ind w:left="4320" w:hanging="360"/>
      </w:pPr>
      <w:rPr>
        <w:rFonts w:ascii="Arial" w:hAnsi="Arial" w:hint="default"/>
      </w:rPr>
    </w:lvl>
    <w:lvl w:ilvl="6" w:tplc="CB48FE58" w:tentative="1">
      <w:start w:val="1"/>
      <w:numFmt w:val="bullet"/>
      <w:lvlText w:val="•"/>
      <w:lvlJc w:val="left"/>
      <w:pPr>
        <w:tabs>
          <w:tab w:val="num" w:pos="5040"/>
        </w:tabs>
        <w:ind w:left="5040" w:hanging="360"/>
      </w:pPr>
      <w:rPr>
        <w:rFonts w:ascii="Arial" w:hAnsi="Arial" w:hint="default"/>
      </w:rPr>
    </w:lvl>
    <w:lvl w:ilvl="7" w:tplc="F89656DA" w:tentative="1">
      <w:start w:val="1"/>
      <w:numFmt w:val="bullet"/>
      <w:lvlText w:val="•"/>
      <w:lvlJc w:val="left"/>
      <w:pPr>
        <w:tabs>
          <w:tab w:val="num" w:pos="5760"/>
        </w:tabs>
        <w:ind w:left="5760" w:hanging="360"/>
      </w:pPr>
      <w:rPr>
        <w:rFonts w:ascii="Arial" w:hAnsi="Arial" w:hint="default"/>
      </w:rPr>
    </w:lvl>
    <w:lvl w:ilvl="8" w:tplc="46CA3C08" w:tentative="1">
      <w:start w:val="1"/>
      <w:numFmt w:val="bullet"/>
      <w:lvlText w:val="•"/>
      <w:lvlJc w:val="left"/>
      <w:pPr>
        <w:tabs>
          <w:tab w:val="num" w:pos="6480"/>
        </w:tabs>
        <w:ind w:left="6480" w:hanging="360"/>
      </w:pPr>
      <w:rPr>
        <w:rFonts w:ascii="Arial" w:hAnsi="Arial" w:hint="default"/>
      </w:rPr>
    </w:lvl>
  </w:abstractNum>
  <w:abstractNum w:abstractNumId="24">
    <w:nsid w:val="41651378"/>
    <w:multiLevelType w:val="hybridMultilevel"/>
    <w:tmpl w:val="23F6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E24A37"/>
    <w:multiLevelType w:val="hybridMultilevel"/>
    <w:tmpl w:val="B1D60DDE"/>
    <w:lvl w:ilvl="0" w:tplc="9B48CA5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5CD1894"/>
    <w:multiLevelType w:val="hybridMultilevel"/>
    <w:tmpl w:val="4E42BEBE"/>
    <w:lvl w:ilvl="0" w:tplc="9B48CA5E">
      <w:start w:val="1"/>
      <w:numFmt w:val="bullet"/>
      <w:lvlText w:val="•"/>
      <w:lvlJc w:val="left"/>
      <w:pPr>
        <w:tabs>
          <w:tab w:val="num" w:pos="1004"/>
        </w:tabs>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4A8169DB"/>
    <w:multiLevelType w:val="hybridMultilevel"/>
    <w:tmpl w:val="7D5C956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nsid w:val="50811EE4"/>
    <w:multiLevelType w:val="hybridMultilevel"/>
    <w:tmpl w:val="98F0CF0C"/>
    <w:lvl w:ilvl="0" w:tplc="08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1B19F4"/>
    <w:multiLevelType w:val="hybridMultilevel"/>
    <w:tmpl w:val="9F5A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4E5BAC"/>
    <w:multiLevelType w:val="hybridMultilevel"/>
    <w:tmpl w:val="3648EE40"/>
    <w:lvl w:ilvl="0" w:tplc="04090013">
      <w:start w:val="1"/>
      <w:numFmt w:val="upperRoman"/>
      <w:lvlText w:val="%1."/>
      <w:lvlJc w:val="righ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B4B11"/>
    <w:multiLevelType w:val="multilevel"/>
    <w:tmpl w:val="04D6C002"/>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FC9344A"/>
    <w:multiLevelType w:val="hybridMultilevel"/>
    <w:tmpl w:val="65A6F326"/>
    <w:lvl w:ilvl="0" w:tplc="C200EFDA">
      <w:start w:val="1"/>
      <w:numFmt w:val="bullet"/>
      <w:lvlText w:val="•"/>
      <w:lvlJc w:val="left"/>
      <w:pPr>
        <w:tabs>
          <w:tab w:val="num" w:pos="720"/>
        </w:tabs>
        <w:ind w:left="720" w:hanging="360"/>
      </w:pPr>
      <w:rPr>
        <w:rFonts w:ascii="Arial" w:hAnsi="Arial" w:hint="default"/>
      </w:rPr>
    </w:lvl>
    <w:lvl w:ilvl="1" w:tplc="320C5F44" w:tentative="1">
      <w:start w:val="1"/>
      <w:numFmt w:val="bullet"/>
      <w:lvlText w:val="•"/>
      <w:lvlJc w:val="left"/>
      <w:pPr>
        <w:tabs>
          <w:tab w:val="num" w:pos="1440"/>
        </w:tabs>
        <w:ind w:left="1440" w:hanging="360"/>
      </w:pPr>
      <w:rPr>
        <w:rFonts w:ascii="Arial" w:hAnsi="Arial" w:hint="default"/>
      </w:rPr>
    </w:lvl>
    <w:lvl w:ilvl="2" w:tplc="0E3EA1CA" w:tentative="1">
      <w:start w:val="1"/>
      <w:numFmt w:val="bullet"/>
      <w:lvlText w:val="•"/>
      <w:lvlJc w:val="left"/>
      <w:pPr>
        <w:tabs>
          <w:tab w:val="num" w:pos="2160"/>
        </w:tabs>
        <w:ind w:left="2160" w:hanging="360"/>
      </w:pPr>
      <w:rPr>
        <w:rFonts w:ascii="Arial" w:hAnsi="Arial" w:hint="default"/>
      </w:rPr>
    </w:lvl>
    <w:lvl w:ilvl="3" w:tplc="674C4B80" w:tentative="1">
      <w:start w:val="1"/>
      <w:numFmt w:val="bullet"/>
      <w:lvlText w:val="•"/>
      <w:lvlJc w:val="left"/>
      <w:pPr>
        <w:tabs>
          <w:tab w:val="num" w:pos="2880"/>
        </w:tabs>
        <w:ind w:left="2880" w:hanging="360"/>
      </w:pPr>
      <w:rPr>
        <w:rFonts w:ascii="Arial" w:hAnsi="Arial" w:hint="default"/>
      </w:rPr>
    </w:lvl>
    <w:lvl w:ilvl="4" w:tplc="C094A79C" w:tentative="1">
      <w:start w:val="1"/>
      <w:numFmt w:val="bullet"/>
      <w:lvlText w:val="•"/>
      <w:lvlJc w:val="left"/>
      <w:pPr>
        <w:tabs>
          <w:tab w:val="num" w:pos="3600"/>
        </w:tabs>
        <w:ind w:left="3600" w:hanging="360"/>
      </w:pPr>
      <w:rPr>
        <w:rFonts w:ascii="Arial" w:hAnsi="Arial" w:hint="default"/>
      </w:rPr>
    </w:lvl>
    <w:lvl w:ilvl="5" w:tplc="B942AC5A" w:tentative="1">
      <w:start w:val="1"/>
      <w:numFmt w:val="bullet"/>
      <w:lvlText w:val="•"/>
      <w:lvlJc w:val="left"/>
      <w:pPr>
        <w:tabs>
          <w:tab w:val="num" w:pos="4320"/>
        </w:tabs>
        <w:ind w:left="4320" w:hanging="360"/>
      </w:pPr>
      <w:rPr>
        <w:rFonts w:ascii="Arial" w:hAnsi="Arial" w:hint="default"/>
      </w:rPr>
    </w:lvl>
    <w:lvl w:ilvl="6" w:tplc="A330DEB4" w:tentative="1">
      <w:start w:val="1"/>
      <w:numFmt w:val="bullet"/>
      <w:lvlText w:val="•"/>
      <w:lvlJc w:val="left"/>
      <w:pPr>
        <w:tabs>
          <w:tab w:val="num" w:pos="5040"/>
        </w:tabs>
        <w:ind w:left="5040" w:hanging="360"/>
      </w:pPr>
      <w:rPr>
        <w:rFonts w:ascii="Arial" w:hAnsi="Arial" w:hint="default"/>
      </w:rPr>
    </w:lvl>
    <w:lvl w:ilvl="7" w:tplc="4222874E" w:tentative="1">
      <w:start w:val="1"/>
      <w:numFmt w:val="bullet"/>
      <w:lvlText w:val="•"/>
      <w:lvlJc w:val="left"/>
      <w:pPr>
        <w:tabs>
          <w:tab w:val="num" w:pos="5760"/>
        </w:tabs>
        <w:ind w:left="5760" w:hanging="360"/>
      </w:pPr>
      <w:rPr>
        <w:rFonts w:ascii="Arial" w:hAnsi="Arial" w:hint="default"/>
      </w:rPr>
    </w:lvl>
    <w:lvl w:ilvl="8" w:tplc="5B8A20C8" w:tentative="1">
      <w:start w:val="1"/>
      <w:numFmt w:val="bullet"/>
      <w:lvlText w:val="•"/>
      <w:lvlJc w:val="left"/>
      <w:pPr>
        <w:tabs>
          <w:tab w:val="num" w:pos="6480"/>
        </w:tabs>
        <w:ind w:left="6480" w:hanging="360"/>
      </w:pPr>
      <w:rPr>
        <w:rFonts w:ascii="Arial" w:hAnsi="Arial" w:hint="default"/>
      </w:rPr>
    </w:lvl>
  </w:abstractNum>
  <w:abstractNum w:abstractNumId="33">
    <w:nsid w:val="76A266B2"/>
    <w:multiLevelType w:val="hybridMultilevel"/>
    <w:tmpl w:val="307A026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1"/>
  </w:num>
  <w:num w:numId="2">
    <w:abstractNumId w:val="3"/>
  </w:num>
  <w:num w:numId="3">
    <w:abstractNumId w:val="6"/>
  </w:num>
  <w:num w:numId="4">
    <w:abstractNumId w:val="14"/>
  </w:num>
  <w:num w:numId="5">
    <w:abstractNumId w:val="23"/>
  </w:num>
  <w:num w:numId="6">
    <w:abstractNumId w:val="13"/>
  </w:num>
  <w:num w:numId="7">
    <w:abstractNumId w:val="10"/>
  </w:num>
  <w:num w:numId="8">
    <w:abstractNumId w:val="20"/>
  </w:num>
  <w:num w:numId="9">
    <w:abstractNumId w:val="11"/>
  </w:num>
  <w:num w:numId="10">
    <w:abstractNumId w:val="4"/>
  </w:num>
  <w:num w:numId="11">
    <w:abstractNumId w:val="16"/>
  </w:num>
  <w:num w:numId="12">
    <w:abstractNumId w:val="22"/>
  </w:num>
  <w:num w:numId="13">
    <w:abstractNumId w:val="7"/>
  </w:num>
  <w:num w:numId="14">
    <w:abstractNumId w:val="29"/>
  </w:num>
  <w:num w:numId="15">
    <w:abstractNumId w:val="0"/>
  </w:num>
  <w:num w:numId="16">
    <w:abstractNumId w:val="24"/>
  </w:num>
  <w:num w:numId="17">
    <w:abstractNumId w:val="15"/>
  </w:num>
  <w:num w:numId="18">
    <w:abstractNumId w:val="19"/>
  </w:num>
  <w:num w:numId="19">
    <w:abstractNumId w:val="2"/>
  </w:num>
  <w:num w:numId="20">
    <w:abstractNumId w:val="32"/>
  </w:num>
  <w:num w:numId="21">
    <w:abstractNumId w:val="26"/>
  </w:num>
  <w:num w:numId="22">
    <w:abstractNumId w:val="1"/>
  </w:num>
  <w:num w:numId="23">
    <w:abstractNumId w:val="25"/>
  </w:num>
  <w:num w:numId="24">
    <w:abstractNumId w:val="30"/>
  </w:num>
  <w:num w:numId="25">
    <w:abstractNumId w:val="8"/>
  </w:num>
  <w:num w:numId="26">
    <w:abstractNumId w:val="12"/>
  </w:num>
  <w:num w:numId="27">
    <w:abstractNumId w:val="27"/>
  </w:num>
  <w:num w:numId="28">
    <w:abstractNumId w:val="18"/>
  </w:num>
  <w:num w:numId="29">
    <w:abstractNumId w:val="9"/>
  </w:num>
  <w:num w:numId="30">
    <w:abstractNumId w:val="33"/>
  </w:num>
  <w:num w:numId="31">
    <w:abstractNumId w:val="28"/>
  </w:num>
  <w:num w:numId="32">
    <w:abstractNumId w:val="5"/>
  </w:num>
  <w:num w:numId="33">
    <w:abstractNumId w:val="17"/>
  </w:num>
  <w:num w:numId="34">
    <w:abstractNumId w:val="2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DateAndTime/>
  <w:removePersonalInformation/>
  <w:stylePaneFormatFilter w:val="3F01"/>
  <w:defaultTabStop w:val="720"/>
  <w:drawingGridHorizontalSpacing w:val="120"/>
  <w:displayHorizontalDrawingGridEvery w:val="2"/>
  <w:displayVerticalDrawingGridEvery w:val="2"/>
  <w:doNotShadeFormData/>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3D01"/>
    <w:rsid w:val="000012BB"/>
    <w:rsid w:val="00001BF5"/>
    <w:rsid w:val="00004DDB"/>
    <w:rsid w:val="00006315"/>
    <w:rsid w:val="00015B32"/>
    <w:rsid w:val="000160FD"/>
    <w:rsid w:val="0001644D"/>
    <w:rsid w:val="00017DBE"/>
    <w:rsid w:val="00020936"/>
    <w:rsid w:val="00022A36"/>
    <w:rsid w:val="00022CBB"/>
    <w:rsid w:val="00025F43"/>
    <w:rsid w:val="00026B51"/>
    <w:rsid w:val="00032A47"/>
    <w:rsid w:val="0003530F"/>
    <w:rsid w:val="00036951"/>
    <w:rsid w:val="00040896"/>
    <w:rsid w:val="000504E6"/>
    <w:rsid w:val="00050947"/>
    <w:rsid w:val="000537F6"/>
    <w:rsid w:val="0005426A"/>
    <w:rsid w:val="0006359B"/>
    <w:rsid w:val="000663DE"/>
    <w:rsid w:val="00066929"/>
    <w:rsid w:val="00070311"/>
    <w:rsid w:val="00071F45"/>
    <w:rsid w:val="00076648"/>
    <w:rsid w:val="00082A07"/>
    <w:rsid w:val="0009310B"/>
    <w:rsid w:val="000931F6"/>
    <w:rsid w:val="000966E3"/>
    <w:rsid w:val="000A0803"/>
    <w:rsid w:val="000A183A"/>
    <w:rsid w:val="000A51A8"/>
    <w:rsid w:val="000A6D60"/>
    <w:rsid w:val="000B55DC"/>
    <w:rsid w:val="000C0B4D"/>
    <w:rsid w:val="000C21B5"/>
    <w:rsid w:val="000C5E2F"/>
    <w:rsid w:val="000C7F39"/>
    <w:rsid w:val="000D6C85"/>
    <w:rsid w:val="000E032F"/>
    <w:rsid w:val="000E0876"/>
    <w:rsid w:val="000E1866"/>
    <w:rsid w:val="000E1BD7"/>
    <w:rsid w:val="000E319C"/>
    <w:rsid w:val="000F05D0"/>
    <w:rsid w:val="000F1AE7"/>
    <w:rsid w:val="000F5A58"/>
    <w:rsid w:val="000F5D64"/>
    <w:rsid w:val="000F7B81"/>
    <w:rsid w:val="00103116"/>
    <w:rsid w:val="0010355D"/>
    <w:rsid w:val="00104061"/>
    <w:rsid w:val="00104259"/>
    <w:rsid w:val="00104997"/>
    <w:rsid w:val="0011381A"/>
    <w:rsid w:val="00113CA3"/>
    <w:rsid w:val="00124D84"/>
    <w:rsid w:val="00127CFC"/>
    <w:rsid w:val="00133377"/>
    <w:rsid w:val="00133A4B"/>
    <w:rsid w:val="0013733F"/>
    <w:rsid w:val="00140AD2"/>
    <w:rsid w:val="00143A48"/>
    <w:rsid w:val="00145B0C"/>
    <w:rsid w:val="00146121"/>
    <w:rsid w:val="00150FE9"/>
    <w:rsid w:val="00152D1D"/>
    <w:rsid w:val="0015320B"/>
    <w:rsid w:val="00155B27"/>
    <w:rsid w:val="0015604B"/>
    <w:rsid w:val="001602E0"/>
    <w:rsid w:val="001621BC"/>
    <w:rsid w:val="00162226"/>
    <w:rsid w:val="00162F98"/>
    <w:rsid w:val="001634D5"/>
    <w:rsid w:val="00164AC6"/>
    <w:rsid w:val="00165705"/>
    <w:rsid w:val="0016625A"/>
    <w:rsid w:val="001668C1"/>
    <w:rsid w:val="00167100"/>
    <w:rsid w:val="001808D5"/>
    <w:rsid w:val="00181B82"/>
    <w:rsid w:val="00182855"/>
    <w:rsid w:val="001904A8"/>
    <w:rsid w:val="001910FF"/>
    <w:rsid w:val="001944EB"/>
    <w:rsid w:val="00194DF7"/>
    <w:rsid w:val="001A4F86"/>
    <w:rsid w:val="001A5D5D"/>
    <w:rsid w:val="001B0335"/>
    <w:rsid w:val="001B187C"/>
    <w:rsid w:val="001B7659"/>
    <w:rsid w:val="001C1465"/>
    <w:rsid w:val="001D2B21"/>
    <w:rsid w:val="001D654E"/>
    <w:rsid w:val="001D78CE"/>
    <w:rsid w:val="001E0204"/>
    <w:rsid w:val="001E2AEB"/>
    <w:rsid w:val="001E3D9B"/>
    <w:rsid w:val="001E6997"/>
    <w:rsid w:val="001F01F1"/>
    <w:rsid w:val="001F46CC"/>
    <w:rsid w:val="001F66D6"/>
    <w:rsid w:val="001F6868"/>
    <w:rsid w:val="001F730B"/>
    <w:rsid w:val="001F7E8F"/>
    <w:rsid w:val="002001BC"/>
    <w:rsid w:val="0020069C"/>
    <w:rsid w:val="0020237C"/>
    <w:rsid w:val="002149CF"/>
    <w:rsid w:val="0021506D"/>
    <w:rsid w:val="00220976"/>
    <w:rsid w:val="00221667"/>
    <w:rsid w:val="00224468"/>
    <w:rsid w:val="0022477B"/>
    <w:rsid w:val="002259DD"/>
    <w:rsid w:val="0023370D"/>
    <w:rsid w:val="00236E4C"/>
    <w:rsid w:val="00237750"/>
    <w:rsid w:val="00237872"/>
    <w:rsid w:val="00237FF2"/>
    <w:rsid w:val="00240E74"/>
    <w:rsid w:val="002410D6"/>
    <w:rsid w:val="002428B6"/>
    <w:rsid w:val="00244FE3"/>
    <w:rsid w:val="00245322"/>
    <w:rsid w:val="00246824"/>
    <w:rsid w:val="00250B60"/>
    <w:rsid w:val="00252239"/>
    <w:rsid w:val="00253283"/>
    <w:rsid w:val="00254ABB"/>
    <w:rsid w:val="00254B3C"/>
    <w:rsid w:val="00255540"/>
    <w:rsid w:val="00256C02"/>
    <w:rsid w:val="00261FF4"/>
    <w:rsid w:val="00262DCB"/>
    <w:rsid w:val="00267112"/>
    <w:rsid w:val="00270733"/>
    <w:rsid w:val="00272D0D"/>
    <w:rsid w:val="002806BB"/>
    <w:rsid w:val="00285D4A"/>
    <w:rsid w:val="00287132"/>
    <w:rsid w:val="00287BD6"/>
    <w:rsid w:val="00293C9A"/>
    <w:rsid w:val="00295B52"/>
    <w:rsid w:val="002965D2"/>
    <w:rsid w:val="00297433"/>
    <w:rsid w:val="002A1789"/>
    <w:rsid w:val="002A36C3"/>
    <w:rsid w:val="002B06A7"/>
    <w:rsid w:val="002B1B64"/>
    <w:rsid w:val="002B1B68"/>
    <w:rsid w:val="002B2AB8"/>
    <w:rsid w:val="002B3D01"/>
    <w:rsid w:val="002B4D13"/>
    <w:rsid w:val="002D67ED"/>
    <w:rsid w:val="002E17FB"/>
    <w:rsid w:val="002E4421"/>
    <w:rsid w:val="002E543D"/>
    <w:rsid w:val="002F0383"/>
    <w:rsid w:val="002F4B26"/>
    <w:rsid w:val="002F6E7E"/>
    <w:rsid w:val="00307FD1"/>
    <w:rsid w:val="00310328"/>
    <w:rsid w:val="00312707"/>
    <w:rsid w:val="0031278B"/>
    <w:rsid w:val="00315A7C"/>
    <w:rsid w:val="0031773B"/>
    <w:rsid w:val="00320691"/>
    <w:rsid w:val="00327002"/>
    <w:rsid w:val="003301DC"/>
    <w:rsid w:val="00330A0B"/>
    <w:rsid w:val="003315EA"/>
    <w:rsid w:val="00334C6E"/>
    <w:rsid w:val="00343D21"/>
    <w:rsid w:val="003457F8"/>
    <w:rsid w:val="003469B8"/>
    <w:rsid w:val="00353475"/>
    <w:rsid w:val="00354399"/>
    <w:rsid w:val="00360032"/>
    <w:rsid w:val="003616EB"/>
    <w:rsid w:val="00362D9E"/>
    <w:rsid w:val="003645D7"/>
    <w:rsid w:val="0036773C"/>
    <w:rsid w:val="00376B76"/>
    <w:rsid w:val="003802C6"/>
    <w:rsid w:val="0038646B"/>
    <w:rsid w:val="0039040B"/>
    <w:rsid w:val="00390A29"/>
    <w:rsid w:val="00395406"/>
    <w:rsid w:val="00395558"/>
    <w:rsid w:val="003A09F2"/>
    <w:rsid w:val="003A50FD"/>
    <w:rsid w:val="003A77BB"/>
    <w:rsid w:val="003B15BD"/>
    <w:rsid w:val="003B4532"/>
    <w:rsid w:val="003B57C7"/>
    <w:rsid w:val="003B60D8"/>
    <w:rsid w:val="003B7C82"/>
    <w:rsid w:val="003C090A"/>
    <w:rsid w:val="003C1703"/>
    <w:rsid w:val="003C2C4C"/>
    <w:rsid w:val="003C320D"/>
    <w:rsid w:val="003C4630"/>
    <w:rsid w:val="003C4BEB"/>
    <w:rsid w:val="003C524B"/>
    <w:rsid w:val="003C6438"/>
    <w:rsid w:val="003C723A"/>
    <w:rsid w:val="003D5062"/>
    <w:rsid w:val="003E053E"/>
    <w:rsid w:val="003E08C5"/>
    <w:rsid w:val="003E0ED6"/>
    <w:rsid w:val="003E15C2"/>
    <w:rsid w:val="003E43AF"/>
    <w:rsid w:val="003E7E85"/>
    <w:rsid w:val="003F1F0B"/>
    <w:rsid w:val="003F5AED"/>
    <w:rsid w:val="0040116C"/>
    <w:rsid w:val="00401547"/>
    <w:rsid w:val="00402B7A"/>
    <w:rsid w:val="00403B10"/>
    <w:rsid w:val="00403CB4"/>
    <w:rsid w:val="0040485F"/>
    <w:rsid w:val="00404AA2"/>
    <w:rsid w:val="004065E5"/>
    <w:rsid w:val="00410DBD"/>
    <w:rsid w:val="0041412D"/>
    <w:rsid w:val="00415432"/>
    <w:rsid w:val="00417C8D"/>
    <w:rsid w:val="00417D89"/>
    <w:rsid w:val="004216DA"/>
    <w:rsid w:val="00422AFC"/>
    <w:rsid w:val="0043127E"/>
    <w:rsid w:val="00433544"/>
    <w:rsid w:val="0043492A"/>
    <w:rsid w:val="00435738"/>
    <w:rsid w:val="00442104"/>
    <w:rsid w:val="004443CA"/>
    <w:rsid w:val="004451AA"/>
    <w:rsid w:val="00455C16"/>
    <w:rsid w:val="00455FB8"/>
    <w:rsid w:val="00456214"/>
    <w:rsid w:val="00457C18"/>
    <w:rsid w:val="00460B9F"/>
    <w:rsid w:val="00461417"/>
    <w:rsid w:val="00463EA4"/>
    <w:rsid w:val="0047030E"/>
    <w:rsid w:val="00474458"/>
    <w:rsid w:val="00476A4F"/>
    <w:rsid w:val="00480639"/>
    <w:rsid w:val="00484B8D"/>
    <w:rsid w:val="0048798B"/>
    <w:rsid w:val="0049027B"/>
    <w:rsid w:val="00491C71"/>
    <w:rsid w:val="00492925"/>
    <w:rsid w:val="00495B55"/>
    <w:rsid w:val="00496FAC"/>
    <w:rsid w:val="004A0EB8"/>
    <w:rsid w:val="004A12EE"/>
    <w:rsid w:val="004A2CDA"/>
    <w:rsid w:val="004A630A"/>
    <w:rsid w:val="004A6A22"/>
    <w:rsid w:val="004A79AF"/>
    <w:rsid w:val="004B090E"/>
    <w:rsid w:val="004B1A17"/>
    <w:rsid w:val="004B20E6"/>
    <w:rsid w:val="004B669F"/>
    <w:rsid w:val="004C6AAD"/>
    <w:rsid w:val="004C71BA"/>
    <w:rsid w:val="004C7C87"/>
    <w:rsid w:val="004D118C"/>
    <w:rsid w:val="004D27A7"/>
    <w:rsid w:val="004D45C6"/>
    <w:rsid w:val="004D4A84"/>
    <w:rsid w:val="004D5892"/>
    <w:rsid w:val="004E7099"/>
    <w:rsid w:val="004F1211"/>
    <w:rsid w:val="004F6979"/>
    <w:rsid w:val="00500400"/>
    <w:rsid w:val="00501838"/>
    <w:rsid w:val="00502171"/>
    <w:rsid w:val="00502B06"/>
    <w:rsid w:val="00504BBD"/>
    <w:rsid w:val="00504E18"/>
    <w:rsid w:val="00505EAC"/>
    <w:rsid w:val="0050688D"/>
    <w:rsid w:val="00506959"/>
    <w:rsid w:val="00506E5C"/>
    <w:rsid w:val="0050753E"/>
    <w:rsid w:val="005107CE"/>
    <w:rsid w:val="005108CC"/>
    <w:rsid w:val="0051680E"/>
    <w:rsid w:val="00520209"/>
    <w:rsid w:val="00521737"/>
    <w:rsid w:val="00521EB8"/>
    <w:rsid w:val="005233B8"/>
    <w:rsid w:val="00526D84"/>
    <w:rsid w:val="00527BA1"/>
    <w:rsid w:val="00530E0E"/>
    <w:rsid w:val="00531F4D"/>
    <w:rsid w:val="00533752"/>
    <w:rsid w:val="00534936"/>
    <w:rsid w:val="00534E41"/>
    <w:rsid w:val="00534E73"/>
    <w:rsid w:val="00537B02"/>
    <w:rsid w:val="00542289"/>
    <w:rsid w:val="005426B0"/>
    <w:rsid w:val="0054411C"/>
    <w:rsid w:val="00544332"/>
    <w:rsid w:val="0054750B"/>
    <w:rsid w:val="00554A80"/>
    <w:rsid w:val="0057188B"/>
    <w:rsid w:val="00573B66"/>
    <w:rsid w:val="005807F0"/>
    <w:rsid w:val="0058187C"/>
    <w:rsid w:val="00585488"/>
    <w:rsid w:val="00590049"/>
    <w:rsid w:val="00591580"/>
    <w:rsid w:val="0059343C"/>
    <w:rsid w:val="00597163"/>
    <w:rsid w:val="005A4716"/>
    <w:rsid w:val="005A50CB"/>
    <w:rsid w:val="005B29CA"/>
    <w:rsid w:val="005B7C57"/>
    <w:rsid w:val="005C2CEA"/>
    <w:rsid w:val="005C3C5A"/>
    <w:rsid w:val="005C3F8E"/>
    <w:rsid w:val="005C7052"/>
    <w:rsid w:val="005D12F3"/>
    <w:rsid w:val="005D17A0"/>
    <w:rsid w:val="005E201C"/>
    <w:rsid w:val="005E6421"/>
    <w:rsid w:val="005E723F"/>
    <w:rsid w:val="005F5801"/>
    <w:rsid w:val="0060393E"/>
    <w:rsid w:val="006102D9"/>
    <w:rsid w:val="006135C7"/>
    <w:rsid w:val="0061372E"/>
    <w:rsid w:val="0061591D"/>
    <w:rsid w:val="00617595"/>
    <w:rsid w:val="006209C4"/>
    <w:rsid w:val="00622D8C"/>
    <w:rsid w:val="0062445B"/>
    <w:rsid w:val="006255BE"/>
    <w:rsid w:val="00635B0E"/>
    <w:rsid w:val="00635ECE"/>
    <w:rsid w:val="00636BD0"/>
    <w:rsid w:val="00637C20"/>
    <w:rsid w:val="0064339B"/>
    <w:rsid w:val="00644989"/>
    <w:rsid w:val="006462E9"/>
    <w:rsid w:val="00650641"/>
    <w:rsid w:val="00654B17"/>
    <w:rsid w:val="0066084C"/>
    <w:rsid w:val="006654B2"/>
    <w:rsid w:val="00666A2D"/>
    <w:rsid w:val="00667199"/>
    <w:rsid w:val="00667A81"/>
    <w:rsid w:val="006706B7"/>
    <w:rsid w:val="0067097D"/>
    <w:rsid w:val="0067170F"/>
    <w:rsid w:val="006764FB"/>
    <w:rsid w:val="006824BA"/>
    <w:rsid w:val="00694AB2"/>
    <w:rsid w:val="0069530A"/>
    <w:rsid w:val="0069697C"/>
    <w:rsid w:val="006971EB"/>
    <w:rsid w:val="006A0FE3"/>
    <w:rsid w:val="006A1D57"/>
    <w:rsid w:val="006A3BA9"/>
    <w:rsid w:val="006A71BD"/>
    <w:rsid w:val="006B1830"/>
    <w:rsid w:val="006B347B"/>
    <w:rsid w:val="006B7919"/>
    <w:rsid w:val="006C041E"/>
    <w:rsid w:val="006C0B43"/>
    <w:rsid w:val="006C1938"/>
    <w:rsid w:val="006C6CE6"/>
    <w:rsid w:val="006C712A"/>
    <w:rsid w:val="006C7378"/>
    <w:rsid w:val="006D0FE8"/>
    <w:rsid w:val="006D4004"/>
    <w:rsid w:val="006D66F6"/>
    <w:rsid w:val="006E0D78"/>
    <w:rsid w:val="006E1262"/>
    <w:rsid w:val="006E1965"/>
    <w:rsid w:val="006E1C74"/>
    <w:rsid w:val="006E3253"/>
    <w:rsid w:val="006E46EE"/>
    <w:rsid w:val="006E5C5A"/>
    <w:rsid w:val="006F357C"/>
    <w:rsid w:val="006F7625"/>
    <w:rsid w:val="006F7A0A"/>
    <w:rsid w:val="0070168C"/>
    <w:rsid w:val="00703EF8"/>
    <w:rsid w:val="00704381"/>
    <w:rsid w:val="0070607C"/>
    <w:rsid w:val="00707FCA"/>
    <w:rsid w:val="007217E5"/>
    <w:rsid w:val="00722CEA"/>
    <w:rsid w:val="00723FAF"/>
    <w:rsid w:val="0072549E"/>
    <w:rsid w:val="00730515"/>
    <w:rsid w:val="00731210"/>
    <w:rsid w:val="00731821"/>
    <w:rsid w:val="00731A63"/>
    <w:rsid w:val="00732D87"/>
    <w:rsid w:val="007336DF"/>
    <w:rsid w:val="00734A9B"/>
    <w:rsid w:val="007410D4"/>
    <w:rsid w:val="00742263"/>
    <w:rsid w:val="007452FA"/>
    <w:rsid w:val="007459F1"/>
    <w:rsid w:val="00747A51"/>
    <w:rsid w:val="0075134F"/>
    <w:rsid w:val="0075271A"/>
    <w:rsid w:val="00752942"/>
    <w:rsid w:val="00760383"/>
    <w:rsid w:val="00762A7D"/>
    <w:rsid w:val="007662BF"/>
    <w:rsid w:val="00767299"/>
    <w:rsid w:val="00767F5C"/>
    <w:rsid w:val="0077093F"/>
    <w:rsid w:val="0077110F"/>
    <w:rsid w:val="00783AA7"/>
    <w:rsid w:val="0078574B"/>
    <w:rsid w:val="00791E8C"/>
    <w:rsid w:val="0079617D"/>
    <w:rsid w:val="00797F0E"/>
    <w:rsid w:val="007A07E2"/>
    <w:rsid w:val="007A12F9"/>
    <w:rsid w:val="007A527F"/>
    <w:rsid w:val="007A7200"/>
    <w:rsid w:val="007B00E4"/>
    <w:rsid w:val="007B06BE"/>
    <w:rsid w:val="007B2540"/>
    <w:rsid w:val="007B4757"/>
    <w:rsid w:val="007B5122"/>
    <w:rsid w:val="007B6289"/>
    <w:rsid w:val="007B69D0"/>
    <w:rsid w:val="007C58A8"/>
    <w:rsid w:val="007D3253"/>
    <w:rsid w:val="007D74C8"/>
    <w:rsid w:val="007E472F"/>
    <w:rsid w:val="007E6323"/>
    <w:rsid w:val="007E6D2A"/>
    <w:rsid w:val="007F18D4"/>
    <w:rsid w:val="00806801"/>
    <w:rsid w:val="00810976"/>
    <w:rsid w:val="008121B6"/>
    <w:rsid w:val="00814618"/>
    <w:rsid w:val="00816F86"/>
    <w:rsid w:val="008219AA"/>
    <w:rsid w:val="00823FC6"/>
    <w:rsid w:val="00824FDA"/>
    <w:rsid w:val="0082645E"/>
    <w:rsid w:val="008310FD"/>
    <w:rsid w:val="00832E88"/>
    <w:rsid w:val="008345D6"/>
    <w:rsid w:val="008348F2"/>
    <w:rsid w:val="008361F3"/>
    <w:rsid w:val="0083637B"/>
    <w:rsid w:val="00842C58"/>
    <w:rsid w:val="00843475"/>
    <w:rsid w:val="0084592B"/>
    <w:rsid w:val="00845EFB"/>
    <w:rsid w:val="00847CA2"/>
    <w:rsid w:val="00850163"/>
    <w:rsid w:val="0085053B"/>
    <w:rsid w:val="0085206D"/>
    <w:rsid w:val="00854196"/>
    <w:rsid w:val="00855624"/>
    <w:rsid w:val="00857DC5"/>
    <w:rsid w:val="00861F0B"/>
    <w:rsid w:val="00862C27"/>
    <w:rsid w:val="00864EB8"/>
    <w:rsid w:val="0086635E"/>
    <w:rsid w:val="00871D53"/>
    <w:rsid w:val="00872E03"/>
    <w:rsid w:val="0087653B"/>
    <w:rsid w:val="00876B49"/>
    <w:rsid w:val="00885FC4"/>
    <w:rsid w:val="00893388"/>
    <w:rsid w:val="008942F0"/>
    <w:rsid w:val="00895A4D"/>
    <w:rsid w:val="00896C10"/>
    <w:rsid w:val="008975F9"/>
    <w:rsid w:val="00897DC9"/>
    <w:rsid w:val="008A1824"/>
    <w:rsid w:val="008A3ED1"/>
    <w:rsid w:val="008A5D9B"/>
    <w:rsid w:val="008A6F62"/>
    <w:rsid w:val="008A72A6"/>
    <w:rsid w:val="008C555B"/>
    <w:rsid w:val="008D1277"/>
    <w:rsid w:val="008D4F2B"/>
    <w:rsid w:val="008D7D08"/>
    <w:rsid w:val="008E0D7E"/>
    <w:rsid w:val="008E3C8F"/>
    <w:rsid w:val="008E4C02"/>
    <w:rsid w:val="008E5B4E"/>
    <w:rsid w:val="008F28B5"/>
    <w:rsid w:val="008F66E7"/>
    <w:rsid w:val="0090681A"/>
    <w:rsid w:val="0091098A"/>
    <w:rsid w:val="00910AA2"/>
    <w:rsid w:val="00910CFF"/>
    <w:rsid w:val="00915077"/>
    <w:rsid w:val="0091655F"/>
    <w:rsid w:val="0091702B"/>
    <w:rsid w:val="00917B88"/>
    <w:rsid w:val="0092020E"/>
    <w:rsid w:val="00921C08"/>
    <w:rsid w:val="00921F1B"/>
    <w:rsid w:val="009220F0"/>
    <w:rsid w:val="009222C8"/>
    <w:rsid w:val="00922613"/>
    <w:rsid w:val="00922969"/>
    <w:rsid w:val="009275CD"/>
    <w:rsid w:val="00930585"/>
    <w:rsid w:val="00931CF6"/>
    <w:rsid w:val="00933131"/>
    <w:rsid w:val="0093342A"/>
    <w:rsid w:val="00933EB2"/>
    <w:rsid w:val="009366BA"/>
    <w:rsid w:val="00936CCD"/>
    <w:rsid w:val="00940793"/>
    <w:rsid w:val="00940B21"/>
    <w:rsid w:val="00940E28"/>
    <w:rsid w:val="00942923"/>
    <w:rsid w:val="0095553D"/>
    <w:rsid w:val="00955C04"/>
    <w:rsid w:val="009575A2"/>
    <w:rsid w:val="009603E7"/>
    <w:rsid w:val="0096190A"/>
    <w:rsid w:val="009712DF"/>
    <w:rsid w:val="0097262D"/>
    <w:rsid w:val="009731B6"/>
    <w:rsid w:val="00980213"/>
    <w:rsid w:val="00980F6A"/>
    <w:rsid w:val="00982070"/>
    <w:rsid w:val="009821AF"/>
    <w:rsid w:val="009828E5"/>
    <w:rsid w:val="0099392E"/>
    <w:rsid w:val="00996496"/>
    <w:rsid w:val="009A07CC"/>
    <w:rsid w:val="009A0FA6"/>
    <w:rsid w:val="009A4A9E"/>
    <w:rsid w:val="009A631B"/>
    <w:rsid w:val="009B0314"/>
    <w:rsid w:val="009B4AFB"/>
    <w:rsid w:val="009B4E8B"/>
    <w:rsid w:val="009C0E2C"/>
    <w:rsid w:val="009C265B"/>
    <w:rsid w:val="009C4691"/>
    <w:rsid w:val="009D0D90"/>
    <w:rsid w:val="009D1C32"/>
    <w:rsid w:val="009D1F49"/>
    <w:rsid w:val="009D5212"/>
    <w:rsid w:val="009D65B9"/>
    <w:rsid w:val="009E11F9"/>
    <w:rsid w:val="009E1B5E"/>
    <w:rsid w:val="009E540D"/>
    <w:rsid w:val="009E59C9"/>
    <w:rsid w:val="009F0136"/>
    <w:rsid w:val="009F099C"/>
    <w:rsid w:val="009F126D"/>
    <w:rsid w:val="009F26CF"/>
    <w:rsid w:val="00A03EA4"/>
    <w:rsid w:val="00A10ACE"/>
    <w:rsid w:val="00A12184"/>
    <w:rsid w:val="00A16325"/>
    <w:rsid w:val="00A17446"/>
    <w:rsid w:val="00A2083F"/>
    <w:rsid w:val="00A2088B"/>
    <w:rsid w:val="00A20BCE"/>
    <w:rsid w:val="00A229E2"/>
    <w:rsid w:val="00A22B9E"/>
    <w:rsid w:val="00A26E10"/>
    <w:rsid w:val="00A33F5B"/>
    <w:rsid w:val="00A34041"/>
    <w:rsid w:val="00A35392"/>
    <w:rsid w:val="00A42F59"/>
    <w:rsid w:val="00A432CB"/>
    <w:rsid w:val="00A44F6B"/>
    <w:rsid w:val="00A473AA"/>
    <w:rsid w:val="00A578D8"/>
    <w:rsid w:val="00A619F1"/>
    <w:rsid w:val="00A62FD7"/>
    <w:rsid w:val="00A662DA"/>
    <w:rsid w:val="00A67C84"/>
    <w:rsid w:val="00A7340E"/>
    <w:rsid w:val="00A74197"/>
    <w:rsid w:val="00A83DBF"/>
    <w:rsid w:val="00A84B07"/>
    <w:rsid w:val="00A85DF7"/>
    <w:rsid w:val="00A92785"/>
    <w:rsid w:val="00A96B2D"/>
    <w:rsid w:val="00AB01AF"/>
    <w:rsid w:val="00AB3060"/>
    <w:rsid w:val="00AB3EFE"/>
    <w:rsid w:val="00AC1DA2"/>
    <w:rsid w:val="00AC3C9A"/>
    <w:rsid w:val="00AC5E2E"/>
    <w:rsid w:val="00AC729E"/>
    <w:rsid w:val="00AC7A96"/>
    <w:rsid w:val="00AD3DB5"/>
    <w:rsid w:val="00AD6854"/>
    <w:rsid w:val="00AE21D1"/>
    <w:rsid w:val="00AF27A8"/>
    <w:rsid w:val="00AF3A83"/>
    <w:rsid w:val="00AF4884"/>
    <w:rsid w:val="00AF536D"/>
    <w:rsid w:val="00AF7B08"/>
    <w:rsid w:val="00B0541D"/>
    <w:rsid w:val="00B0651A"/>
    <w:rsid w:val="00B07E08"/>
    <w:rsid w:val="00B11F67"/>
    <w:rsid w:val="00B172CA"/>
    <w:rsid w:val="00B21ED9"/>
    <w:rsid w:val="00B22136"/>
    <w:rsid w:val="00B224BE"/>
    <w:rsid w:val="00B229B5"/>
    <w:rsid w:val="00B23232"/>
    <w:rsid w:val="00B241FB"/>
    <w:rsid w:val="00B271E0"/>
    <w:rsid w:val="00B359F6"/>
    <w:rsid w:val="00B35C90"/>
    <w:rsid w:val="00B36DE7"/>
    <w:rsid w:val="00B40EBD"/>
    <w:rsid w:val="00B41ECF"/>
    <w:rsid w:val="00B50479"/>
    <w:rsid w:val="00B5407A"/>
    <w:rsid w:val="00B577D6"/>
    <w:rsid w:val="00B641B2"/>
    <w:rsid w:val="00B658D7"/>
    <w:rsid w:val="00B70EA9"/>
    <w:rsid w:val="00B72443"/>
    <w:rsid w:val="00B72D91"/>
    <w:rsid w:val="00B73C2C"/>
    <w:rsid w:val="00B755F1"/>
    <w:rsid w:val="00B82756"/>
    <w:rsid w:val="00B8335B"/>
    <w:rsid w:val="00B8453E"/>
    <w:rsid w:val="00B90531"/>
    <w:rsid w:val="00B90730"/>
    <w:rsid w:val="00B90E97"/>
    <w:rsid w:val="00B91906"/>
    <w:rsid w:val="00B919F4"/>
    <w:rsid w:val="00B92666"/>
    <w:rsid w:val="00B941E3"/>
    <w:rsid w:val="00B959D7"/>
    <w:rsid w:val="00B95C68"/>
    <w:rsid w:val="00B96D9F"/>
    <w:rsid w:val="00BA04B1"/>
    <w:rsid w:val="00BA0B57"/>
    <w:rsid w:val="00BA51E6"/>
    <w:rsid w:val="00BA5D3B"/>
    <w:rsid w:val="00BC0B41"/>
    <w:rsid w:val="00BE0184"/>
    <w:rsid w:val="00BE46A1"/>
    <w:rsid w:val="00BE6D35"/>
    <w:rsid w:val="00BF3611"/>
    <w:rsid w:val="00BF39EE"/>
    <w:rsid w:val="00BF7726"/>
    <w:rsid w:val="00C0028A"/>
    <w:rsid w:val="00C07653"/>
    <w:rsid w:val="00C10095"/>
    <w:rsid w:val="00C13A98"/>
    <w:rsid w:val="00C1440C"/>
    <w:rsid w:val="00C162CA"/>
    <w:rsid w:val="00C24EC6"/>
    <w:rsid w:val="00C275DA"/>
    <w:rsid w:val="00C31C21"/>
    <w:rsid w:val="00C32CB6"/>
    <w:rsid w:val="00C33C81"/>
    <w:rsid w:val="00C34A7D"/>
    <w:rsid w:val="00C34E54"/>
    <w:rsid w:val="00C3578F"/>
    <w:rsid w:val="00C363D1"/>
    <w:rsid w:val="00C413BC"/>
    <w:rsid w:val="00C425AC"/>
    <w:rsid w:val="00C4274D"/>
    <w:rsid w:val="00C433E9"/>
    <w:rsid w:val="00C43D33"/>
    <w:rsid w:val="00C45E28"/>
    <w:rsid w:val="00C46773"/>
    <w:rsid w:val="00C4697F"/>
    <w:rsid w:val="00C539CA"/>
    <w:rsid w:val="00C55110"/>
    <w:rsid w:val="00C55AD0"/>
    <w:rsid w:val="00C61937"/>
    <w:rsid w:val="00C64246"/>
    <w:rsid w:val="00C6429A"/>
    <w:rsid w:val="00C70DE2"/>
    <w:rsid w:val="00C8136A"/>
    <w:rsid w:val="00C813AE"/>
    <w:rsid w:val="00C85C0E"/>
    <w:rsid w:val="00C86373"/>
    <w:rsid w:val="00C90E18"/>
    <w:rsid w:val="00C9266E"/>
    <w:rsid w:val="00C94C53"/>
    <w:rsid w:val="00CA01F5"/>
    <w:rsid w:val="00CA4EF7"/>
    <w:rsid w:val="00CB10DB"/>
    <w:rsid w:val="00CB140B"/>
    <w:rsid w:val="00CB33B9"/>
    <w:rsid w:val="00CB4BD0"/>
    <w:rsid w:val="00CB6FFD"/>
    <w:rsid w:val="00CC0651"/>
    <w:rsid w:val="00CC2B7F"/>
    <w:rsid w:val="00CC337A"/>
    <w:rsid w:val="00CC34CA"/>
    <w:rsid w:val="00CD1921"/>
    <w:rsid w:val="00CD3E30"/>
    <w:rsid w:val="00CD54F8"/>
    <w:rsid w:val="00CD6B2C"/>
    <w:rsid w:val="00CE1BF0"/>
    <w:rsid w:val="00CE586B"/>
    <w:rsid w:val="00CE64B7"/>
    <w:rsid w:val="00CF3E47"/>
    <w:rsid w:val="00D034B4"/>
    <w:rsid w:val="00D03823"/>
    <w:rsid w:val="00D12547"/>
    <w:rsid w:val="00D178C9"/>
    <w:rsid w:val="00D20CC3"/>
    <w:rsid w:val="00D210FD"/>
    <w:rsid w:val="00D21AD5"/>
    <w:rsid w:val="00D224F3"/>
    <w:rsid w:val="00D25F84"/>
    <w:rsid w:val="00D267C2"/>
    <w:rsid w:val="00D34E8A"/>
    <w:rsid w:val="00D42F2A"/>
    <w:rsid w:val="00D45210"/>
    <w:rsid w:val="00D4683D"/>
    <w:rsid w:val="00D46D5D"/>
    <w:rsid w:val="00D51C65"/>
    <w:rsid w:val="00D56F79"/>
    <w:rsid w:val="00D60502"/>
    <w:rsid w:val="00D67511"/>
    <w:rsid w:val="00D719C3"/>
    <w:rsid w:val="00D734FE"/>
    <w:rsid w:val="00D773F5"/>
    <w:rsid w:val="00D82D08"/>
    <w:rsid w:val="00D83BDF"/>
    <w:rsid w:val="00D85DFC"/>
    <w:rsid w:val="00D90D53"/>
    <w:rsid w:val="00D92869"/>
    <w:rsid w:val="00D9731B"/>
    <w:rsid w:val="00DA47ED"/>
    <w:rsid w:val="00DA500D"/>
    <w:rsid w:val="00DA7DEF"/>
    <w:rsid w:val="00DB0B12"/>
    <w:rsid w:val="00DB3981"/>
    <w:rsid w:val="00DB3FF3"/>
    <w:rsid w:val="00DC7CA3"/>
    <w:rsid w:val="00DD3153"/>
    <w:rsid w:val="00DD5C03"/>
    <w:rsid w:val="00DE3E30"/>
    <w:rsid w:val="00DE7986"/>
    <w:rsid w:val="00DF6DC3"/>
    <w:rsid w:val="00E01B29"/>
    <w:rsid w:val="00E04F6D"/>
    <w:rsid w:val="00E1150E"/>
    <w:rsid w:val="00E11C87"/>
    <w:rsid w:val="00E122C9"/>
    <w:rsid w:val="00E17B0E"/>
    <w:rsid w:val="00E21FF8"/>
    <w:rsid w:val="00E25A3F"/>
    <w:rsid w:val="00E26073"/>
    <w:rsid w:val="00E3057B"/>
    <w:rsid w:val="00E30F12"/>
    <w:rsid w:val="00E4069F"/>
    <w:rsid w:val="00E473D6"/>
    <w:rsid w:val="00E54126"/>
    <w:rsid w:val="00E5743D"/>
    <w:rsid w:val="00E62312"/>
    <w:rsid w:val="00E63024"/>
    <w:rsid w:val="00E6498B"/>
    <w:rsid w:val="00E670E8"/>
    <w:rsid w:val="00E70D0B"/>
    <w:rsid w:val="00E74FE1"/>
    <w:rsid w:val="00E76E98"/>
    <w:rsid w:val="00E76EAF"/>
    <w:rsid w:val="00E84C49"/>
    <w:rsid w:val="00E861A6"/>
    <w:rsid w:val="00E876C2"/>
    <w:rsid w:val="00E9026B"/>
    <w:rsid w:val="00E9404B"/>
    <w:rsid w:val="00E95580"/>
    <w:rsid w:val="00E9738F"/>
    <w:rsid w:val="00EA2015"/>
    <w:rsid w:val="00EA292B"/>
    <w:rsid w:val="00EA402D"/>
    <w:rsid w:val="00EA5322"/>
    <w:rsid w:val="00EB0A56"/>
    <w:rsid w:val="00EB26EC"/>
    <w:rsid w:val="00EC0087"/>
    <w:rsid w:val="00EC08AC"/>
    <w:rsid w:val="00EC0BD7"/>
    <w:rsid w:val="00EC3637"/>
    <w:rsid w:val="00EC541F"/>
    <w:rsid w:val="00EC56D5"/>
    <w:rsid w:val="00ED1FCC"/>
    <w:rsid w:val="00ED2896"/>
    <w:rsid w:val="00ED4FD5"/>
    <w:rsid w:val="00EE22E8"/>
    <w:rsid w:val="00EE2D9A"/>
    <w:rsid w:val="00EE7331"/>
    <w:rsid w:val="00EF1EE8"/>
    <w:rsid w:val="00EF4F03"/>
    <w:rsid w:val="00F018E2"/>
    <w:rsid w:val="00F0282F"/>
    <w:rsid w:val="00F032F3"/>
    <w:rsid w:val="00F14F87"/>
    <w:rsid w:val="00F23873"/>
    <w:rsid w:val="00F23F15"/>
    <w:rsid w:val="00F32060"/>
    <w:rsid w:val="00F3340B"/>
    <w:rsid w:val="00F33FB9"/>
    <w:rsid w:val="00F3585B"/>
    <w:rsid w:val="00F35F17"/>
    <w:rsid w:val="00F37DB0"/>
    <w:rsid w:val="00F403E6"/>
    <w:rsid w:val="00F42793"/>
    <w:rsid w:val="00F453C5"/>
    <w:rsid w:val="00F522A0"/>
    <w:rsid w:val="00F529D8"/>
    <w:rsid w:val="00F532AF"/>
    <w:rsid w:val="00F5414C"/>
    <w:rsid w:val="00F63416"/>
    <w:rsid w:val="00F641BD"/>
    <w:rsid w:val="00F658B3"/>
    <w:rsid w:val="00F70EF7"/>
    <w:rsid w:val="00F73F87"/>
    <w:rsid w:val="00F75024"/>
    <w:rsid w:val="00F77763"/>
    <w:rsid w:val="00F833E8"/>
    <w:rsid w:val="00F8451E"/>
    <w:rsid w:val="00F87062"/>
    <w:rsid w:val="00F87B60"/>
    <w:rsid w:val="00F95977"/>
    <w:rsid w:val="00F96ED2"/>
    <w:rsid w:val="00F97BC8"/>
    <w:rsid w:val="00FA049D"/>
    <w:rsid w:val="00FA44DE"/>
    <w:rsid w:val="00FA76C2"/>
    <w:rsid w:val="00FB25D3"/>
    <w:rsid w:val="00FB6304"/>
    <w:rsid w:val="00FC058D"/>
    <w:rsid w:val="00FD1D00"/>
    <w:rsid w:val="00FD6B4C"/>
    <w:rsid w:val="00FE08C1"/>
    <w:rsid w:val="00FE08D3"/>
    <w:rsid w:val="00FE10BB"/>
    <w:rsid w:val="00FE2BE5"/>
    <w:rsid w:val="00FE5471"/>
    <w:rsid w:val="00FF00A0"/>
    <w:rsid w:val="00FF22F3"/>
    <w:rsid w:val="00FF3D8B"/>
    <w:rsid w:val="00FF5E9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FB"/>
    <w:rPr>
      <w:rFonts w:ascii="Arial" w:hAnsi="Arial"/>
      <w:sz w:val="24"/>
      <w:szCs w:val="24"/>
      <w:lang w:eastAsia="en-US"/>
    </w:rPr>
  </w:style>
  <w:style w:type="paragraph" w:styleId="Heading2">
    <w:name w:val="heading 2"/>
    <w:basedOn w:val="Normal"/>
    <w:next w:val="Normal"/>
    <w:link w:val="Heading2Char"/>
    <w:uiPriority w:val="99"/>
    <w:qFormat/>
    <w:rsid w:val="00A578D8"/>
    <w:pPr>
      <w:keepNext/>
      <w:spacing w:before="240" w:after="60"/>
      <w:outlineLvl w:val="1"/>
    </w:pPr>
    <w:rPr>
      <w:rFonts w:cs="Arial"/>
      <w:b/>
      <w:bCs/>
      <w:i/>
      <w:iCs/>
      <w:sz w:val="28"/>
      <w:szCs w:val="28"/>
    </w:rPr>
  </w:style>
  <w:style w:type="paragraph" w:styleId="Heading4">
    <w:name w:val="heading 4"/>
    <w:basedOn w:val="Normal"/>
    <w:next w:val="Normal"/>
    <w:link w:val="Heading4Char"/>
    <w:uiPriority w:val="99"/>
    <w:qFormat/>
    <w:rsid w:val="00A7340E"/>
    <w:pPr>
      <w:spacing w:before="240" w:after="60"/>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032F3"/>
    <w:rPr>
      <w:rFonts w:ascii="Cambria" w:hAnsi="Cambria" w:cs="Times New Roman"/>
      <w:b/>
      <w:bCs/>
      <w:i/>
      <w:iCs/>
      <w:sz w:val="28"/>
      <w:szCs w:val="28"/>
      <w:lang w:eastAsia="en-US"/>
    </w:rPr>
  </w:style>
  <w:style w:type="character" w:customStyle="1" w:styleId="Heading4Char">
    <w:name w:val="Heading 4 Char"/>
    <w:basedOn w:val="DefaultParagraphFont"/>
    <w:link w:val="Heading4"/>
    <w:uiPriority w:val="99"/>
    <w:semiHidden/>
    <w:locked/>
    <w:rsid w:val="00F032F3"/>
    <w:rPr>
      <w:rFonts w:ascii="Calibri" w:hAnsi="Calibri" w:cs="Times New Roman"/>
      <w:b/>
      <w:bCs/>
      <w:sz w:val="28"/>
      <w:szCs w:val="28"/>
      <w:lang w:eastAsia="en-US"/>
    </w:rPr>
  </w:style>
  <w:style w:type="paragraph" w:styleId="BalloonText">
    <w:name w:val="Balloon Text"/>
    <w:basedOn w:val="Normal"/>
    <w:link w:val="BalloonTextChar"/>
    <w:uiPriority w:val="99"/>
    <w:semiHidden/>
    <w:rsid w:val="003904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2F3"/>
    <w:rPr>
      <w:rFonts w:cs="Times New Roman"/>
      <w:sz w:val="2"/>
      <w:lang w:eastAsia="en-US"/>
    </w:rPr>
  </w:style>
  <w:style w:type="paragraph" w:customStyle="1" w:styleId="Backtotop">
    <w:name w:val="Back to top"/>
    <w:basedOn w:val="Normal"/>
    <w:next w:val="Normal"/>
    <w:uiPriority w:val="99"/>
    <w:rsid w:val="00A7340E"/>
  </w:style>
  <w:style w:type="paragraph" w:customStyle="1" w:styleId="HorizontalLine">
    <w:name w:val="Horizontal Line"/>
    <w:basedOn w:val="Normal"/>
    <w:uiPriority w:val="99"/>
    <w:rsid w:val="00A7340E"/>
  </w:style>
  <w:style w:type="paragraph" w:customStyle="1" w:styleId="ParagraphImageWrapLeft">
    <w:name w:val="Paragraph Image Wrap Left"/>
    <w:basedOn w:val="Normal"/>
    <w:uiPriority w:val="99"/>
    <w:rsid w:val="00A7340E"/>
  </w:style>
  <w:style w:type="paragraph" w:customStyle="1" w:styleId="ParagraphImageWrapRight">
    <w:name w:val="Paragraph Image Wrap Right"/>
    <w:basedOn w:val="Normal"/>
    <w:uiPriority w:val="99"/>
    <w:rsid w:val="00A7340E"/>
  </w:style>
  <w:style w:type="paragraph" w:customStyle="1" w:styleId="Summary">
    <w:name w:val="Summary"/>
    <w:basedOn w:val="Normal"/>
    <w:uiPriority w:val="99"/>
    <w:rsid w:val="00A7340E"/>
    <w:pPr>
      <w:spacing w:after="77"/>
      <w:ind w:left="129" w:right="129"/>
    </w:pPr>
    <w:rPr>
      <w:rFonts w:ascii="Verdana" w:hAnsi="Verdana"/>
      <w:color w:val="666666"/>
      <w:sz w:val="15"/>
      <w:szCs w:val="15"/>
      <w:lang w:eastAsia="en-GB"/>
    </w:rPr>
  </w:style>
  <w:style w:type="table" w:customStyle="1" w:styleId="TableDFID">
    <w:name w:val="Table DFID"/>
    <w:uiPriority w:val="99"/>
    <w:rsid w:val="00A7340E"/>
    <w:rPr>
      <w:rFonts w:ascii="Arial Black" w:hAnsi="Arial Black"/>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TableDFIDEnd">
    <w:name w:val="Table DFID End"/>
    <w:basedOn w:val="Normal"/>
    <w:uiPriority w:val="99"/>
    <w:rsid w:val="00A7340E"/>
  </w:style>
  <w:style w:type="paragraph" w:customStyle="1" w:styleId="TableDFIDStart">
    <w:name w:val="Table DFID Start"/>
    <w:basedOn w:val="Normal"/>
    <w:uiPriority w:val="99"/>
    <w:rsid w:val="00A7340E"/>
  </w:style>
  <w:style w:type="paragraph" w:customStyle="1" w:styleId="TableHeadings">
    <w:name w:val="Table Headings"/>
    <w:basedOn w:val="Normal"/>
    <w:uiPriority w:val="99"/>
    <w:rsid w:val="00A7340E"/>
    <w:pPr>
      <w:spacing w:after="79"/>
    </w:pPr>
    <w:rPr>
      <w:b/>
      <w:bCs/>
      <w:color w:val="FFFFFF"/>
      <w:szCs w:val="20"/>
      <w:lang w:eastAsia="en-GB"/>
    </w:rPr>
  </w:style>
  <w:style w:type="table" w:customStyle="1" w:styleId="TableLayout">
    <w:name w:val="Table Layout"/>
    <w:uiPriority w:val="99"/>
    <w:rsid w:val="00A7340E"/>
    <w:rPr>
      <w:sz w:val="20"/>
      <w:szCs w:val="20"/>
    </w:rPr>
    <w:tblPr>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rsid w:val="0039040B"/>
    <w:rPr>
      <w:rFonts w:cs="Times New Roman"/>
      <w:sz w:val="16"/>
    </w:rPr>
  </w:style>
  <w:style w:type="paragraph" w:styleId="CommentText">
    <w:name w:val="annotation text"/>
    <w:basedOn w:val="Normal"/>
    <w:link w:val="CommentTextChar"/>
    <w:uiPriority w:val="99"/>
    <w:semiHidden/>
    <w:rsid w:val="0039040B"/>
    <w:rPr>
      <w:sz w:val="20"/>
      <w:szCs w:val="20"/>
    </w:rPr>
  </w:style>
  <w:style w:type="character" w:customStyle="1" w:styleId="CommentTextChar">
    <w:name w:val="Comment Text Char"/>
    <w:basedOn w:val="DefaultParagraphFont"/>
    <w:link w:val="CommentText"/>
    <w:uiPriority w:val="99"/>
    <w:semiHidden/>
    <w:locked/>
    <w:rsid w:val="00F032F3"/>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39040B"/>
    <w:rPr>
      <w:b/>
      <w:bCs/>
    </w:rPr>
  </w:style>
  <w:style w:type="character" w:customStyle="1" w:styleId="CommentSubjectChar">
    <w:name w:val="Comment Subject Char"/>
    <w:basedOn w:val="CommentTextChar"/>
    <w:link w:val="CommentSubject"/>
    <w:uiPriority w:val="99"/>
    <w:semiHidden/>
    <w:locked/>
    <w:rsid w:val="00F032F3"/>
    <w:rPr>
      <w:b/>
      <w:bCs/>
    </w:rPr>
  </w:style>
  <w:style w:type="paragraph" w:customStyle="1" w:styleId="Char">
    <w:name w:val="Char"/>
    <w:basedOn w:val="Normal"/>
    <w:uiPriority w:val="99"/>
    <w:rsid w:val="00A578D8"/>
    <w:pPr>
      <w:spacing w:after="160" w:line="240" w:lineRule="exact"/>
    </w:pPr>
    <w:rPr>
      <w:rFonts w:ascii="Verdana" w:hAnsi="Verdana"/>
      <w:sz w:val="20"/>
      <w:szCs w:val="20"/>
      <w:lang w:val="en-US"/>
    </w:rPr>
  </w:style>
  <w:style w:type="table" w:styleId="TableGrid">
    <w:name w:val="Table Grid"/>
    <w:basedOn w:val="TableNormal"/>
    <w:uiPriority w:val="99"/>
    <w:rsid w:val="00A578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885FC4"/>
    <w:pPr>
      <w:spacing w:after="160" w:line="240" w:lineRule="exact"/>
    </w:pPr>
    <w:rPr>
      <w:rFonts w:ascii="Verdana" w:hAnsi="Verdana"/>
      <w:sz w:val="20"/>
      <w:szCs w:val="20"/>
      <w:lang w:val="en-US"/>
    </w:rPr>
  </w:style>
  <w:style w:type="paragraph" w:styleId="Header">
    <w:name w:val="header"/>
    <w:basedOn w:val="Normal"/>
    <w:link w:val="HeaderChar"/>
    <w:uiPriority w:val="99"/>
    <w:rsid w:val="006F7625"/>
    <w:pPr>
      <w:tabs>
        <w:tab w:val="center" w:pos="4153"/>
        <w:tab w:val="right" w:pos="8306"/>
      </w:tabs>
    </w:pPr>
  </w:style>
  <w:style w:type="character" w:customStyle="1" w:styleId="HeaderChar">
    <w:name w:val="Header Char"/>
    <w:basedOn w:val="DefaultParagraphFont"/>
    <w:link w:val="Header"/>
    <w:uiPriority w:val="99"/>
    <w:semiHidden/>
    <w:locked/>
    <w:rsid w:val="00F032F3"/>
    <w:rPr>
      <w:rFonts w:ascii="Arial" w:hAnsi="Arial" w:cs="Times New Roman"/>
      <w:sz w:val="24"/>
      <w:szCs w:val="24"/>
      <w:lang w:eastAsia="en-US"/>
    </w:rPr>
  </w:style>
  <w:style w:type="paragraph" w:styleId="Footer">
    <w:name w:val="footer"/>
    <w:basedOn w:val="Normal"/>
    <w:link w:val="FooterChar"/>
    <w:uiPriority w:val="99"/>
    <w:rsid w:val="006F7625"/>
    <w:pPr>
      <w:tabs>
        <w:tab w:val="center" w:pos="4153"/>
        <w:tab w:val="right" w:pos="8306"/>
      </w:tabs>
    </w:pPr>
  </w:style>
  <w:style w:type="character" w:customStyle="1" w:styleId="FooterChar">
    <w:name w:val="Footer Char"/>
    <w:basedOn w:val="DefaultParagraphFont"/>
    <w:link w:val="Footer"/>
    <w:uiPriority w:val="99"/>
    <w:semiHidden/>
    <w:locked/>
    <w:rsid w:val="00F032F3"/>
    <w:rPr>
      <w:rFonts w:ascii="Arial" w:hAnsi="Arial" w:cs="Times New Roman"/>
      <w:sz w:val="24"/>
      <w:szCs w:val="24"/>
      <w:lang w:eastAsia="en-US"/>
    </w:rPr>
  </w:style>
  <w:style w:type="character" w:styleId="Strong">
    <w:name w:val="Strong"/>
    <w:basedOn w:val="DefaultParagraphFont"/>
    <w:uiPriority w:val="99"/>
    <w:qFormat/>
    <w:rsid w:val="00622D8C"/>
    <w:rPr>
      <w:rFonts w:cs="Times New Roman"/>
      <w:b/>
    </w:rPr>
  </w:style>
  <w:style w:type="character" w:styleId="PageNumber">
    <w:name w:val="page number"/>
    <w:basedOn w:val="DefaultParagraphFont"/>
    <w:uiPriority w:val="99"/>
    <w:rsid w:val="00872E03"/>
    <w:rPr>
      <w:rFonts w:cs="Times New Roman"/>
    </w:rPr>
  </w:style>
  <w:style w:type="table" w:styleId="TableList4">
    <w:name w:val="Table List 4"/>
    <w:basedOn w:val="TableNormal"/>
    <w:uiPriority w:val="99"/>
    <w:rsid w:val="00C43D33"/>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3">
    <w:name w:val="Table Grid 3"/>
    <w:basedOn w:val="TableNormal"/>
    <w:uiPriority w:val="99"/>
    <w:rsid w:val="00982070"/>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2E17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FD1D00"/>
    <w:rPr>
      <w:sz w:val="20"/>
      <w:szCs w:val="20"/>
    </w:rPr>
  </w:style>
  <w:style w:type="character" w:customStyle="1" w:styleId="FootnoteTextChar">
    <w:name w:val="Footnote Text Char"/>
    <w:basedOn w:val="DefaultParagraphFont"/>
    <w:link w:val="FootnoteText"/>
    <w:uiPriority w:val="99"/>
    <w:locked/>
    <w:rsid w:val="00FD1D00"/>
    <w:rPr>
      <w:rFonts w:ascii="Arial" w:hAnsi="Arial" w:cs="Times New Roman"/>
      <w:lang w:eastAsia="en-US"/>
    </w:rPr>
  </w:style>
  <w:style w:type="character" w:styleId="FootnoteReference">
    <w:name w:val="footnote reference"/>
    <w:basedOn w:val="DefaultParagraphFont"/>
    <w:uiPriority w:val="99"/>
    <w:rsid w:val="00FD1D00"/>
    <w:rPr>
      <w:rFonts w:cs="Times New Roman"/>
      <w:vertAlign w:val="superscript"/>
    </w:rPr>
  </w:style>
  <w:style w:type="paragraph" w:styleId="EndnoteText">
    <w:name w:val="endnote text"/>
    <w:basedOn w:val="Normal"/>
    <w:link w:val="EndnoteTextChar"/>
    <w:uiPriority w:val="99"/>
    <w:rsid w:val="00FD1D00"/>
    <w:rPr>
      <w:sz w:val="20"/>
      <w:szCs w:val="20"/>
    </w:rPr>
  </w:style>
  <w:style w:type="character" w:customStyle="1" w:styleId="EndnoteTextChar">
    <w:name w:val="Endnote Text Char"/>
    <w:basedOn w:val="DefaultParagraphFont"/>
    <w:link w:val="EndnoteText"/>
    <w:uiPriority w:val="99"/>
    <w:locked/>
    <w:rsid w:val="00FD1D00"/>
    <w:rPr>
      <w:rFonts w:ascii="Arial" w:hAnsi="Arial" w:cs="Times New Roman"/>
      <w:lang w:eastAsia="en-US"/>
    </w:rPr>
  </w:style>
  <w:style w:type="character" w:styleId="EndnoteReference">
    <w:name w:val="endnote reference"/>
    <w:basedOn w:val="DefaultParagraphFont"/>
    <w:uiPriority w:val="99"/>
    <w:rsid w:val="00FD1D00"/>
    <w:rPr>
      <w:rFonts w:cs="Times New Roman"/>
      <w:vertAlign w:val="superscript"/>
    </w:rPr>
  </w:style>
  <w:style w:type="paragraph" w:customStyle="1" w:styleId="ColorfulList-Accent11">
    <w:name w:val="Colorful List - Accent 11"/>
    <w:basedOn w:val="Normal"/>
    <w:uiPriority w:val="99"/>
    <w:rsid w:val="008A5D9B"/>
    <w:pPr>
      <w:ind w:left="720"/>
      <w:contextualSpacing/>
    </w:pPr>
    <w:rPr>
      <w:rFonts w:ascii="Times" w:hAnsi="Times"/>
      <w:sz w:val="20"/>
      <w:szCs w:val="20"/>
    </w:rPr>
  </w:style>
  <w:style w:type="paragraph" w:styleId="NormalWeb">
    <w:name w:val="Normal (Web)"/>
    <w:basedOn w:val="Normal"/>
    <w:uiPriority w:val="99"/>
    <w:rsid w:val="008A5D9B"/>
    <w:pPr>
      <w:spacing w:before="100" w:beforeAutospacing="1" w:after="100" w:afterAutospacing="1"/>
    </w:pPr>
    <w:rPr>
      <w:rFonts w:ascii="Times" w:hAnsi="Times"/>
      <w:sz w:val="20"/>
      <w:szCs w:val="20"/>
    </w:rPr>
  </w:style>
  <w:style w:type="paragraph" w:styleId="DocumentMap">
    <w:name w:val="Document Map"/>
    <w:basedOn w:val="Normal"/>
    <w:link w:val="DocumentMapChar"/>
    <w:uiPriority w:val="99"/>
    <w:rsid w:val="00417C8D"/>
    <w:rPr>
      <w:rFonts w:ascii="Lucida Grande" w:hAnsi="Lucida Grande"/>
      <w:lang w:eastAsia="en-GB"/>
    </w:rPr>
  </w:style>
  <w:style w:type="character" w:customStyle="1" w:styleId="DocumentMapChar">
    <w:name w:val="Document Map Char"/>
    <w:basedOn w:val="DefaultParagraphFont"/>
    <w:link w:val="DocumentMap"/>
    <w:uiPriority w:val="99"/>
    <w:locked/>
    <w:rsid w:val="00417C8D"/>
    <w:rPr>
      <w:rFonts w:ascii="Lucida Grande" w:hAnsi="Lucida Grande" w:cs="Times New Roman"/>
      <w:sz w:val="24"/>
    </w:rPr>
  </w:style>
  <w:style w:type="character" w:styleId="Hyperlink">
    <w:name w:val="Hyperlink"/>
    <w:basedOn w:val="DefaultParagraphFont"/>
    <w:uiPriority w:val="99"/>
    <w:rsid w:val="00D34E8A"/>
    <w:rPr>
      <w:rFonts w:cs="Times New Roman"/>
      <w:color w:val="0000FF"/>
      <w:u w:val="single"/>
    </w:rPr>
  </w:style>
  <w:style w:type="paragraph" w:styleId="ListParagraph">
    <w:name w:val="List Paragraph"/>
    <w:basedOn w:val="Normal"/>
    <w:uiPriority w:val="99"/>
    <w:qFormat/>
    <w:rsid w:val="00936CCD"/>
    <w:pPr>
      <w:ind w:left="720"/>
    </w:pPr>
  </w:style>
</w:styles>
</file>

<file path=word/webSettings.xml><?xml version="1.0" encoding="utf-8"?>
<w:webSettings xmlns:r="http://schemas.openxmlformats.org/officeDocument/2006/relationships" xmlns:w="http://schemas.openxmlformats.org/wordprocessingml/2006/main">
  <w:divs>
    <w:div w:id="1841387867">
      <w:marLeft w:val="0"/>
      <w:marRight w:val="0"/>
      <w:marTop w:val="0"/>
      <w:marBottom w:val="0"/>
      <w:divBdr>
        <w:top w:val="none" w:sz="0" w:space="0" w:color="auto"/>
        <w:left w:val="none" w:sz="0" w:space="0" w:color="auto"/>
        <w:bottom w:val="none" w:sz="0" w:space="0" w:color="auto"/>
        <w:right w:val="none" w:sz="0" w:space="0" w:color="auto"/>
      </w:divBdr>
      <w:divsChild>
        <w:div w:id="1841387865">
          <w:marLeft w:val="547"/>
          <w:marRight w:val="0"/>
          <w:marTop w:val="106"/>
          <w:marBottom w:val="0"/>
          <w:divBdr>
            <w:top w:val="none" w:sz="0" w:space="0" w:color="auto"/>
            <w:left w:val="none" w:sz="0" w:space="0" w:color="auto"/>
            <w:bottom w:val="none" w:sz="0" w:space="0" w:color="auto"/>
            <w:right w:val="none" w:sz="0" w:space="0" w:color="auto"/>
          </w:divBdr>
        </w:div>
        <w:div w:id="1841387892">
          <w:marLeft w:val="547"/>
          <w:marRight w:val="0"/>
          <w:marTop w:val="106"/>
          <w:marBottom w:val="0"/>
          <w:divBdr>
            <w:top w:val="none" w:sz="0" w:space="0" w:color="auto"/>
            <w:left w:val="none" w:sz="0" w:space="0" w:color="auto"/>
            <w:bottom w:val="none" w:sz="0" w:space="0" w:color="auto"/>
            <w:right w:val="none" w:sz="0" w:space="0" w:color="auto"/>
          </w:divBdr>
        </w:div>
        <w:div w:id="1841387895">
          <w:marLeft w:val="547"/>
          <w:marRight w:val="0"/>
          <w:marTop w:val="106"/>
          <w:marBottom w:val="0"/>
          <w:divBdr>
            <w:top w:val="none" w:sz="0" w:space="0" w:color="auto"/>
            <w:left w:val="none" w:sz="0" w:space="0" w:color="auto"/>
            <w:bottom w:val="none" w:sz="0" w:space="0" w:color="auto"/>
            <w:right w:val="none" w:sz="0" w:space="0" w:color="auto"/>
          </w:divBdr>
        </w:div>
        <w:div w:id="1841387898">
          <w:marLeft w:val="547"/>
          <w:marRight w:val="0"/>
          <w:marTop w:val="106"/>
          <w:marBottom w:val="0"/>
          <w:divBdr>
            <w:top w:val="none" w:sz="0" w:space="0" w:color="auto"/>
            <w:left w:val="none" w:sz="0" w:space="0" w:color="auto"/>
            <w:bottom w:val="none" w:sz="0" w:space="0" w:color="auto"/>
            <w:right w:val="none" w:sz="0" w:space="0" w:color="auto"/>
          </w:divBdr>
        </w:div>
        <w:div w:id="1841387910">
          <w:marLeft w:val="547"/>
          <w:marRight w:val="0"/>
          <w:marTop w:val="106"/>
          <w:marBottom w:val="0"/>
          <w:divBdr>
            <w:top w:val="none" w:sz="0" w:space="0" w:color="auto"/>
            <w:left w:val="none" w:sz="0" w:space="0" w:color="auto"/>
            <w:bottom w:val="none" w:sz="0" w:space="0" w:color="auto"/>
            <w:right w:val="none" w:sz="0" w:space="0" w:color="auto"/>
          </w:divBdr>
        </w:div>
        <w:div w:id="1841387934">
          <w:marLeft w:val="547"/>
          <w:marRight w:val="0"/>
          <w:marTop w:val="106"/>
          <w:marBottom w:val="0"/>
          <w:divBdr>
            <w:top w:val="none" w:sz="0" w:space="0" w:color="auto"/>
            <w:left w:val="none" w:sz="0" w:space="0" w:color="auto"/>
            <w:bottom w:val="none" w:sz="0" w:space="0" w:color="auto"/>
            <w:right w:val="none" w:sz="0" w:space="0" w:color="auto"/>
          </w:divBdr>
        </w:div>
        <w:div w:id="1841387944">
          <w:marLeft w:val="547"/>
          <w:marRight w:val="0"/>
          <w:marTop w:val="106"/>
          <w:marBottom w:val="0"/>
          <w:divBdr>
            <w:top w:val="none" w:sz="0" w:space="0" w:color="auto"/>
            <w:left w:val="none" w:sz="0" w:space="0" w:color="auto"/>
            <w:bottom w:val="none" w:sz="0" w:space="0" w:color="auto"/>
            <w:right w:val="none" w:sz="0" w:space="0" w:color="auto"/>
          </w:divBdr>
        </w:div>
        <w:div w:id="1841387951">
          <w:marLeft w:val="547"/>
          <w:marRight w:val="0"/>
          <w:marTop w:val="106"/>
          <w:marBottom w:val="0"/>
          <w:divBdr>
            <w:top w:val="none" w:sz="0" w:space="0" w:color="auto"/>
            <w:left w:val="none" w:sz="0" w:space="0" w:color="auto"/>
            <w:bottom w:val="none" w:sz="0" w:space="0" w:color="auto"/>
            <w:right w:val="none" w:sz="0" w:space="0" w:color="auto"/>
          </w:divBdr>
        </w:div>
        <w:div w:id="1841387982">
          <w:marLeft w:val="547"/>
          <w:marRight w:val="0"/>
          <w:marTop w:val="106"/>
          <w:marBottom w:val="0"/>
          <w:divBdr>
            <w:top w:val="none" w:sz="0" w:space="0" w:color="auto"/>
            <w:left w:val="none" w:sz="0" w:space="0" w:color="auto"/>
            <w:bottom w:val="none" w:sz="0" w:space="0" w:color="auto"/>
            <w:right w:val="none" w:sz="0" w:space="0" w:color="auto"/>
          </w:divBdr>
        </w:div>
      </w:divsChild>
    </w:div>
    <w:div w:id="1841387868">
      <w:marLeft w:val="0"/>
      <w:marRight w:val="0"/>
      <w:marTop w:val="0"/>
      <w:marBottom w:val="0"/>
      <w:divBdr>
        <w:top w:val="none" w:sz="0" w:space="0" w:color="auto"/>
        <w:left w:val="none" w:sz="0" w:space="0" w:color="auto"/>
        <w:bottom w:val="none" w:sz="0" w:space="0" w:color="auto"/>
        <w:right w:val="none" w:sz="0" w:space="0" w:color="auto"/>
      </w:divBdr>
    </w:div>
    <w:div w:id="1841387870">
      <w:marLeft w:val="0"/>
      <w:marRight w:val="0"/>
      <w:marTop w:val="0"/>
      <w:marBottom w:val="0"/>
      <w:divBdr>
        <w:top w:val="none" w:sz="0" w:space="0" w:color="auto"/>
        <w:left w:val="none" w:sz="0" w:space="0" w:color="auto"/>
        <w:bottom w:val="none" w:sz="0" w:space="0" w:color="auto"/>
        <w:right w:val="none" w:sz="0" w:space="0" w:color="auto"/>
      </w:divBdr>
      <w:divsChild>
        <w:div w:id="1841387905">
          <w:marLeft w:val="0"/>
          <w:marRight w:val="0"/>
          <w:marTop w:val="0"/>
          <w:marBottom w:val="0"/>
          <w:divBdr>
            <w:top w:val="none" w:sz="0" w:space="0" w:color="auto"/>
            <w:left w:val="none" w:sz="0" w:space="0" w:color="auto"/>
            <w:bottom w:val="none" w:sz="0" w:space="0" w:color="auto"/>
            <w:right w:val="none" w:sz="0" w:space="0" w:color="auto"/>
          </w:divBdr>
          <w:divsChild>
            <w:div w:id="1841387921">
              <w:marLeft w:val="0"/>
              <w:marRight w:val="0"/>
              <w:marTop w:val="0"/>
              <w:marBottom w:val="0"/>
              <w:divBdr>
                <w:top w:val="none" w:sz="0" w:space="0" w:color="auto"/>
                <w:left w:val="none" w:sz="0" w:space="0" w:color="auto"/>
                <w:bottom w:val="none" w:sz="0" w:space="0" w:color="auto"/>
                <w:right w:val="none" w:sz="0" w:space="0" w:color="auto"/>
              </w:divBdr>
              <w:divsChild>
                <w:div w:id="1841387932">
                  <w:marLeft w:val="0"/>
                  <w:marRight w:val="0"/>
                  <w:marTop w:val="0"/>
                  <w:marBottom w:val="0"/>
                  <w:divBdr>
                    <w:top w:val="none" w:sz="0" w:space="0" w:color="auto"/>
                    <w:left w:val="none" w:sz="0" w:space="0" w:color="auto"/>
                    <w:bottom w:val="none" w:sz="0" w:space="0" w:color="auto"/>
                    <w:right w:val="none" w:sz="0" w:space="0" w:color="auto"/>
                  </w:divBdr>
                  <w:divsChild>
                    <w:div w:id="1841387970">
                      <w:marLeft w:val="0"/>
                      <w:marRight w:val="0"/>
                      <w:marTop w:val="0"/>
                      <w:marBottom w:val="0"/>
                      <w:divBdr>
                        <w:top w:val="none" w:sz="0" w:space="0" w:color="auto"/>
                        <w:left w:val="none" w:sz="0" w:space="0" w:color="auto"/>
                        <w:bottom w:val="none" w:sz="0" w:space="0" w:color="auto"/>
                        <w:right w:val="none" w:sz="0" w:space="0" w:color="auto"/>
                      </w:divBdr>
                      <w:divsChild>
                        <w:div w:id="1841387884">
                          <w:marLeft w:val="0"/>
                          <w:marRight w:val="0"/>
                          <w:marTop w:val="0"/>
                          <w:marBottom w:val="0"/>
                          <w:divBdr>
                            <w:top w:val="none" w:sz="0" w:space="0" w:color="auto"/>
                            <w:left w:val="none" w:sz="0" w:space="0" w:color="auto"/>
                            <w:bottom w:val="none" w:sz="0" w:space="0" w:color="auto"/>
                            <w:right w:val="none" w:sz="0" w:space="0" w:color="auto"/>
                          </w:divBdr>
                          <w:divsChild>
                            <w:div w:id="1841387872">
                              <w:marLeft w:val="0"/>
                              <w:marRight w:val="0"/>
                              <w:marTop w:val="0"/>
                              <w:marBottom w:val="0"/>
                              <w:divBdr>
                                <w:top w:val="none" w:sz="0" w:space="0" w:color="auto"/>
                                <w:left w:val="none" w:sz="0" w:space="0" w:color="auto"/>
                                <w:bottom w:val="none" w:sz="0" w:space="0" w:color="auto"/>
                                <w:right w:val="none" w:sz="0" w:space="0" w:color="auto"/>
                              </w:divBdr>
                              <w:divsChild>
                                <w:div w:id="1841387918">
                                  <w:marLeft w:val="0"/>
                                  <w:marRight w:val="0"/>
                                  <w:marTop w:val="0"/>
                                  <w:marBottom w:val="0"/>
                                  <w:divBdr>
                                    <w:top w:val="none" w:sz="0" w:space="0" w:color="auto"/>
                                    <w:left w:val="none" w:sz="0" w:space="0" w:color="auto"/>
                                    <w:bottom w:val="none" w:sz="0" w:space="0" w:color="auto"/>
                                    <w:right w:val="none" w:sz="0" w:space="0" w:color="auto"/>
                                  </w:divBdr>
                                  <w:divsChild>
                                    <w:div w:id="1841387967">
                                      <w:marLeft w:val="0"/>
                                      <w:marRight w:val="0"/>
                                      <w:marTop w:val="0"/>
                                      <w:marBottom w:val="0"/>
                                      <w:divBdr>
                                        <w:top w:val="none" w:sz="0" w:space="0" w:color="auto"/>
                                        <w:left w:val="none" w:sz="0" w:space="0" w:color="auto"/>
                                        <w:bottom w:val="none" w:sz="0" w:space="0" w:color="auto"/>
                                        <w:right w:val="none" w:sz="0" w:space="0" w:color="auto"/>
                                      </w:divBdr>
                                      <w:divsChild>
                                        <w:div w:id="18413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387873">
      <w:marLeft w:val="0"/>
      <w:marRight w:val="0"/>
      <w:marTop w:val="0"/>
      <w:marBottom w:val="0"/>
      <w:divBdr>
        <w:top w:val="none" w:sz="0" w:space="0" w:color="auto"/>
        <w:left w:val="none" w:sz="0" w:space="0" w:color="auto"/>
        <w:bottom w:val="none" w:sz="0" w:space="0" w:color="auto"/>
        <w:right w:val="none" w:sz="0" w:space="0" w:color="auto"/>
      </w:divBdr>
      <w:divsChild>
        <w:div w:id="1841387891">
          <w:marLeft w:val="547"/>
          <w:marRight w:val="0"/>
          <w:marTop w:val="106"/>
          <w:marBottom w:val="0"/>
          <w:divBdr>
            <w:top w:val="none" w:sz="0" w:space="0" w:color="auto"/>
            <w:left w:val="none" w:sz="0" w:space="0" w:color="auto"/>
            <w:bottom w:val="none" w:sz="0" w:space="0" w:color="auto"/>
            <w:right w:val="none" w:sz="0" w:space="0" w:color="auto"/>
          </w:divBdr>
        </w:div>
        <w:div w:id="1841387926">
          <w:marLeft w:val="547"/>
          <w:marRight w:val="0"/>
          <w:marTop w:val="106"/>
          <w:marBottom w:val="0"/>
          <w:divBdr>
            <w:top w:val="none" w:sz="0" w:space="0" w:color="auto"/>
            <w:left w:val="none" w:sz="0" w:space="0" w:color="auto"/>
            <w:bottom w:val="none" w:sz="0" w:space="0" w:color="auto"/>
            <w:right w:val="none" w:sz="0" w:space="0" w:color="auto"/>
          </w:divBdr>
        </w:div>
        <w:div w:id="1841387939">
          <w:marLeft w:val="547"/>
          <w:marRight w:val="0"/>
          <w:marTop w:val="106"/>
          <w:marBottom w:val="0"/>
          <w:divBdr>
            <w:top w:val="none" w:sz="0" w:space="0" w:color="auto"/>
            <w:left w:val="none" w:sz="0" w:space="0" w:color="auto"/>
            <w:bottom w:val="none" w:sz="0" w:space="0" w:color="auto"/>
            <w:right w:val="none" w:sz="0" w:space="0" w:color="auto"/>
          </w:divBdr>
        </w:div>
        <w:div w:id="1841387943">
          <w:marLeft w:val="547"/>
          <w:marRight w:val="0"/>
          <w:marTop w:val="106"/>
          <w:marBottom w:val="0"/>
          <w:divBdr>
            <w:top w:val="none" w:sz="0" w:space="0" w:color="auto"/>
            <w:left w:val="none" w:sz="0" w:space="0" w:color="auto"/>
            <w:bottom w:val="none" w:sz="0" w:space="0" w:color="auto"/>
            <w:right w:val="none" w:sz="0" w:space="0" w:color="auto"/>
          </w:divBdr>
        </w:div>
        <w:div w:id="1841387963">
          <w:marLeft w:val="547"/>
          <w:marRight w:val="0"/>
          <w:marTop w:val="106"/>
          <w:marBottom w:val="0"/>
          <w:divBdr>
            <w:top w:val="none" w:sz="0" w:space="0" w:color="auto"/>
            <w:left w:val="none" w:sz="0" w:space="0" w:color="auto"/>
            <w:bottom w:val="none" w:sz="0" w:space="0" w:color="auto"/>
            <w:right w:val="none" w:sz="0" w:space="0" w:color="auto"/>
          </w:divBdr>
        </w:div>
        <w:div w:id="1841387977">
          <w:marLeft w:val="547"/>
          <w:marRight w:val="0"/>
          <w:marTop w:val="106"/>
          <w:marBottom w:val="0"/>
          <w:divBdr>
            <w:top w:val="none" w:sz="0" w:space="0" w:color="auto"/>
            <w:left w:val="none" w:sz="0" w:space="0" w:color="auto"/>
            <w:bottom w:val="none" w:sz="0" w:space="0" w:color="auto"/>
            <w:right w:val="none" w:sz="0" w:space="0" w:color="auto"/>
          </w:divBdr>
        </w:div>
        <w:div w:id="1841387978">
          <w:marLeft w:val="547"/>
          <w:marRight w:val="0"/>
          <w:marTop w:val="106"/>
          <w:marBottom w:val="0"/>
          <w:divBdr>
            <w:top w:val="none" w:sz="0" w:space="0" w:color="auto"/>
            <w:left w:val="none" w:sz="0" w:space="0" w:color="auto"/>
            <w:bottom w:val="none" w:sz="0" w:space="0" w:color="auto"/>
            <w:right w:val="none" w:sz="0" w:space="0" w:color="auto"/>
          </w:divBdr>
        </w:div>
      </w:divsChild>
    </w:div>
    <w:div w:id="1841387879">
      <w:marLeft w:val="0"/>
      <w:marRight w:val="0"/>
      <w:marTop w:val="0"/>
      <w:marBottom w:val="0"/>
      <w:divBdr>
        <w:top w:val="none" w:sz="0" w:space="0" w:color="auto"/>
        <w:left w:val="none" w:sz="0" w:space="0" w:color="auto"/>
        <w:bottom w:val="none" w:sz="0" w:space="0" w:color="auto"/>
        <w:right w:val="none" w:sz="0" w:space="0" w:color="auto"/>
      </w:divBdr>
      <w:divsChild>
        <w:div w:id="1841387866">
          <w:marLeft w:val="547"/>
          <w:marRight w:val="0"/>
          <w:marTop w:val="96"/>
          <w:marBottom w:val="0"/>
          <w:divBdr>
            <w:top w:val="none" w:sz="0" w:space="0" w:color="auto"/>
            <w:left w:val="none" w:sz="0" w:space="0" w:color="auto"/>
            <w:bottom w:val="none" w:sz="0" w:space="0" w:color="auto"/>
            <w:right w:val="none" w:sz="0" w:space="0" w:color="auto"/>
          </w:divBdr>
        </w:div>
        <w:div w:id="1841387869">
          <w:marLeft w:val="547"/>
          <w:marRight w:val="0"/>
          <w:marTop w:val="96"/>
          <w:marBottom w:val="0"/>
          <w:divBdr>
            <w:top w:val="none" w:sz="0" w:space="0" w:color="auto"/>
            <w:left w:val="none" w:sz="0" w:space="0" w:color="auto"/>
            <w:bottom w:val="none" w:sz="0" w:space="0" w:color="auto"/>
            <w:right w:val="none" w:sz="0" w:space="0" w:color="auto"/>
          </w:divBdr>
        </w:div>
        <w:div w:id="1841387899">
          <w:marLeft w:val="547"/>
          <w:marRight w:val="0"/>
          <w:marTop w:val="96"/>
          <w:marBottom w:val="0"/>
          <w:divBdr>
            <w:top w:val="none" w:sz="0" w:space="0" w:color="auto"/>
            <w:left w:val="none" w:sz="0" w:space="0" w:color="auto"/>
            <w:bottom w:val="none" w:sz="0" w:space="0" w:color="auto"/>
            <w:right w:val="none" w:sz="0" w:space="0" w:color="auto"/>
          </w:divBdr>
        </w:div>
        <w:div w:id="1841387919">
          <w:marLeft w:val="547"/>
          <w:marRight w:val="0"/>
          <w:marTop w:val="96"/>
          <w:marBottom w:val="0"/>
          <w:divBdr>
            <w:top w:val="none" w:sz="0" w:space="0" w:color="auto"/>
            <w:left w:val="none" w:sz="0" w:space="0" w:color="auto"/>
            <w:bottom w:val="none" w:sz="0" w:space="0" w:color="auto"/>
            <w:right w:val="none" w:sz="0" w:space="0" w:color="auto"/>
          </w:divBdr>
        </w:div>
        <w:div w:id="1841387941">
          <w:marLeft w:val="547"/>
          <w:marRight w:val="0"/>
          <w:marTop w:val="96"/>
          <w:marBottom w:val="0"/>
          <w:divBdr>
            <w:top w:val="none" w:sz="0" w:space="0" w:color="auto"/>
            <w:left w:val="none" w:sz="0" w:space="0" w:color="auto"/>
            <w:bottom w:val="none" w:sz="0" w:space="0" w:color="auto"/>
            <w:right w:val="none" w:sz="0" w:space="0" w:color="auto"/>
          </w:divBdr>
        </w:div>
        <w:div w:id="1841387957">
          <w:marLeft w:val="547"/>
          <w:marRight w:val="0"/>
          <w:marTop w:val="96"/>
          <w:marBottom w:val="0"/>
          <w:divBdr>
            <w:top w:val="none" w:sz="0" w:space="0" w:color="auto"/>
            <w:left w:val="none" w:sz="0" w:space="0" w:color="auto"/>
            <w:bottom w:val="none" w:sz="0" w:space="0" w:color="auto"/>
            <w:right w:val="none" w:sz="0" w:space="0" w:color="auto"/>
          </w:divBdr>
        </w:div>
        <w:div w:id="1841387966">
          <w:marLeft w:val="547"/>
          <w:marRight w:val="0"/>
          <w:marTop w:val="96"/>
          <w:marBottom w:val="0"/>
          <w:divBdr>
            <w:top w:val="none" w:sz="0" w:space="0" w:color="auto"/>
            <w:left w:val="none" w:sz="0" w:space="0" w:color="auto"/>
            <w:bottom w:val="none" w:sz="0" w:space="0" w:color="auto"/>
            <w:right w:val="none" w:sz="0" w:space="0" w:color="auto"/>
          </w:divBdr>
        </w:div>
        <w:div w:id="1841387975">
          <w:marLeft w:val="547"/>
          <w:marRight w:val="0"/>
          <w:marTop w:val="96"/>
          <w:marBottom w:val="0"/>
          <w:divBdr>
            <w:top w:val="none" w:sz="0" w:space="0" w:color="auto"/>
            <w:left w:val="none" w:sz="0" w:space="0" w:color="auto"/>
            <w:bottom w:val="none" w:sz="0" w:space="0" w:color="auto"/>
            <w:right w:val="none" w:sz="0" w:space="0" w:color="auto"/>
          </w:divBdr>
        </w:div>
      </w:divsChild>
    </w:div>
    <w:div w:id="1841387880">
      <w:marLeft w:val="0"/>
      <w:marRight w:val="0"/>
      <w:marTop w:val="0"/>
      <w:marBottom w:val="0"/>
      <w:divBdr>
        <w:top w:val="none" w:sz="0" w:space="0" w:color="auto"/>
        <w:left w:val="none" w:sz="0" w:space="0" w:color="auto"/>
        <w:bottom w:val="none" w:sz="0" w:space="0" w:color="auto"/>
        <w:right w:val="none" w:sz="0" w:space="0" w:color="auto"/>
      </w:divBdr>
      <w:divsChild>
        <w:div w:id="1841387896">
          <w:marLeft w:val="1166"/>
          <w:marRight w:val="0"/>
          <w:marTop w:val="72"/>
          <w:marBottom w:val="0"/>
          <w:divBdr>
            <w:top w:val="none" w:sz="0" w:space="0" w:color="auto"/>
            <w:left w:val="none" w:sz="0" w:space="0" w:color="auto"/>
            <w:bottom w:val="none" w:sz="0" w:space="0" w:color="auto"/>
            <w:right w:val="none" w:sz="0" w:space="0" w:color="auto"/>
          </w:divBdr>
        </w:div>
        <w:div w:id="1841387913">
          <w:marLeft w:val="1166"/>
          <w:marRight w:val="0"/>
          <w:marTop w:val="72"/>
          <w:marBottom w:val="0"/>
          <w:divBdr>
            <w:top w:val="none" w:sz="0" w:space="0" w:color="auto"/>
            <w:left w:val="none" w:sz="0" w:space="0" w:color="auto"/>
            <w:bottom w:val="none" w:sz="0" w:space="0" w:color="auto"/>
            <w:right w:val="none" w:sz="0" w:space="0" w:color="auto"/>
          </w:divBdr>
        </w:div>
        <w:div w:id="1841387925">
          <w:marLeft w:val="1166"/>
          <w:marRight w:val="0"/>
          <w:marTop w:val="72"/>
          <w:marBottom w:val="0"/>
          <w:divBdr>
            <w:top w:val="none" w:sz="0" w:space="0" w:color="auto"/>
            <w:left w:val="none" w:sz="0" w:space="0" w:color="auto"/>
            <w:bottom w:val="none" w:sz="0" w:space="0" w:color="auto"/>
            <w:right w:val="none" w:sz="0" w:space="0" w:color="auto"/>
          </w:divBdr>
        </w:div>
        <w:div w:id="1841387927">
          <w:marLeft w:val="547"/>
          <w:marRight w:val="0"/>
          <w:marTop w:val="86"/>
          <w:marBottom w:val="0"/>
          <w:divBdr>
            <w:top w:val="none" w:sz="0" w:space="0" w:color="auto"/>
            <w:left w:val="none" w:sz="0" w:space="0" w:color="auto"/>
            <w:bottom w:val="none" w:sz="0" w:space="0" w:color="auto"/>
            <w:right w:val="none" w:sz="0" w:space="0" w:color="auto"/>
          </w:divBdr>
        </w:div>
        <w:div w:id="1841387938">
          <w:marLeft w:val="1166"/>
          <w:marRight w:val="0"/>
          <w:marTop w:val="72"/>
          <w:marBottom w:val="0"/>
          <w:divBdr>
            <w:top w:val="none" w:sz="0" w:space="0" w:color="auto"/>
            <w:left w:val="none" w:sz="0" w:space="0" w:color="auto"/>
            <w:bottom w:val="none" w:sz="0" w:space="0" w:color="auto"/>
            <w:right w:val="none" w:sz="0" w:space="0" w:color="auto"/>
          </w:divBdr>
        </w:div>
        <w:div w:id="1841387945">
          <w:marLeft w:val="547"/>
          <w:marRight w:val="0"/>
          <w:marTop w:val="86"/>
          <w:marBottom w:val="0"/>
          <w:divBdr>
            <w:top w:val="none" w:sz="0" w:space="0" w:color="auto"/>
            <w:left w:val="none" w:sz="0" w:space="0" w:color="auto"/>
            <w:bottom w:val="none" w:sz="0" w:space="0" w:color="auto"/>
            <w:right w:val="none" w:sz="0" w:space="0" w:color="auto"/>
          </w:divBdr>
        </w:div>
        <w:div w:id="1841387946">
          <w:marLeft w:val="1166"/>
          <w:marRight w:val="0"/>
          <w:marTop w:val="72"/>
          <w:marBottom w:val="0"/>
          <w:divBdr>
            <w:top w:val="none" w:sz="0" w:space="0" w:color="auto"/>
            <w:left w:val="none" w:sz="0" w:space="0" w:color="auto"/>
            <w:bottom w:val="none" w:sz="0" w:space="0" w:color="auto"/>
            <w:right w:val="none" w:sz="0" w:space="0" w:color="auto"/>
          </w:divBdr>
        </w:div>
        <w:div w:id="1841387952">
          <w:marLeft w:val="1166"/>
          <w:marRight w:val="0"/>
          <w:marTop w:val="72"/>
          <w:marBottom w:val="0"/>
          <w:divBdr>
            <w:top w:val="none" w:sz="0" w:space="0" w:color="auto"/>
            <w:left w:val="none" w:sz="0" w:space="0" w:color="auto"/>
            <w:bottom w:val="none" w:sz="0" w:space="0" w:color="auto"/>
            <w:right w:val="none" w:sz="0" w:space="0" w:color="auto"/>
          </w:divBdr>
        </w:div>
        <w:div w:id="1841387960">
          <w:marLeft w:val="1166"/>
          <w:marRight w:val="0"/>
          <w:marTop w:val="72"/>
          <w:marBottom w:val="0"/>
          <w:divBdr>
            <w:top w:val="none" w:sz="0" w:space="0" w:color="auto"/>
            <w:left w:val="none" w:sz="0" w:space="0" w:color="auto"/>
            <w:bottom w:val="none" w:sz="0" w:space="0" w:color="auto"/>
            <w:right w:val="none" w:sz="0" w:space="0" w:color="auto"/>
          </w:divBdr>
        </w:div>
        <w:div w:id="1841387962">
          <w:marLeft w:val="1166"/>
          <w:marRight w:val="0"/>
          <w:marTop w:val="72"/>
          <w:marBottom w:val="0"/>
          <w:divBdr>
            <w:top w:val="none" w:sz="0" w:space="0" w:color="auto"/>
            <w:left w:val="none" w:sz="0" w:space="0" w:color="auto"/>
            <w:bottom w:val="none" w:sz="0" w:space="0" w:color="auto"/>
            <w:right w:val="none" w:sz="0" w:space="0" w:color="auto"/>
          </w:divBdr>
        </w:div>
        <w:div w:id="1841387964">
          <w:marLeft w:val="1166"/>
          <w:marRight w:val="0"/>
          <w:marTop w:val="72"/>
          <w:marBottom w:val="0"/>
          <w:divBdr>
            <w:top w:val="none" w:sz="0" w:space="0" w:color="auto"/>
            <w:left w:val="none" w:sz="0" w:space="0" w:color="auto"/>
            <w:bottom w:val="none" w:sz="0" w:space="0" w:color="auto"/>
            <w:right w:val="none" w:sz="0" w:space="0" w:color="auto"/>
          </w:divBdr>
        </w:div>
        <w:div w:id="1841387971">
          <w:marLeft w:val="1166"/>
          <w:marRight w:val="0"/>
          <w:marTop w:val="72"/>
          <w:marBottom w:val="0"/>
          <w:divBdr>
            <w:top w:val="none" w:sz="0" w:space="0" w:color="auto"/>
            <w:left w:val="none" w:sz="0" w:space="0" w:color="auto"/>
            <w:bottom w:val="none" w:sz="0" w:space="0" w:color="auto"/>
            <w:right w:val="none" w:sz="0" w:space="0" w:color="auto"/>
          </w:divBdr>
        </w:div>
        <w:div w:id="1841387980">
          <w:marLeft w:val="547"/>
          <w:marRight w:val="0"/>
          <w:marTop w:val="86"/>
          <w:marBottom w:val="0"/>
          <w:divBdr>
            <w:top w:val="none" w:sz="0" w:space="0" w:color="auto"/>
            <w:left w:val="none" w:sz="0" w:space="0" w:color="auto"/>
            <w:bottom w:val="none" w:sz="0" w:space="0" w:color="auto"/>
            <w:right w:val="none" w:sz="0" w:space="0" w:color="auto"/>
          </w:divBdr>
        </w:div>
      </w:divsChild>
    </w:div>
    <w:div w:id="1841387885">
      <w:marLeft w:val="0"/>
      <w:marRight w:val="0"/>
      <w:marTop w:val="0"/>
      <w:marBottom w:val="0"/>
      <w:divBdr>
        <w:top w:val="none" w:sz="0" w:space="0" w:color="auto"/>
        <w:left w:val="none" w:sz="0" w:space="0" w:color="auto"/>
        <w:bottom w:val="none" w:sz="0" w:space="0" w:color="auto"/>
        <w:right w:val="none" w:sz="0" w:space="0" w:color="auto"/>
      </w:divBdr>
    </w:div>
    <w:div w:id="1841387888">
      <w:marLeft w:val="0"/>
      <w:marRight w:val="0"/>
      <w:marTop w:val="0"/>
      <w:marBottom w:val="0"/>
      <w:divBdr>
        <w:top w:val="none" w:sz="0" w:space="0" w:color="auto"/>
        <w:left w:val="none" w:sz="0" w:space="0" w:color="auto"/>
        <w:bottom w:val="none" w:sz="0" w:space="0" w:color="auto"/>
        <w:right w:val="none" w:sz="0" w:space="0" w:color="auto"/>
      </w:divBdr>
    </w:div>
    <w:div w:id="1841387902">
      <w:marLeft w:val="0"/>
      <w:marRight w:val="0"/>
      <w:marTop w:val="0"/>
      <w:marBottom w:val="0"/>
      <w:divBdr>
        <w:top w:val="none" w:sz="0" w:space="0" w:color="auto"/>
        <w:left w:val="none" w:sz="0" w:space="0" w:color="auto"/>
        <w:bottom w:val="none" w:sz="0" w:space="0" w:color="auto"/>
        <w:right w:val="none" w:sz="0" w:space="0" w:color="auto"/>
      </w:divBdr>
    </w:div>
    <w:div w:id="1841387907">
      <w:marLeft w:val="0"/>
      <w:marRight w:val="0"/>
      <w:marTop w:val="0"/>
      <w:marBottom w:val="0"/>
      <w:divBdr>
        <w:top w:val="none" w:sz="0" w:space="0" w:color="auto"/>
        <w:left w:val="none" w:sz="0" w:space="0" w:color="auto"/>
        <w:bottom w:val="none" w:sz="0" w:space="0" w:color="auto"/>
        <w:right w:val="none" w:sz="0" w:space="0" w:color="auto"/>
      </w:divBdr>
    </w:div>
    <w:div w:id="1841387908">
      <w:marLeft w:val="0"/>
      <w:marRight w:val="0"/>
      <w:marTop w:val="0"/>
      <w:marBottom w:val="0"/>
      <w:divBdr>
        <w:top w:val="none" w:sz="0" w:space="0" w:color="auto"/>
        <w:left w:val="none" w:sz="0" w:space="0" w:color="auto"/>
        <w:bottom w:val="none" w:sz="0" w:space="0" w:color="auto"/>
        <w:right w:val="none" w:sz="0" w:space="0" w:color="auto"/>
      </w:divBdr>
      <w:divsChild>
        <w:div w:id="1841387871">
          <w:marLeft w:val="0"/>
          <w:marRight w:val="0"/>
          <w:marTop w:val="0"/>
          <w:marBottom w:val="0"/>
          <w:divBdr>
            <w:top w:val="none" w:sz="0" w:space="0" w:color="auto"/>
            <w:left w:val="none" w:sz="0" w:space="0" w:color="auto"/>
            <w:bottom w:val="none" w:sz="0" w:space="0" w:color="auto"/>
            <w:right w:val="none" w:sz="0" w:space="0" w:color="auto"/>
          </w:divBdr>
        </w:div>
      </w:divsChild>
    </w:div>
    <w:div w:id="1841387909">
      <w:marLeft w:val="0"/>
      <w:marRight w:val="0"/>
      <w:marTop w:val="0"/>
      <w:marBottom w:val="0"/>
      <w:divBdr>
        <w:top w:val="none" w:sz="0" w:space="0" w:color="auto"/>
        <w:left w:val="none" w:sz="0" w:space="0" w:color="auto"/>
        <w:bottom w:val="none" w:sz="0" w:space="0" w:color="auto"/>
        <w:right w:val="none" w:sz="0" w:space="0" w:color="auto"/>
      </w:divBdr>
      <w:divsChild>
        <w:div w:id="1841387876">
          <w:marLeft w:val="1166"/>
          <w:marRight w:val="0"/>
          <w:marTop w:val="86"/>
          <w:marBottom w:val="0"/>
          <w:divBdr>
            <w:top w:val="none" w:sz="0" w:space="0" w:color="auto"/>
            <w:left w:val="none" w:sz="0" w:space="0" w:color="auto"/>
            <w:bottom w:val="none" w:sz="0" w:space="0" w:color="auto"/>
            <w:right w:val="none" w:sz="0" w:space="0" w:color="auto"/>
          </w:divBdr>
        </w:div>
        <w:div w:id="1841387901">
          <w:marLeft w:val="1166"/>
          <w:marRight w:val="0"/>
          <w:marTop w:val="86"/>
          <w:marBottom w:val="0"/>
          <w:divBdr>
            <w:top w:val="none" w:sz="0" w:space="0" w:color="auto"/>
            <w:left w:val="none" w:sz="0" w:space="0" w:color="auto"/>
            <w:bottom w:val="none" w:sz="0" w:space="0" w:color="auto"/>
            <w:right w:val="none" w:sz="0" w:space="0" w:color="auto"/>
          </w:divBdr>
        </w:div>
        <w:div w:id="1841387914">
          <w:marLeft w:val="1166"/>
          <w:marRight w:val="0"/>
          <w:marTop w:val="86"/>
          <w:marBottom w:val="0"/>
          <w:divBdr>
            <w:top w:val="none" w:sz="0" w:space="0" w:color="auto"/>
            <w:left w:val="none" w:sz="0" w:space="0" w:color="auto"/>
            <w:bottom w:val="none" w:sz="0" w:space="0" w:color="auto"/>
            <w:right w:val="none" w:sz="0" w:space="0" w:color="auto"/>
          </w:divBdr>
        </w:div>
        <w:div w:id="1841387924">
          <w:marLeft w:val="1166"/>
          <w:marRight w:val="0"/>
          <w:marTop w:val="86"/>
          <w:marBottom w:val="0"/>
          <w:divBdr>
            <w:top w:val="none" w:sz="0" w:space="0" w:color="auto"/>
            <w:left w:val="none" w:sz="0" w:space="0" w:color="auto"/>
            <w:bottom w:val="none" w:sz="0" w:space="0" w:color="auto"/>
            <w:right w:val="none" w:sz="0" w:space="0" w:color="auto"/>
          </w:divBdr>
        </w:div>
        <w:div w:id="1841387935">
          <w:marLeft w:val="1166"/>
          <w:marRight w:val="0"/>
          <w:marTop w:val="86"/>
          <w:marBottom w:val="0"/>
          <w:divBdr>
            <w:top w:val="none" w:sz="0" w:space="0" w:color="auto"/>
            <w:left w:val="none" w:sz="0" w:space="0" w:color="auto"/>
            <w:bottom w:val="none" w:sz="0" w:space="0" w:color="auto"/>
            <w:right w:val="none" w:sz="0" w:space="0" w:color="auto"/>
          </w:divBdr>
        </w:div>
        <w:div w:id="1841387947">
          <w:marLeft w:val="547"/>
          <w:marRight w:val="0"/>
          <w:marTop w:val="96"/>
          <w:marBottom w:val="0"/>
          <w:divBdr>
            <w:top w:val="none" w:sz="0" w:space="0" w:color="auto"/>
            <w:left w:val="none" w:sz="0" w:space="0" w:color="auto"/>
            <w:bottom w:val="none" w:sz="0" w:space="0" w:color="auto"/>
            <w:right w:val="none" w:sz="0" w:space="0" w:color="auto"/>
          </w:divBdr>
        </w:div>
        <w:div w:id="1841387961">
          <w:marLeft w:val="1166"/>
          <w:marRight w:val="0"/>
          <w:marTop w:val="86"/>
          <w:marBottom w:val="0"/>
          <w:divBdr>
            <w:top w:val="none" w:sz="0" w:space="0" w:color="auto"/>
            <w:left w:val="none" w:sz="0" w:space="0" w:color="auto"/>
            <w:bottom w:val="none" w:sz="0" w:space="0" w:color="auto"/>
            <w:right w:val="none" w:sz="0" w:space="0" w:color="auto"/>
          </w:divBdr>
        </w:div>
        <w:div w:id="1841387965">
          <w:marLeft w:val="547"/>
          <w:marRight w:val="0"/>
          <w:marTop w:val="96"/>
          <w:marBottom w:val="0"/>
          <w:divBdr>
            <w:top w:val="none" w:sz="0" w:space="0" w:color="auto"/>
            <w:left w:val="none" w:sz="0" w:space="0" w:color="auto"/>
            <w:bottom w:val="none" w:sz="0" w:space="0" w:color="auto"/>
            <w:right w:val="none" w:sz="0" w:space="0" w:color="auto"/>
          </w:divBdr>
        </w:div>
        <w:div w:id="1841387985">
          <w:marLeft w:val="547"/>
          <w:marRight w:val="0"/>
          <w:marTop w:val="96"/>
          <w:marBottom w:val="0"/>
          <w:divBdr>
            <w:top w:val="none" w:sz="0" w:space="0" w:color="auto"/>
            <w:left w:val="none" w:sz="0" w:space="0" w:color="auto"/>
            <w:bottom w:val="none" w:sz="0" w:space="0" w:color="auto"/>
            <w:right w:val="none" w:sz="0" w:space="0" w:color="auto"/>
          </w:divBdr>
        </w:div>
      </w:divsChild>
    </w:div>
    <w:div w:id="1841387915">
      <w:marLeft w:val="0"/>
      <w:marRight w:val="0"/>
      <w:marTop w:val="0"/>
      <w:marBottom w:val="0"/>
      <w:divBdr>
        <w:top w:val="none" w:sz="0" w:space="0" w:color="auto"/>
        <w:left w:val="none" w:sz="0" w:space="0" w:color="auto"/>
        <w:bottom w:val="none" w:sz="0" w:space="0" w:color="auto"/>
        <w:right w:val="none" w:sz="0" w:space="0" w:color="auto"/>
      </w:divBdr>
    </w:div>
    <w:div w:id="1841387920">
      <w:marLeft w:val="0"/>
      <w:marRight w:val="0"/>
      <w:marTop w:val="0"/>
      <w:marBottom w:val="0"/>
      <w:divBdr>
        <w:top w:val="none" w:sz="0" w:space="0" w:color="auto"/>
        <w:left w:val="none" w:sz="0" w:space="0" w:color="auto"/>
        <w:bottom w:val="none" w:sz="0" w:space="0" w:color="auto"/>
        <w:right w:val="none" w:sz="0" w:space="0" w:color="auto"/>
      </w:divBdr>
    </w:div>
    <w:div w:id="1841387922">
      <w:marLeft w:val="0"/>
      <w:marRight w:val="0"/>
      <w:marTop w:val="0"/>
      <w:marBottom w:val="0"/>
      <w:divBdr>
        <w:top w:val="none" w:sz="0" w:space="0" w:color="auto"/>
        <w:left w:val="none" w:sz="0" w:space="0" w:color="auto"/>
        <w:bottom w:val="none" w:sz="0" w:space="0" w:color="auto"/>
        <w:right w:val="none" w:sz="0" w:space="0" w:color="auto"/>
      </w:divBdr>
      <w:divsChild>
        <w:div w:id="1841387883">
          <w:marLeft w:val="1166"/>
          <w:marRight w:val="0"/>
          <w:marTop w:val="96"/>
          <w:marBottom w:val="0"/>
          <w:divBdr>
            <w:top w:val="none" w:sz="0" w:space="0" w:color="auto"/>
            <w:left w:val="none" w:sz="0" w:space="0" w:color="auto"/>
            <w:bottom w:val="none" w:sz="0" w:space="0" w:color="auto"/>
            <w:right w:val="none" w:sz="0" w:space="0" w:color="auto"/>
          </w:divBdr>
        </w:div>
        <w:div w:id="1841387887">
          <w:marLeft w:val="1166"/>
          <w:marRight w:val="0"/>
          <w:marTop w:val="96"/>
          <w:marBottom w:val="0"/>
          <w:divBdr>
            <w:top w:val="none" w:sz="0" w:space="0" w:color="auto"/>
            <w:left w:val="none" w:sz="0" w:space="0" w:color="auto"/>
            <w:bottom w:val="none" w:sz="0" w:space="0" w:color="auto"/>
            <w:right w:val="none" w:sz="0" w:space="0" w:color="auto"/>
          </w:divBdr>
        </w:div>
        <w:div w:id="1841387889">
          <w:marLeft w:val="1166"/>
          <w:marRight w:val="0"/>
          <w:marTop w:val="96"/>
          <w:marBottom w:val="0"/>
          <w:divBdr>
            <w:top w:val="none" w:sz="0" w:space="0" w:color="auto"/>
            <w:left w:val="none" w:sz="0" w:space="0" w:color="auto"/>
            <w:bottom w:val="none" w:sz="0" w:space="0" w:color="auto"/>
            <w:right w:val="none" w:sz="0" w:space="0" w:color="auto"/>
          </w:divBdr>
        </w:div>
        <w:div w:id="1841387894">
          <w:marLeft w:val="547"/>
          <w:marRight w:val="0"/>
          <w:marTop w:val="106"/>
          <w:marBottom w:val="0"/>
          <w:divBdr>
            <w:top w:val="none" w:sz="0" w:space="0" w:color="auto"/>
            <w:left w:val="none" w:sz="0" w:space="0" w:color="auto"/>
            <w:bottom w:val="none" w:sz="0" w:space="0" w:color="auto"/>
            <w:right w:val="none" w:sz="0" w:space="0" w:color="auto"/>
          </w:divBdr>
        </w:div>
        <w:div w:id="1841387906">
          <w:marLeft w:val="547"/>
          <w:marRight w:val="0"/>
          <w:marTop w:val="106"/>
          <w:marBottom w:val="0"/>
          <w:divBdr>
            <w:top w:val="none" w:sz="0" w:space="0" w:color="auto"/>
            <w:left w:val="none" w:sz="0" w:space="0" w:color="auto"/>
            <w:bottom w:val="none" w:sz="0" w:space="0" w:color="auto"/>
            <w:right w:val="none" w:sz="0" w:space="0" w:color="auto"/>
          </w:divBdr>
        </w:div>
        <w:div w:id="1841387917">
          <w:marLeft w:val="1166"/>
          <w:marRight w:val="0"/>
          <w:marTop w:val="96"/>
          <w:marBottom w:val="0"/>
          <w:divBdr>
            <w:top w:val="none" w:sz="0" w:space="0" w:color="auto"/>
            <w:left w:val="none" w:sz="0" w:space="0" w:color="auto"/>
            <w:bottom w:val="none" w:sz="0" w:space="0" w:color="auto"/>
            <w:right w:val="none" w:sz="0" w:space="0" w:color="auto"/>
          </w:divBdr>
        </w:div>
        <w:div w:id="1841387923">
          <w:marLeft w:val="1166"/>
          <w:marRight w:val="0"/>
          <w:marTop w:val="96"/>
          <w:marBottom w:val="0"/>
          <w:divBdr>
            <w:top w:val="none" w:sz="0" w:space="0" w:color="auto"/>
            <w:left w:val="none" w:sz="0" w:space="0" w:color="auto"/>
            <w:bottom w:val="none" w:sz="0" w:space="0" w:color="auto"/>
            <w:right w:val="none" w:sz="0" w:space="0" w:color="auto"/>
          </w:divBdr>
        </w:div>
        <w:div w:id="1841387930">
          <w:marLeft w:val="547"/>
          <w:marRight w:val="0"/>
          <w:marTop w:val="106"/>
          <w:marBottom w:val="0"/>
          <w:divBdr>
            <w:top w:val="none" w:sz="0" w:space="0" w:color="auto"/>
            <w:left w:val="none" w:sz="0" w:space="0" w:color="auto"/>
            <w:bottom w:val="none" w:sz="0" w:space="0" w:color="auto"/>
            <w:right w:val="none" w:sz="0" w:space="0" w:color="auto"/>
          </w:divBdr>
        </w:div>
        <w:div w:id="1841387931">
          <w:marLeft w:val="547"/>
          <w:marRight w:val="0"/>
          <w:marTop w:val="106"/>
          <w:marBottom w:val="0"/>
          <w:divBdr>
            <w:top w:val="none" w:sz="0" w:space="0" w:color="auto"/>
            <w:left w:val="none" w:sz="0" w:space="0" w:color="auto"/>
            <w:bottom w:val="none" w:sz="0" w:space="0" w:color="auto"/>
            <w:right w:val="none" w:sz="0" w:space="0" w:color="auto"/>
          </w:divBdr>
        </w:div>
        <w:div w:id="1841387948">
          <w:marLeft w:val="1166"/>
          <w:marRight w:val="0"/>
          <w:marTop w:val="96"/>
          <w:marBottom w:val="0"/>
          <w:divBdr>
            <w:top w:val="none" w:sz="0" w:space="0" w:color="auto"/>
            <w:left w:val="none" w:sz="0" w:space="0" w:color="auto"/>
            <w:bottom w:val="none" w:sz="0" w:space="0" w:color="auto"/>
            <w:right w:val="none" w:sz="0" w:space="0" w:color="auto"/>
          </w:divBdr>
        </w:div>
      </w:divsChild>
    </w:div>
    <w:div w:id="1841387928">
      <w:marLeft w:val="0"/>
      <w:marRight w:val="0"/>
      <w:marTop w:val="0"/>
      <w:marBottom w:val="0"/>
      <w:divBdr>
        <w:top w:val="none" w:sz="0" w:space="0" w:color="auto"/>
        <w:left w:val="none" w:sz="0" w:space="0" w:color="auto"/>
        <w:bottom w:val="none" w:sz="0" w:space="0" w:color="auto"/>
        <w:right w:val="none" w:sz="0" w:space="0" w:color="auto"/>
      </w:divBdr>
      <w:divsChild>
        <w:div w:id="1841387874">
          <w:marLeft w:val="547"/>
          <w:marRight w:val="0"/>
          <w:marTop w:val="115"/>
          <w:marBottom w:val="0"/>
          <w:divBdr>
            <w:top w:val="none" w:sz="0" w:space="0" w:color="auto"/>
            <w:left w:val="none" w:sz="0" w:space="0" w:color="auto"/>
            <w:bottom w:val="none" w:sz="0" w:space="0" w:color="auto"/>
            <w:right w:val="none" w:sz="0" w:space="0" w:color="auto"/>
          </w:divBdr>
        </w:div>
        <w:div w:id="1841387893">
          <w:marLeft w:val="547"/>
          <w:marRight w:val="0"/>
          <w:marTop w:val="115"/>
          <w:marBottom w:val="0"/>
          <w:divBdr>
            <w:top w:val="none" w:sz="0" w:space="0" w:color="auto"/>
            <w:left w:val="none" w:sz="0" w:space="0" w:color="auto"/>
            <w:bottom w:val="none" w:sz="0" w:space="0" w:color="auto"/>
            <w:right w:val="none" w:sz="0" w:space="0" w:color="auto"/>
          </w:divBdr>
        </w:div>
        <w:div w:id="1841387897">
          <w:marLeft w:val="547"/>
          <w:marRight w:val="0"/>
          <w:marTop w:val="115"/>
          <w:marBottom w:val="0"/>
          <w:divBdr>
            <w:top w:val="none" w:sz="0" w:space="0" w:color="auto"/>
            <w:left w:val="none" w:sz="0" w:space="0" w:color="auto"/>
            <w:bottom w:val="none" w:sz="0" w:space="0" w:color="auto"/>
            <w:right w:val="none" w:sz="0" w:space="0" w:color="auto"/>
          </w:divBdr>
        </w:div>
        <w:div w:id="1841387916">
          <w:marLeft w:val="547"/>
          <w:marRight w:val="0"/>
          <w:marTop w:val="115"/>
          <w:marBottom w:val="0"/>
          <w:divBdr>
            <w:top w:val="none" w:sz="0" w:space="0" w:color="auto"/>
            <w:left w:val="none" w:sz="0" w:space="0" w:color="auto"/>
            <w:bottom w:val="none" w:sz="0" w:space="0" w:color="auto"/>
            <w:right w:val="none" w:sz="0" w:space="0" w:color="auto"/>
          </w:divBdr>
        </w:div>
        <w:div w:id="1841387973">
          <w:marLeft w:val="547"/>
          <w:marRight w:val="0"/>
          <w:marTop w:val="115"/>
          <w:marBottom w:val="0"/>
          <w:divBdr>
            <w:top w:val="none" w:sz="0" w:space="0" w:color="auto"/>
            <w:left w:val="none" w:sz="0" w:space="0" w:color="auto"/>
            <w:bottom w:val="none" w:sz="0" w:space="0" w:color="auto"/>
            <w:right w:val="none" w:sz="0" w:space="0" w:color="auto"/>
          </w:divBdr>
        </w:div>
        <w:div w:id="1841387974">
          <w:marLeft w:val="547"/>
          <w:marRight w:val="0"/>
          <w:marTop w:val="115"/>
          <w:marBottom w:val="0"/>
          <w:divBdr>
            <w:top w:val="none" w:sz="0" w:space="0" w:color="auto"/>
            <w:left w:val="none" w:sz="0" w:space="0" w:color="auto"/>
            <w:bottom w:val="none" w:sz="0" w:space="0" w:color="auto"/>
            <w:right w:val="none" w:sz="0" w:space="0" w:color="auto"/>
          </w:divBdr>
        </w:div>
      </w:divsChild>
    </w:div>
    <w:div w:id="1841387929">
      <w:marLeft w:val="0"/>
      <w:marRight w:val="0"/>
      <w:marTop w:val="0"/>
      <w:marBottom w:val="0"/>
      <w:divBdr>
        <w:top w:val="none" w:sz="0" w:space="0" w:color="auto"/>
        <w:left w:val="none" w:sz="0" w:space="0" w:color="auto"/>
        <w:bottom w:val="none" w:sz="0" w:space="0" w:color="auto"/>
        <w:right w:val="none" w:sz="0" w:space="0" w:color="auto"/>
      </w:divBdr>
    </w:div>
    <w:div w:id="1841387933">
      <w:marLeft w:val="0"/>
      <w:marRight w:val="0"/>
      <w:marTop w:val="0"/>
      <w:marBottom w:val="0"/>
      <w:divBdr>
        <w:top w:val="none" w:sz="0" w:space="0" w:color="auto"/>
        <w:left w:val="none" w:sz="0" w:space="0" w:color="auto"/>
        <w:bottom w:val="none" w:sz="0" w:space="0" w:color="auto"/>
        <w:right w:val="none" w:sz="0" w:space="0" w:color="auto"/>
      </w:divBdr>
    </w:div>
    <w:div w:id="1841387936">
      <w:marLeft w:val="0"/>
      <w:marRight w:val="0"/>
      <w:marTop w:val="0"/>
      <w:marBottom w:val="0"/>
      <w:divBdr>
        <w:top w:val="none" w:sz="0" w:space="0" w:color="auto"/>
        <w:left w:val="none" w:sz="0" w:space="0" w:color="auto"/>
        <w:bottom w:val="none" w:sz="0" w:space="0" w:color="auto"/>
        <w:right w:val="none" w:sz="0" w:space="0" w:color="auto"/>
      </w:divBdr>
    </w:div>
    <w:div w:id="1841387942">
      <w:marLeft w:val="0"/>
      <w:marRight w:val="0"/>
      <w:marTop w:val="0"/>
      <w:marBottom w:val="0"/>
      <w:divBdr>
        <w:top w:val="none" w:sz="0" w:space="0" w:color="auto"/>
        <w:left w:val="none" w:sz="0" w:space="0" w:color="auto"/>
        <w:bottom w:val="none" w:sz="0" w:space="0" w:color="auto"/>
        <w:right w:val="none" w:sz="0" w:space="0" w:color="auto"/>
      </w:divBdr>
    </w:div>
    <w:div w:id="1841387949">
      <w:marLeft w:val="0"/>
      <w:marRight w:val="0"/>
      <w:marTop w:val="0"/>
      <w:marBottom w:val="0"/>
      <w:divBdr>
        <w:top w:val="none" w:sz="0" w:space="0" w:color="auto"/>
        <w:left w:val="none" w:sz="0" w:space="0" w:color="auto"/>
        <w:bottom w:val="none" w:sz="0" w:space="0" w:color="auto"/>
        <w:right w:val="none" w:sz="0" w:space="0" w:color="auto"/>
      </w:divBdr>
      <w:divsChild>
        <w:div w:id="1841387903">
          <w:marLeft w:val="547"/>
          <w:marRight w:val="0"/>
          <w:marTop w:val="115"/>
          <w:marBottom w:val="0"/>
          <w:divBdr>
            <w:top w:val="none" w:sz="0" w:space="0" w:color="auto"/>
            <w:left w:val="none" w:sz="0" w:space="0" w:color="auto"/>
            <w:bottom w:val="none" w:sz="0" w:space="0" w:color="auto"/>
            <w:right w:val="none" w:sz="0" w:space="0" w:color="auto"/>
          </w:divBdr>
        </w:div>
        <w:div w:id="1841387912">
          <w:marLeft w:val="547"/>
          <w:marRight w:val="0"/>
          <w:marTop w:val="115"/>
          <w:marBottom w:val="0"/>
          <w:divBdr>
            <w:top w:val="none" w:sz="0" w:space="0" w:color="auto"/>
            <w:left w:val="none" w:sz="0" w:space="0" w:color="auto"/>
            <w:bottom w:val="none" w:sz="0" w:space="0" w:color="auto"/>
            <w:right w:val="none" w:sz="0" w:space="0" w:color="auto"/>
          </w:divBdr>
        </w:div>
        <w:div w:id="1841387937">
          <w:marLeft w:val="547"/>
          <w:marRight w:val="0"/>
          <w:marTop w:val="115"/>
          <w:marBottom w:val="0"/>
          <w:divBdr>
            <w:top w:val="none" w:sz="0" w:space="0" w:color="auto"/>
            <w:left w:val="none" w:sz="0" w:space="0" w:color="auto"/>
            <w:bottom w:val="none" w:sz="0" w:space="0" w:color="auto"/>
            <w:right w:val="none" w:sz="0" w:space="0" w:color="auto"/>
          </w:divBdr>
        </w:div>
        <w:div w:id="1841387968">
          <w:marLeft w:val="547"/>
          <w:marRight w:val="0"/>
          <w:marTop w:val="115"/>
          <w:marBottom w:val="0"/>
          <w:divBdr>
            <w:top w:val="none" w:sz="0" w:space="0" w:color="auto"/>
            <w:left w:val="none" w:sz="0" w:space="0" w:color="auto"/>
            <w:bottom w:val="none" w:sz="0" w:space="0" w:color="auto"/>
            <w:right w:val="none" w:sz="0" w:space="0" w:color="auto"/>
          </w:divBdr>
        </w:div>
        <w:div w:id="1841387979">
          <w:marLeft w:val="547"/>
          <w:marRight w:val="0"/>
          <w:marTop w:val="115"/>
          <w:marBottom w:val="0"/>
          <w:divBdr>
            <w:top w:val="none" w:sz="0" w:space="0" w:color="auto"/>
            <w:left w:val="none" w:sz="0" w:space="0" w:color="auto"/>
            <w:bottom w:val="none" w:sz="0" w:space="0" w:color="auto"/>
            <w:right w:val="none" w:sz="0" w:space="0" w:color="auto"/>
          </w:divBdr>
        </w:div>
        <w:div w:id="1841387981">
          <w:marLeft w:val="547"/>
          <w:marRight w:val="0"/>
          <w:marTop w:val="115"/>
          <w:marBottom w:val="0"/>
          <w:divBdr>
            <w:top w:val="none" w:sz="0" w:space="0" w:color="auto"/>
            <w:left w:val="none" w:sz="0" w:space="0" w:color="auto"/>
            <w:bottom w:val="none" w:sz="0" w:space="0" w:color="auto"/>
            <w:right w:val="none" w:sz="0" w:space="0" w:color="auto"/>
          </w:divBdr>
        </w:div>
      </w:divsChild>
    </w:div>
    <w:div w:id="1841387950">
      <w:marLeft w:val="0"/>
      <w:marRight w:val="0"/>
      <w:marTop w:val="0"/>
      <w:marBottom w:val="0"/>
      <w:divBdr>
        <w:top w:val="none" w:sz="0" w:space="0" w:color="auto"/>
        <w:left w:val="none" w:sz="0" w:space="0" w:color="auto"/>
        <w:bottom w:val="none" w:sz="0" w:space="0" w:color="auto"/>
        <w:right w:val="none" w:sz="0" w:space="0" w:color="auto"/>
      </w:divBdr>
      <w:divsChild>
        <w:div w:id="1841387882">
          <w:marLeft w:val="0"/>
          <w:marRight w:val="0"/>
          <w:marTop w:val="0"/>
          <w:marBottom w:val="0"/>
          <w:divBdr>
            <w:top w:val="none" w:sz="0" w:space="0" w:color="auto"/>
            <w:left w:val="none" w:sz="0" w:space="0" w:color="auto"/>
            <w:bottom w:val="none" w:sz="0" w:space="0" w:color="auto"/>
            <w:right w:val="none" w:sz="0" w:space="0" w:color="auto"/>
          </w:divBdr>
        </w:div>
      </w:divsChild>
    </w:div>
    <w:div w:id="1841387953">
      <w:marLeft w:val="0"/>
      <w:marRight w:val="0"/>
      <w:marTop w:val="0"/>
      <w:marBottom w:val="0"/>
      <w:divBdr>
        <w:top w:val="none" w:sz="0" w:space="0" w:color="auto"/>
        <w:left w:val="none" w:sz="0" w:space="0" w:color="auto"/>
        <w:bottom w:val="none" w:sz="0" w:space="0" w:color="auto"/>
        <w:right w:val="none" w:sz="0" w:space="0" w:color="auto"/>
      </w:divBdr>
    </w:div>
    <w:div w:id="1841387955">
      <w:marLeft w:val="0"/>
      <w:marRight w:val="0"/>
      <w:marTop w:val="0"/>
      <w:marBottom w:val="0"/>
      <w:divBdr>
        <w:top w:val="none" w:sz="0" w:space="0" w:color="auto"/>
        <w:left w:val="none" w:sz="0" w:space="0" w:color="auto"/>
        <w:bottom w:val="none" w:sz="0" w:space="0" w:color="auto"/>
        <w:right w:val="none" w:sz="0" w:space="0" w:color="auto"/>
      </w:divBdr>
      <w:divsChild>
        <w:div w:id="1841387864">
          <w:marLeft w:val="547"/>
          <w:marRight w:val="0"/>
          <w:marTop w:val="0"/>
          <w:marBottom w:val="0"/>
          <w:divBdr>
            <w:top w:val="none" w:sz="0" w:space="0" w:color="auto"/>
            <w:left w:val="none" w:sz="0" w:space="0" w:color="auto"/>
            <w:bottom w:val="none" w:sz="0" w:space="0" w:color="auto"/>
            <w:right w:val="none" w:sz="0" w:space="0" w:color="auto"/>
          </w:divBdr>
        </w:div>
        <w:div w:id="1841387877">
          <w:marLeft w:val="547"/>
          <w:marRight w:val="0"/>
          <w:marTop w:val="0"/>
          <w:marBottom w:val="0"/>
          <w:divBdr>
            <w:top w:val="none" w:sz="0" w:space="0" w:color="auto"/>
            <w:left w:val="none" w:sz="0" w:space="0" w:color="auto"/>
            <w:bottom w:val="none" w:sz="0" w:space="0" w:color="auto"/>
            <w:right w:val="none" w:sz="0" w:space="0" w:color="auto"/>
          </w:divBdr>
        </w:div>
        <w:div w:id="1841387878">
          <w:marLeft w:val="547"/>
          <w:marRight w:val="0"/>
          <w:marTop w:val="0"/>
          <w:marBottom w:val="0"/>
          <w:divBdr>
            <w:top w:val="none" w:sz="0" w:space="0" w:color="auto"/>
            <w:left w:val="none" w:sz="0" w:space="0" w:color="auto"/>
            <w:bottom w:val="none" w:sz="0" w:space="0" w:color="auto"/>
            <w:right w:val="none" w:sz="0" w:space="0" w:color="auto"/>
          </w:divBdr>
        </w:div>
        <w:div w:id="1841387886">
          <w:marLeft w:val="547"/>
          <w:marRight w:val="0"/>
          <w:marTop w:val="0"/>
          <w:marBottom w:val="0"/>
          <w:divBdr>
            <w:top w:val="none" w:sz="0" w:space="0" w:color="auto"/>
            <w:left w:val="none" w:sz="0" w:space="0" w:color="auto"/>
            <w:bottom w:val="none" w:sz="0" w:space="0" w:color="auto"/>
            <w:right w:val="none" w:sz="0" w:space="0" w:color="auto"/>
          </w:divBdr>
        </w:div>
        <w:div w:id="1841387890">
          <w:marLeft w:val="547"/>
          <w:marRight w:val="0"/>
          <w:marTop w:val="0"/>
          <w:marBottom w:val="0"/>
          <w:divBdr>
            <w:top w:val="none" w:sz="0" w:space="0" w:color="auto"/>
            <w:left w:val="none" w:sz="0" w:space="0" w:color="auto"/>
            <w:bottom w:val="none" w:sz="0" w:space="0" w:color="auto"/>
            <w:right w:val="none" w:sz="0" w:space="0" w:color="auto"/>
          </w:divBdr>
        </w:div>
        <w:div w:id="1841387904">
          <w:marLeft w:val="547"/>
          <w:marRight w:val="0"/>
          <w:marTop w:val="0"/>
          <w:marBottom w:val="0"/>
          <w:divBdr>
            <w:top w:val="none" w:sz="0" w:space="0" w:color="auto"/>
            <w:left w:val="none" w:sz="0" w:space="0" w:color="auto"/>
            <w:bottom w:val="none" w:sz="0" w:space="0" w:color="auto"/>
            <w:right w:val="none" w:sz="0" w:space="0" w:color="auto"/>
          </w:divBdr>
        </w:div>
        <w:div w:id="1841387911">
          <w:marLeft w:val="547"/>
          <w:marRight w:val="0"/>
          <w:marTop w:val="0"/>
          <w:marBottom w:val="0"/>
          <w:divBdr>
            <w:top w:val="none" w:sz="0" w:space="0" w:color="auto"/>
            <w:left w:val="none" w:sz="0" w:space="0" w:color="auto"/>
            <w:bottom w:val="none" w:sz="0" w:space="0" w:color="auto"/>
            <w:right w:val="none" w:sz="0" w:space="0" w:color="auto"/>
          </w:divBdr>
        </w:div>
        <w:div w:id="1841387940">
          <w:marLeft w:val="547"/>
          <w:marRight w:val="0"/>
          <w:marTop w:val="0"/>
          <w:marBottom w:val="0"/>
          <w:divBdr>
            <w:top w:val="none" w:sz="0" w:space="0" w:color="auto"/>
            <w:left w:val="none" w:sz="0" w:space="0" w:color="auto"/>
            <w:bottom w:val="none" w:sz="0" w:space="0" w:color="auto"/>
            <w:right w:val="none" w:sz="0" w:space="0" w:color="auto"/>
          </w:divBdr>
        </w:div>
        <w:div w:id="1841387954">
          <w:marLeft w:val="547"/>
          <w:marRight w:val="0"/>
          <w:marTop w:val="0"/>
          <w:marBottom w:val="0"/>
          <w:divBdr>
            <w:top w:val="none" w:sz="0" w:space="0" w:color="auto"/>
            <w:left w:val="none" w:sz="0" w:space="0" w:color="auto"/>
            <w:bottom w:val="none" w:sz="0" w:space="0" w:color="auto"/>
            <w:right w:val="none" w:sz="0" w:space="0" w:color="auto"/>
          </w:divBdr>
        </w:div>
      </w:divsChild>
    </w:div>
    <w:div w:id="1841387956">
      <w:marLeft w:val="0"/>
      <w:marRight w:val="0"/>
      <w:marTop w:val="0"/>
      <w:marBottom w:val="0"/>
      <w:divBdr>
        <w:top w:val="none" w:sz="0" w:space="0" w:color="auto"/>
        <w:left w:val="none" w:sz="0" w:space="0" w:color="auto"/>
        <w:bottom w:val="none" w:sz="0" w:space="0" w:color="auto"/>
        <w:right w:val="none" w:sz="0" w:space="0" w:color="auto"/>
      </w:divBdr>
    </w:div>
    <w:div w:id="1841387969">
      <w:marLeft w:val="0"/>
      <w:marRight w:val="0"/>
      <w:marTop w:val="0"/>
      <w:marBottom w:val="0"/>
      <w:divBdr>
        <w:top w:val="none" w:sz="0" w:space="0" w:color="auto"/>
        <w:left w:val="none" w:sz="0" w:space="0" w:color="auto"/>
        <w:bottom w:val="none" w:sz="0" w:space="0" w:color="auto"/>
        <w:right w:val="none" w:sz="0" w:space="0" w:color="auto"/>
      </w:divBdr>
    </w:div>
    <w:div w:id="1841387972">
      <w:marLeft w:val="0"/>
      <w:marRight w:val="0"/>
      <w:marTop w:val="0"/>
      <w:marBottom w:val="0"/>
      <w:divBdr>
        <w:top w:val="none" w:sz="0" w:space="0" w:color="auto"/>
        <w:left w:val="none" w:sz="0" w:space="0" w:color="auto"/>
        <w:bottom w:val="none" w:sz="0" w:space="0" w:color="auto"/>
        <w:right w:val="none" w:sz="0" w:space="0" w:color="auto"/>
      </w:divBdr>
    </w:div>
    <w:div w:id="1841387976">
      <w:marLeft w:val="0"/>
      <w:marRight w:val="0"/>
      <w:marTop w:val="0"/>
      <w:marBottom w:val="0"/>
      <w:divBdr>
        <w:top w:val="none" w:sz="0" w:space="0" w:color="auto"/>
        <w:left w:val="none" w:sz="0" w:space="0" w:color="auto"/>
        <w:bottom w:val="none" w:sz="0" w:space="0" w:color="auto"/>
        <w:right w:val="none" w:sz="0" w:space="0" w:color="auto"/>
      </w:divBdr>
      <w:divsChild>
        <w:div w:id="1841387959">
          <w:marLeft w:val="0"/>
          <w:marRight w:val="0"/>
          <w:marTop w:val="0"/>
          <w:marBottom w:val="0"/>
          <w:divBdr>
            <w:top w:val="none" w:sz="0" w:space="0" w:color="auto"/>
            <w:left w:val="none" w:sz="0" w:space="0" w:color="auto"/>
            <w:bottom w:val="none" w:sz="0" w:space="0" w:color="auto"/>
            <w:right w:val="none" w:sz="0" w:space="0" w:color="auto"/>
          </w:divBdr>
          <w:divsChild>
            <w:div w:id="1841387881">
              <w:marLeft w:val="0"/>
              <w:marRight w:val="0"/>
              <w:marTop w:val="0"/>
              <w:marBottom w:val="0"/>
              <w:divBdr>
                <w:top w:val="none" w:sz="0" w:space="0" w:color="auto"/>
                <w:left w:val="none" w:sz="0" w:space="0" w:color="auto"/>
                <w:bottom w:val="none" w:sz="0" w:space="0" w:color="auto"/>
                <w:right w:val="none" w:sz="0" w:space="0" w:color="auto"/>
              </w:divBdr>
              <w:divsChild>
                <w:div w:id="1841387875">
                  <w:marLeft w:val="0"/>
                  <w:marRight w:val="0"/>
                  <w:marTop w:val="0"/>
                  <w:marBottom w:val="0"/>
                  <w:divBdr>
                    <w:top w:val="none" w:sz="0" w:space="0" w:color="auto"/>
                    <w:left w:val="none" w:sz="0" w:space="0" w:color="auto"/>
                    <w:bottom w:val="none" w:sz="0" w:space="0" w:color="auto"/>
                    <w:right w:val="none" w:sz="0" w:space="0" w:color="auto"/>
                  </w:divBdr>
                  <w:divsChild>
                    <w:div w:id="1841387958">
                      <w:marLeft w:val="0"/>
                      <w:marRight w:val="0"/>
                      <w:marTop w:val="0"/>
                      <w:marBottom w:val="0"/>
                      <w:divBdr>
                        <w:top w:val="none" w:sz="0" w:space="0" w:color="auto"/>
                        <w:left w:val="none" w:sz="0" w:space="0" w:color="auto"/>
                        <w:bottom w:val="none" w:sz="0" w:space="0" w:color="auto"/>
                        <w:right w:val="none" w:sz="0" w:space="0" w:color="auto"/>
                      </w:divBdr>
                      <w:divsChild>
                        <w:div w:id="18413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87984">
      <w:marLeft w:val="0"/>
      <w:marRight w:val="0"/>
      <w:marTop w:val="0"/>
      <w:marBottom w:val="0"/>
      <w:divBdr>
        <w:top w:val="none" w:sz="0" w:space="0" w:color="auto"/>
        <w:left w:val="none" w:sz="0" w:space="0" w:color="auto"/>
        <w:bottom w:val="none" w:sz="0" w:space="0" w:color="auto"/>
        <w:right w:val="none" w:sz="0" w:space="0" w:color="auto"/>
      </w:divBdr>
    </w:div>
    <w:div w:id="1841387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6747</ap:Words>
  <ap:Characters>-32766</ap:Characters>
  <ap:Application>Microsoft Office Outlook</ap:Application>
  <ap:Lines>0</ap:Lines>
  <ap:Paragraphs>0</ap:Paragraphs>
  <ap:ScaleCrop>false</ap:ScaleCrop>
  <ap:LinksUpToDate>false</ap:LinksUpToDate>
  <ap:CharactersWithSpaces>0</ap:CharactersWithSpaces>
  <ap:HyperlinksChanged>false</ap:HyperlinksChanged>
  <ap:AppVersion>12.0000</ap:AppVersion>
</ap:Properties>
</file>

<file path=docProps/core.xml><?xml version="1.0" encoding="utf-8"?>
<coreProperties xmlns:dc="http://purl.org/dc/elements/1.1/" xmlns:dcterms="http://purl.org/dc/terms/" xmlns:xsi="http://www.w3.org/2001/XMLSchema-instance" xmlns="http://schemas.openxmlformats.org/package/2006/metadata/core-properties"/>
</file>