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38EBE" w14:textId="4FF42927" w:rsidR="004C66B3" w:rsidRDefault="004C66B3"/>
    <w:tbl>
      <w:tblPr>
        <w:tblStyle w:val="Plain"/>
        <w:tblpPr w:leftFromText="187" w:rightFromText="187" w:vertAnchor="page" w:horzAnchor="page" w:tblpX="5603" w:tblpY="2838"/>
        <w:tblOverlap w:val="never"/>
        <w:tblW w:w="5509" w:type="dxa"/>
        <w:tblLook w:val="04A0" w:firstRow="1" w:lastRow="0" w:firstColumn="1" w:lastColumn="0" w:noHBand="0" w:noVBand="1"/>
      </w:tblPr>
      <w:tblGrid>
        <w:gridCol w:w="5509"/>
      </w:tblGrid>
      <w:tr w:rsidR="00A15D9E" w:rsidRPr="002C2C75" w14:paraId="1F833294" w14:textId="77777777" w:rsidTr="00BC4AC2">
        <w:trPr>
          <w:trHeight w:val="314"/>
        </w:trPr>
        <w:tc>
          <w:tcPr>
            <w:tcW w:w="5509" w:type="dxa"/>
          </w:tcPr>
          <w:p w14:paraId="6DA9A09A" w14:textId="77777777" w:rsidR="00A15D9E" w:rsidRPr="002C2C75" w:rsidRDefault="00E9389F" w:rsidP="006B4D4F">
            <w:pPr>
              <w:pStyle w:val="Title"/>
            </w:pPr>
            <w:r w:rsidRPr="002C2C75">
              <w:t>Funding Request Form</w:t>
            </w:r>
          </w:p>
        </w:tc>
      </w:tr>
      <w:tr w:rsidR="00DD1ABB" w:rsidRPr="002C2C75" w14:paraId="3C52BB18" w14:textId="77777777" w:rsidTr="00BC4AC2">
        <w:trPr>
          <w:trHeight w:val="18"/>
        </w:trPr>
        <w:tc>
          <w:tcPr>
            <w:tcW w:w="5509" w:type="dxa"/>
          </w:tcPr>
          <w:p w14:paraId="4D57CCA5" w14:textId="53E65F24" w:rsidR="00DD1ABB" w:rsidRPr="002C2C75" w:rsidRDefault="00993AF5" w:rsidP="00AE6088">
            <w:pPr>
              <w:pStyle w:val="Subtitle"/>
              <w:spacing w:after="240"/>
              <w:rPr>
                <w:color w:val="808080"/>
                <w:lang w:val="en-US"/>
              </w:rPr>
            </w:pPr>
            <w:r w:rsidRPr="002C2C75">
              <w:rPr>
                <w:color w:val="7F7F7F" w:themeColor="text1" w:themeTint="80"/>
                <w:sz w:val="32"/>
                <w:szCs w:val="24"/>
                <w:lang w:val="en-US"/>
              </w:rPr>
              <w:t>Full Review</w:t>
            </w:r>
          </w:p>
        </w:tc>
      </w:tr>
      <w:tr w:rsidR="00A15D9E" w:rsidRPr="002C2C75" w14:paraId="0BF19CC0" w14:textId="77777777" w:rsidTr="00BC4AC2">
        <w:trPr>
          <w:trHeight w:val="18"/>
        </w:trPr>
        <w:tc>
          <w:tcPr>
            <w:tcW w:w="5509" w:type="dxa"/>
          </w:tcPr>
          <w:p w14:paraId="07380A59" w14:textId="77777777" w:rsidR="00A14F67" w:rsidRPr="002C2C75" w:rsidRDefault="005D49CA" w:rsidP="0094085D">
            <w:pPr>
              <w:pStyle w:val="Subtitle"/>
              <w:spacing w:after="240"/>
              <w:rPr>
                <w:rFonts w:asciiTheme="majorHAnsi" w:hAnsiTheme="majorHAnsi"/>
                <w:lang w:val="en-US"/>
              </w:rPr>
            </w:pPr>
            <w:r w:rsidRPr="002C2C75">
              <w:rPr>
                <w:rFonts w:asciiTheme="majorHAnsi" w:hAnsiTheme="majorHAnsi"/>
                <w:sz w:val="32"/>
                <w:szCs w:val="24"/>
                <w:lang w:val="en-US"/>
              </w:rPr>
              <w:t>Allocation Period 2023-2025</w:t>
            </w:r>
          </w:p>
        </w:tc>
      </w:tr>
      <w:tr w:rsidR="00A15D9E" w:rsidRPr="002C2C75" w14:paraId="18D155E4" w14:textId="77777777" w:rsidTr="00BC4AC2">
        <w:trPr>
          <w:trHeight w:val="515"/>
        </w:trPr>
        <w:tc>
          <w:tcPr>
            <w:tcW w:w="5509" w:type="dxa"/>
          </w:tcPr>
          <w:p w14:paraId="0BFFF59B" w14:textId="0FD80432" w:rsidR="00724D9A" w:rsidRPr="002C2C75" w:rsidRDefault="00724D9A" w:rsidP="00604F01">
            <w:pPr>
              <w:spacing w:after="0" w:line="264" w:lineRule="auto"/>
              <w:rPr>
                <w:rFonts w:ascii="Times New Roman" w:hAnsi="Times New Roman" w:cs="Times New Roman"/>
                <w:sz w:val="28"/>
                <w:szCs w:val="28"/>
              </w:rPr>
            </w:pPr>
          </w:p>
          <w:p w14:paraId="47942161" w14:textId="6947F84A" w:rsidR="00A15D9E" w:rsidRPr="002C2C75" w:rsidRDefault="00A15D9E" w:rsidP="006B4D4F">
            <w:pPr>
              <w:pStyle w:val="CoverInformation"/>
              <w:rPr>
                <w:lang w:val="en-US"/>
              </w:rPr>
            </w:pPr>
          </w:p>
        </w:tc>
      </w:tr>
    </w:tbl>
    <w:p w14:paraId="63AB7F72" w14:textId="77777777" w:rsidR="00504E65" w:rsidRPr="002C2C75" w:rsidRDefault="00504E65" w:rsidP="007B76EA">
      <w:pPr>
        <w:pStyle w:val="Heading1"/>
        <w:numPr>
          <w:ilvl w:val="0"/>
          <w:numId w:val="0"/>
        </w:numPr>
        <w:spacing w:after="360"/>
        <w:ind w:left="1800" w:hanging="1800"/>
        <w:rPr>
          <w:rStyle w:val="Heading1Char"/>
          <w:b/>
          <w:bCs/>
          <w:szCs w:val="28"/>
          <w:lang w:val="en-US"/>
        </w:rPr>
      </w:pPr>
      <w:r w:rsidRPr="002C2C75">
        <w:rPr>
          <w:rStyle w:val="Heading1Char"/>
          <w:b/>
          <w:bCs/>
          <w:szCs w:val="28"/>
          <w:lang w:val="en-US"/>
        </w:rPr>
        <w:t>Summary Information</w:t>
      </w:r>
    </w:p>
    <w:tbl>
      <w:tblPr>
        <w:tblStyle w:val="GlobalFundNoSpace"/>
        <w:tblW w:w="103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left w:w="57" w:type="dxa"/>
          <w:bottom w:w="57" w:type="dxa"/>
          <w:right w:w="28" w:type="dxa"/>
        </w:tblCellMar>
        <w:tblLook w:val="0480" w:firstRow="0" w:lastRow="0" w:firstColumn="1" w:lastColumn="0" w:noHBand="0" w:noVBand="1"/>
      </w:tblPr>
      <w:tblGrid>
        <w:gridCol w:w="4496"/>
        <w:gridCol w:w="5839"/>
      </w:tblGrid>
      <w:tr w:rsidR="005D11A0" w:rsidRPr="002C2C75" w14:paraId="05050C40" w14:textId="77777777" w:rsidTr="00C711A0">
        <w:trPr>
          <w:cnfStyle w:val="000000100000" w:firstRow="0" w:lastRow="0" w:firstColumn="0" w:lastColumn="0" w:oddVBand="0" w:evenVBand="0" w:oddHBand="1" w:evenHBand="0" w:firstRowFirstColumn="0" w:firstRowLastColumn="0" w:lastRowFirstColumn="0" w:lastRowLastColumn="0"/>
          <w:trHeight w:val="235"/>
        </w:trPr>
        <w:tc>
          <w:tcPr>
            <w:tcW w:w="449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4545206A" w14:textId="65B286C5" w:rsidR="00504E65" w:rsidRPr="002C2C75" w:rsidRDefault="00504E65" w:rsidP="005D11A0">
            <w:pPr>
              <w:pStyle w:val="BodyTextNoSpace"/>
              <w:rPr>
                <w:rFonts w:cs="Arial"/>
                <w:color w:val="000000" w:themeColor="text1"/>
                <w:sz w:val="22"/>
                <w:szCs w:val="20"/>
                <w:lang w:val="en-US"/>
              </w:rPr>
            </w:pPr>
            <w:r w:rsidRPr="002C2C75">
              <w:rPr>
                <w:color w:val="000000" w:themeColor="text1"/>
                <w:sz w:val="22"/>
                <w:szCs w:val="20"/>
                <w:lang w:val="en-US"/>
              </w:rPr>
              <w:t>Country</w:t>
            </w:r>
            <w:r w:rsidR="002E1CD6" w:rsidRPr="002C2C75">
              <w:rPr>
                <w:color w:val="000000" w:themeColor="text1"/>
                <w:sz w:val="22"/>
                <w:szCs w:val="20"/>
                <w:lang w:val="en-US"/>
              </w:rPr>
              <w:t>(s)</w:t>
            </w:r>
          </w:p>
        </w:tc>
        <w:tc>
          <w:tcPr>
            <w:tcW w:w="58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F960D9" w14:textId="6F033890" w:rsidR="00504E65" w:rsidRPr="002C2C75" w:rsidRDefault="006A437D" w:rsidP="005D11A0">
            <w:pPr>
              <w:pStyle w:val="BodyTextNoSpace"/>
              <w:rPr>
                <w:rFonts w:cs="Arial"/>
                <w:sz w:val="22"/>
                <w:szCs w:val="20"/>
                <w:lang w:val="en-US"/>
              </w:rPr>
            </w:pPr>
            <w:r w:rsidRPr="002C2C75">
              <w:rPr>
                <w:rFonts w:cs="Arial"/>
                <w:sz w:val="22"/>
                <w:szCs w:val="20"/>
                <w:lang w:val="en-US"/>
              </w:rPr>
              <w:t>Mozambique</w:t>
            </w:r>
          </w:p>
        </w:tc>
      </w:tr>
      <w:tr w:rsidR="005D11A0" w:rsidRPr="002C2C75" w14:paraId="1462FC80" w14:textId="77777777" w:rsidTr="00C711A0">
        <w:trPr>
          <w:cnfStyle w:val="000000010000" w:firstRow="0" w:lastRow="0" w:firstColumn="0" w:lastColumn="0" w:oddVBand="0" w:evenVBand="0" w:oddHBand="0" w:evenHBand="1" w:firstRowFirstColumn="0" w:firstRowLastColumn="0" w:lastRowFirstColumn="0" w:lastRowLastColumn="0"/>
          <w:trHeight w:val="235"/>
        </w:trPr>
        <w:tc>
          <w:tcPr>
            <w:tcW w:w="449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2DB39532" w14:textId="77777777" w:rsidR="00504E65" w:rsidRPr="002C2C75" w:rsidRDefault="00504E65" w:rsidP="005D11A0">
            <w:pPr>
              <w:pStyle w:val="BodyTextNoSpace"/>
              <w:rPr>
                <w:rFonts w:cs="Arial"/>
                <w:color w:val="000000" w:themeColor="text1"/>
                <w:sz w:val="22"/>
                <w:szCs w:val="20"/>
                <w:lang w:val="en-US"/>
              </w:rPr>
            </w:pPr>
            <w:r w:rsidRPr="002C2C75">
              <w:rPr>
                <w:color w:val="000000" w:themeColor="text1"/>
                <w:sz w:val="22"/>
                <w:szCs w:val="20"/>
                <w:lang w:val="en-US"/>
              </w:rPr>
              <w:t>Component(s)</w:t>
            </w:r>
          </w:p>
        </w:tc>
        <w:tc>
          <w:tcPr>
            <w:tcW w:w="58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6F5D81" w14:textId="21DA6B36" w:rsidR="00504E65" w:rsidRPr="002C2C75" w:rsidRDefault="006A437D" w:rsidP="005D11A0">
            <w:pPr>
              <w:pStyle w:val="BodyTextNoSpace"/>
              <w:rPr>
                <w:rFonts w:cs="Arial"/>
                <w:sz w:val="22"/>
                <w:szCs w:val="20"/>
                <w:lang w:val="en-US"/>
              </w:rPr>
            </w:pPr>
            <w:r w:rsidRPr="002C2C75">
              <w:rPr>
                <w:rFonts w:cs="Arial"/>
                <w:sz w:val="22"/>
                <w:szCs w:val="20"/>
                <w:lang w:val="en-US"/>
              </w:rPr>
              <w:t>Malaria</w:t>
            </w:r>
            <w:r w:rsidR="00E81BBC" w:rsidRPr="002C2C75">
              <w:rPr>
                <w:rFonts w:cs="Arial"/>
                <w:sz w:val="22"/>
                <w:szCs w:val="20"/>
                <w:lang w:val="en-US"/>
              </w:rPr>
              <w:t xml:space="preserve"> </w:t>
            </w:r>
            <w:r w:rsidR="00225A4B" w:rsidRPr="002C2C75">
              <w:rPr>
                <w:rFonts w:cs="Arial"/>
                <w:sz w:val="22"/>
                <w:szCs w:val="20"/>
                <w:lang w:val="en-US"/>
              </w:rPr>
              <w:t>&amp; RSSH</w:t>
            </w:r>
          </w:p>
        </w:tc>
      </w:tr>
      <w:tr w:rsidR="005D11A0" w:rsidRPr="002C2C75" w14:paraId="7A10BF17" w14:textId="77777777" w:rsidTr="00C711A0">
        <w:trPr>
          <w:cnfStyle w:val="000000100000" w:firstRow="0" w:lastRow="0" w:firstColumn="0" w:lastColumn="0" w:oddVBand="0" w:evenVBand="0" w:oddHBand="1" w:evenHBand="0" w:firstRowFirstColumn="0" w:firstRowLastColumn="0" w:lastRowFirstColumn="0" w:lastRowLastColumn="0"/>
          <w:trHeight w:val="235"/>
        </w:trPr>
        <w:tc>
          <w:tcPr>
            <w:tcW w:w="449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347D7DC9" w14:textId="04D35D4F" w:rsidR="00504E65" w:rsidRPr="002C2C75" w:rsidRDefault="00504E65" w:rsidP="005D11A0">
            <w:pPr>
              <w:pStyle w:val="BodyTextNoSpace"/>
              <w:rPr>
                <w:rFonts w:cs="Arial"/>
                <w:color w:val="000000" w:themeColor="text1"/>
                <w:sz w:val="22"/>
                <w:szCs w:val="20"/>
                <w:lang w:val="en-US"/>
              </w:rPr>
            </w:pPr>
            <w:r w:rsidRPr="002C2C75">
              <w:rPr>
                <w:color w:val="000000" w:themeColor="text1"/>
                <w:sz w:val="22"/>
                <w:szCs w:val="20"/>
                <w:lang w:val="en-US"/>
              </w:rPr>
              <w:t>Planned grant start date(s)</w:t>
            </w:r>
          </w:p>
        </w:tc>
        <w:tc>
          <w:tcPr>
            <w:tcW w:w="58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4F6634" w14:textId="67F16DE5" w:rsidR="00504E65" w:rsidRPr="002C2C75" w:rsidRDefault="006A437D" w:rsidP="005D11A0">
            <w:pPr>
              <w:pStyle w:val="BodyTextNoSpace"/>
              <w:rPr>
                <w:rFonts w:cs="Arial"/>
                <w:sz w:val="22"/>
                <w:szCs w:val="20"/>
                <w:lang w:val="en-US"/>
              </w:rPr>
            </w:pPr>
            <w:r w:rsidRPr="002C2C75">
              <w:rPr>
                <w:rFonts w:cs="Arial"/>
                <w:sz w:val="22"/>
                <w:szCs w:val="20"/>
                <w:lang w:val="en-US"/>
              </w:rPr>
              <w:t>01 Jan 2024</w:t>
            </w:r>
          </w:p>
        </w:tc>
      </w:tr>
      <w:tr w:rsidR="005D11A0" w:rsidRPr="002C2C75" w14:paraId="787662A7" w14:textId="77777777" w:rsidTr="00C711A0">
        <w:trPr>
          <w:cnfStyle w:val="000000010000" w:firstRow="0" w:lastRow="0" w:firstColumn="0" w:lastColumn="0" w:oddVBand="0" w:evenVBand="0" w:oddHBand="0" w:evenHBand="1" w:firstRowFirstColumn="0" w:firstRowLastColumn="0" w:lastRowFirstColumn="0" w:lastRowLastColumn="0"/>
          <w:trHeight w:val="235"/>
        </w:trPr>
        <w:tc>
          <w:tcPr>
            <w:tcW w:w="449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6F7FCC44" w14:textId="5294F6A9" w:rsidR="00504E65" w:rsidRPr="002C2C75" w:rsidRDefault="00504E65" w:rsidP="005D11A0">
            <w:pPr>
              <w:pStyle w:val="BodyTextNoSpace"/>
              <w:rPr>
                <w:rFonts w:cs="Arial"/>
                <w:color w:val="000000" w:themeColor="text1"/>
                <w:sz w:val="22"/>
                <w:szCs w:val="20"/>
                <w:lang w:val="en-US"/>
              </w:rPr>
            </w:pPr>
            <w:r w:rsidRPr="002C2C75">
              <w:rPr>
                <w:color w:val="000000" w:themeColor="text1"/>
                <w:sz w:val="22"/>
                <w:szCs w:val="20"/>
                <w:lang w:val="en-US"/>
              </w:rPr>
              <w:t>Planned grant end date(s)</w:t>
            </w:r>
          </w:p>
        </w:tc>
        <w:tc>
          <w:tcPr>
            <w:tcW w:w="58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CC30BC" w14:textId="673AAB30" w:rsidR="00504E65" w:rsidRPr="002C2C75" w:rsidRDefault="006A437D" w:rsidP="005D11A0">
            <w:pPr>
              <w:pStyle w:val="BodyTextNoSpace"/>
              <w:rPr>
                <w:rFonts w:cs="Arial"/>
                <w:sz w:val="22"/>
                <w:szCs w:val="20"/>
                <w:lang w:val="en-US"/>
              </w:rPr>
            </w:pPr>
            <w:r w:rsidRPr="002C2C75">
              <w:rPr>
                <w:rFonts w:cs="Arial"/>
                <w:sz w:val="22"/>
                <w:szCs w:val="20"/>
                <w:lang w:val="en-US"/>
              </w:rPr>
              <w:t>31 Dec 2026</w:t>
            </w:r>
          </w:p>
        </w:tc>
      </w:tr>
      <w:tr w:rsidR="005D11A0" w:rsidRPr="00687493" w14:paraId="66262D61" w14:textId="77777777" w:rsidTr="00C711A0">
        <w:trPr>
          <w:cnfStyle w:val="000000100000" w:firstRow="0" w:lastRow="0" w:firstColumn="0" w:lastColumn="0" w:oddVBand="0" w:evenVBand="0" w:oddHBand="1" w:evenHBand="0" w:firstRowFirstColumn="0" w:firstRowLastColumn="0" w:lastRowFirstColumn="0" w:lastRowLastColumn="0"/>
          <w:trHeight w:val="235"/>
        </w:trPr>
        <w:tc>
          <w:tcPr>
            <w:tcW w:w="449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70B39002" w14:textId="77777777" w:rsidR="00504E65" w:rsidRPr="002C2C75" w:rsidRDefault="00504E65" w:rsidP="005D11A0">
            <w:pPr>
              <w:pStyle w:val="BodyTextNoSpace"/>
              <w:rPr>
                <w:rFonts w:cs="Arial"/>
                <w:color w:val="000000" w:themeColor="text1"/>
                <w:sz w:val="22"/>
                <w:szCs w:val="20"/>
                <w:lang w:val="en-US"/>
              </w:rPr>
            </w:pPr>
            <w:r w:rsidRPr="002C2C75">
              <w:rPr>
                <w:color w:val="000000" w:themeColor="text1"/>
                <w:sz w:val="22"/>
                <w:szCs w:val="20"/>
                <w:lang w:val="en-US"/>
              </w:rPr>
              <w:t xml:space="preserve">Principal Recipient(s) </w:t>
            </w:r>
          </w:p>
        </w:tc>
        <w:tc>
          <w:tcPr>
            <w:tcW w:w="58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7BBBBE" w14:textId="072C94A8" w:rsidR="00504E65" w:rsidRPr="002C2C75" w:rsidRDefault="00621197" w:rsidP="005D11A0">
            <w:pPr>
              <w:pStyle w:val="BodyTextNoSpace"/>
              <w:rPr>
                <w:rFonts w:cs="Arial"/>
                <w:sz w:val="22"/>
                <w:szCs w:val="20"/>
                <w:lang w:val="en-US"/>
              </w:rPr>
            </w:pPr>
            <w:r w:rsidRPr="002C2C75">
              <w:rPr>
                <w:rFonts w:cs="Arial"/>
                <w:sz w:val="22"/>
                <w:szCs w:val="20"/>
                <w:lang w:val="en-US"/>
              </w:rPr>
              <w:t xml:space="preserve">PR1: </w:t>
            </w:r>
            <w:r w:rsidR="006A437D" w:rsidRPr="002C2C75">
              <w:rPr>
                <w:rFonts w:cs="Arial"/>
                <w:sz w:val="22"/>
                <w:szCs w:val="20"/>
                <w:lang w:val="en-US"/>
              </w:rPr>
              <w:t>Ministry of Health</w:t>
            </w:r>
            <w:r w:rsidR="00BD7A10">
              <w:rPr>
                <w:rFonts w:cs="Arial"/>
                <w:sz w:val="22"/>
                <w:szCs w:val="20"/>
                <w:lang w:val="en-US"/>
              </w:rPr>
              <w:t xml:space="preserve"> of Mozambique</w:t>
            </w:r>
          </w:p>
          <w:p w14:paraId="0CAFCF4D" w14:textId="77777777" w:rsidR="006A437D" w:rsidRPr="00C711A0" w:rsidRDefault="00621197" w:rsidP="005D11A0">
            <w:pPr>
              <w:pStyle w:val="BodyTextNoSpace"/>
              <w:rPr>
                <w:rFonts w:cs="Arial"/>
                <w:sz w:val="22"/>
                <w:szCs w:val="20"/>
                <w:lang w:val="pt-BR"/>
              </w:rPr>
            </w:pPr>
            <w:r w:rsidRPr="00C711A0">
              <w:rPr>
                <w:rFonts w:cs="Arial"/>
                <w:sz w:val="22"/>
                <w:szCs w:val="20"/>
                <w:lang w:val="pt-BR"/>
              </w:rPr>
              <w:t>PR2: World Vision</w:t>
            </w:r>
            <w:r w:rsidR="00C76F60" w:rsidRPr="00C711A0">
              <w:rPr>
                <w:rFonts w:cs="Arial"/>
                <w:sz w:val="22"/>
                <w:szCs w:val="20"/>
                <w:lang w:val="pt-BR"/>
              </w:rPr>
              <w:t xml:space="preserve"> International</w:t>
            </w:r>
          </w:p>
          <w:p w14:paraId="61442818" w14:textId="017FF6EB" w:rsidR="00C711A0" w:rsidRPr="00C711A0" w:rsidRDefault="00C711A0" w:rsidP="005D11A0">
            <w:pPr>
              <w:pStyle w:val="BodyTextNoSpace"/>
              <w:rPr>
                <w:rFonts w:cs="Arial"/>
                <w:sz w:val="22"/>
                <w:szCs w:val="20"/>
                <w:lang w:val="pt-BR"/>
              </w:rPr>
            </w:pPr>
            <w:r w:rsidRPr="00C711A0">
              <w:rPr>
                <w:rFonts w:cs="Arial"/>
                <w:sz w:val="22"/>
                <w:szCs w:val="20"/>
                <w:lang w:val="pt-BR"/>
              </w:rPr>
              <w:t>Fundação para o Desenvolvimento da Comunidade</w:t>
            </w:r>
            <w:r>
              <w:rPr>
                <w:rFonts w:cs="Arial"/>
                <w:sz w:val="22"/>
                <w:szCs w:val="20"/>
                <w:lang w:val="pt-BR"/>
              </w:rPr>
              <w:t xml:space="preserve"> (FDC)</w:t>
            </w:r>
          </w:p>
          <w:p w14:paraId="33A899EF" w14:textId="12A88185" w:rsidR="00C711A0" w:rsidRPr="00C711A0" w:rsidRDefault="00C711A0" w:rsidP="005D11A0">
            <w:pPr>
              <w:pStyle w:val="BodyTextNoSpace"/>
              <w:rPr>
                <w:rFonts w:cs="Arial"/>
                <w:sz w:val="22"/>
                <w:szCs w:val="20"/>
                <w:lang w:val="pt-BR"/>
              </w:rPr>
            </w:pPr>
            <w:r w:rsidRPr="00C711A0">
              <w:rPr>
                <w:rFonts w:cs="Arial"/>
                <w:sz w:val="22"/>
                <w:szCs w:val="20"/>
                <w:lang w:val="pt-BR"/>
              </w:rPr>
              <w:t>Centro de Colaboração em Saúde</w:t>
            </w:r>
            <w:r>
              <w:rPr>
                <w:rFonts w:cs="Arial"/>
                <w:sz w:val="22"/>
                <w:szCs w:val="20"/>
                <w:lang w:val="pt-BR"/>
              </w:rPr>
              <w:t xml:space="preserve"> (FDC)</w:t>
            </w:r>
          </w:p>
        </w:tc>
      </w:tr>
      <w:tr w:rsidR="005D11A0" w:rsidRPr="002C2C75" w14:paraId="030AD873" w14:textId="77777777" w:rsidTr="00C711A0">
        <w:trPr>
          <w:cnfStyle w:val="000000010000" w:firstRow="0" w:lastRow="0" w:firstColumn="0" w:lastColumn="0" w:oddVBand="0" w:evenVBand="0" w:oddHBand="0" w:evenHBand="1" w:firstRowFirstColumn="0" w:firstRowLastColumn="0" w:lastRowFirstColumn="0" w:lastRowLastColumn="0"/>
          <w:trHeight w:val="235"/>
        </w:trPr>
        <w:tc>
          <w:tcPr>
            <w:tcW w:w="449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61A7CDFC" w14:textId="77777777" w:rsidR="00504E65" w:rsidRPr="002C2C75" w:rsidRDefault="00504E65" w:rsidP="005D11A0">
            <w:pPr>
              <w:pStyle w:val="BodyTextNoSpace"/>
              <w:rPr>
                <w:rFonts w:cs="Arial"/>
                <w:color w:val="000000" w:themeColor="text1"/>
                <w:sz w:val="22"/>
                <w:szCs w:val="20"/>
                <w:lang w:val="en-US"/>
              </w:rPr>
            </w:pPr>
            <w:r w:rsidRPr="002C2C75">
              <w:rPr>
                <w:color w:val="000000" w:themeColor="text1"/>
                <w:sz w:val="22"/>
                <w:szCs w:val="20"/>
                <w:lang w:val="en-US"/>
              </w:rPr>
              <w:t>Currency</w:t>
            </w:r>
          </w:p>
        </w:tc>
        <w:tc>
          <w:tcPr>
            <w:tcW w:w="58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961E06" w14:textId="5DD55CD6" w:rsidR="00504E65" w:rsidRPr="002C2C75" w:rsidRDefault="006A437D" w:rsidP="005D11A0">
            <w:pPr>
              <w:pStyle w:val="BodyTextNoSpace"/>
              <w:rPr>
                <w:rFonts w:cs="Arial"/>
                <w:sz w:val="22"/>
                <w:szCs w:val="20"/>
                <w:lang w:val="en-US"/>
              </w:rPr>
            </w:pPr>
            <w:r w:rsidRPr="002C2C75">
              <w:rPr>
                <w:rFonts w:cs="Arial"/>
                <w:sz w:val="22"/>
                <w:szCs w:val="20"/>
                <w:lang w:val="en-US"/>
              </w:rPr>
              <w:t>USD</w:t>
            </w:r>
          </w:p>
        </w:tc>
      </w:tr>
      <w:tr w:rsidR="005D11A0" w:rsidRPr="002C2C75" w14:paraId="74D45129" w14:textId="77777777" w:rsidTr="00C711A0">
        <w:trPr>
          <w:cnfStyle w:val="000000100000" w:firstRow="0" w:lastRow="0" w:firstColumn="0" w:lastColumn="0" w:oddVBand="0" w:evenVBand="0" w:oddHBand="1" w:evenHBand="0" w:firstRowFirstColumn="0" w:firstRowLastColumn="0" w:lastRowFirstColumn="0" w:lastRowLastColumn="0"/>
          <w:trHeight w:val="235"/>
        </w:trPr>
        <w:tc>
          <w:tcPr>
            <w:tcW w:w="449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521E6873" w14:textId="77777777" w:rsidR="00504E65" w:rsidRPr="002C2C75" w:rsidRDefault="00504E65" w:rsidP="005D11A0">
            <w:pPr>
              <w:pStyle w:val="BodyTextNoSpace"/>
              <w:rPr>
                <w:rFonts w:cs="Arial"/>
                <w:color w:val="000000" w:themeColor="text1"/>
                <w:sz w:val="22"/>
                <w:szCs w:val="20"/>
                <w:lang w:val="en-US"/>
              </w:rPr>
            </w:pPr>
            <w:r w:rsidRPr="002C2C75">
              <w:rPr>
                <w:color w:val="000000" w:themeColor="text1"/>
                <w:sz w:val="22"/>
                <w:szCs w:val="20"/>
                <w:lang w:val="en-US"/>
              </w:rPr>
              <w:t>Allocation Funding Request Amount</w:t>
            </w:r>
          </w:p>
        </w:tc>
        <w:tc>
          <w:tcPr>
            <w:tcW w:w="58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938D63" w14:textId="4469DF18" w:rsidR="00504E65" w:rsidRPr="002C2C75" w:rsidRDefault="000B2A04" w:rsidP="005D11A0">
            <w:pPr>
              <w:pStyle w:val="BodyTextNoSpace"/>
              <w:rPr>
                <w:rFonts w:cs="Arial"/>
                <w:b/>
                <w:bCs/>
                <w:sz w:val="22"/>
                <w:szCs w:val="20"/>
                <w:lang w:val="en-US"/>
              </w:rPr>
            </w:pPr>
            <w:r w:rsidRPr="002C2C75">
              <w:rPr>
                <w:rFonts w:cs="Arial"/>
                <w:b/>
                <w:bCs/>
                <w:sz w:val="22"/>
                <w:szCs w:val="20"/>
                <w:lang w:val="en-US"/>
              </w:rPr>
              <w:t xml:space="preserve">Malaria: </w:t>
            </w:r>
            <w:r w:rsidR="001B79F1" w:rsidRPr="002C2C75">
              <w:rPr>
                <w:rFonts w:cs="Arial"/>
                <w:b/>
                <w:bCs/>
                <w:sz w:val="22"/>
                <w:szCs w:val="20"/>
                <w:lang w:val="en-US"/>
              </w:rPr>
              <w:t>$</w:t>
            </w:r>
            <w:r w:rsidR="00D8019A" w:rsidRPr="002C2C75">
              <w:rPr>
                <w:rFonts w:cs="Arial"/>
                <w:b/>
                <w:bCs/>
                <w:sz w:val="22"/>
                <w:szCs w:val="20"/>
                <w:lang w:val="en-US"/>
              </w:rPr>
              <w:t>1</w:t>
            </w:r>
            <w:r w:rsidR="0015498B" w:rsidRPr="002C2C75">
              <w:rPr>
                <w:rFonts w:cs="Arial"/>
                <w:b/>
                <w:bCs/>
                <w:sz w:val="22"/>
                <w:szCs w:val="20"/>
                <w:lang w:val="en-US"/>
              </w:rPr>
              <w:t>9</w:t>
            </w:r>
            <w:r w:rsidR="0078117C" w:rsidRPr="002C2C75">
              <w:rPr>
                <w:rFonts w:cs="Arial"/>
                <w:b/>
                <w:bCs/>
                <w:sz w:val="22"/>
                <w:szCs w:val="20"/>
                <w:lang w:val="en-US"/>
              </w:rPr>
              <w:t>0</w:t>
            </w:r>
            <w:r w:rsidR="001B49C4" w:rsidRPr="002C2C75">
              <w:rPr>
                <w:rFonts w:cs="Arial"/>
                <w:b/>
                <w:bCs/>
                <w:sz w:val="22"/>
                <w:szCs w:val="20"/>
                <w:lang w:val="en-US"/>
              </w:rPr>
              <w:t>,</w:t>
            </w:r>
            <w:r w:rsidR="0078117C" w:rsidRPr="002C2C75">
              <w:rPr>
                <w:rFonts w:cs="Arial"/>
                <w:b/>
                <w:bCs/>
                <w:sz w:val="22"/>
                <w:szCs w:val="20"/>
                <w:lang w:val="en-US"/>
              </w:rPr>
              <w:t>318</w:t>
            </w:r>
            <w:r w:rsidR="0015498B" w:rsidRPr="002C2C75">
              <w:rPr>
                <w:rFonts w:cs="Arial"/>
                <w:b/>
                <w:bCs/>
                <w:sz w:val="22"/>
                <w:szCs w:val="20"/>
                <w:lang w:val="en-US"/>
              </w:rPr>
              <w:t>,</w:t>
            </w:r>
            <w:r w:rsidR="0078117C" w:rsidRPr="002C2C75">
              <w:rPr>
                <w:rFonts w:cs="Arial"/>
                <w:b/>
                <w:bCs/>
                <w:sz w:val="22"/>
                <w:szCs w:val="20"/>
                <w:lang w:val="en-US"/>
              </w:rPr>
              <w:t>5</w:t>
            </w:r>
            <w:r w:rsidRPr="002C2C75">
              <w:rPr>
                <w:rFonts w:cs="Arial"/>
                <w:b/>
                <w:bCs/>
                <w:sz w:val="22"/>
                <w:szCs w:val="20"/>
                <w:lang w:val="en-US"/>
              </w:rPr>
              <w:t>8</w:t>
            </w:r>
            <w:r w:rsidR="007D74E4" w:rsidRPr="002C2C75">
              <w:rPr>
                <w:rFonts w:cs="Arial"/>
                <w:b/>
                <w:bCs/>
                <w:sz w:val="22"/>
                <w:szCs w:val="20"/>
                <w:lang w:val="en-US"/>
              </w:rPr>
              <w:t>7</w:t>
            </w:r>
          </w:p>
          <w:p w14:paraId="290FBB39" w14:textId="77777777" w:rsidR="001B49C4" w:rsidRPr="002C2C75" w:rsidRDefault="001B79F1" w:rsidP="005D11A0">
            <w:pPr>
              <w:pStyle w:val="BodyTextNoSpace"/>
              <w:rPr>
                <w:rFonts w:cs="Arial"/>
                <w:i/>
                <w:iCs/>
                <w:sz w:val="22"/>
                <w:szCs w:val="20"/>
                <w:lang w:val="en-US"/>
              </w:rPr>
            </w:pPr>
            <w:r w:rsidRPr="002C2C75">
              <w:rPr>
                <w:rFonts w:cs="Arial"/>
                <w:i/>
                <w:iCs/>
                <w:sz w:val="22"/>
                <w:szCs w:val="20"/>
                <w:lang w:val="en-US"/>
              </w:rPr>
              <w:t>RSSH contribution from allocation</w:t>
            </w:r>
            <w:r w:rsidR="00250239" w:rsidRPr="002C2C75">
              <w:rPr>
                <w:rFonts w:cs="Arial"/>
                <w:b/>
                <w:bCs/>
                <w:sz w:val="22"/>
                <w:szCs w:val="20"/>
                <w:lang w:val="en-US"/>
              </w:rPr>
              <w:t xml:space="preserve">: </w:t>
            </w:r>
            <w:bookmarkStart w:id="0" w:name="_Hlk131177957"/>
            <w:r w:rsidR="001B49C4" w:rsidRPr="002C2C75">
              <w:rPr>
                <w:rFonts w:cs="Arial"/>
                <w:i/>
                <w:iCs/>
                <w:sz w:val="22"/>
                <w:szCs w:val="20"/>
                <w:lang w:val="en-US"/>
              </w:rPr>
              <w:t>$</w:t>
            </w:r>
            <w:r w:rsidR="0015498B" w:rsidRPr="002C2C75">
              <w:rPr>
                <w:rFonts w:cs="Arial"/>
                <w:i/>
                <w:iCs/>
                <w:sz w:val="22"/>
                <w:szCs w:val="20"/>
                <w:lang w:val="en-US"/>
              </w:rPr>
              <w:t>1</w:t>
            </w:r>
            <w:r w:rsidR="0078117C" w:rsidRPr="002C2C75">
              <w:rPr>
                <w:rFonts w:cs="Arial"/>
                <w:i/>
                <w:iCs/>
                <w:sz w:val="22"/>
                <w:szCs w:val="20"/>
                <w:lang w:val="en-US"/>
              </w:rPr>
              <w:t>7</w:t>
            </w:r>
            <w:r w:rsidR="001B49C4" w:rsidRPr="002C2C75">
              <w:rPr>
                <w:rFonts w:cs="Arial"/>
                <w:i/>
                <w:iCs/>
                <w:sz w:val="22"/>
                <w:szCs w:val="20"/>
                <w:lang w:val="en-US"/>
              </w:rPr>
              <w:t>,</w:t>
            </w:r>
            <w:r w:rsidR="0078117C" w:rsidRPr="002C2C75">
              <w:rPr>
                <w:rFonts w:cs="Arial"/>
                <w:i/>
                <w:iCs/>
                <w:sz w:val="22"/>
                <w:szCs w:val="20"/>
                <w:lang w:val="en-US"/>
              </w:rPr>
              <w:t>679</w:t>
            </w:r>
            <w:r w:rsidR="001B49C4" w:rsidRPr="002C2C75">
              <w:rPr>
                <w:rFonts w:cs="Arial"/>
                <w:i/>
                <w:iCs/>
                <w:sz w:val="22"/>
                <w:szCs w:val="20"/>
                <w:lang w:val="en-US"/>
              </w:rPr>
              <w:t>,</w:t>
            </w:r>
            <w:bookmarkEnd w:id="0"/>
            <w:r w:rsidR="0078117C" w:rsidRPr="002C2C75">
              <w:rPr>
                <w:rFonts w:cs="Arial"/>
                <w:i/>
                <w:iCs/>
                <w:sz w:val="22"/>
                <w:szCs w:val="20"/>
                <w:lang w:val="en-US"/>
              </w:rPr>
              <w:t>869</w:t>
            </w:r>
            <w:r w:rsidR="00290D3C" w:rsidRPr="002C2C75">
              <w:rPr>
                <w:rFonts w:cs="Arial"/>
                <w:i/>
                <w:iCs/>
                <w:sz w:val="22"/>
                <w:szCs w:val="20"/>
                <w:lang w:val="en-US"/>
              </w:rPr>
              <w:t xml:space="preserve"> (8</w:t>
            </w:r>
            <w:r w:rsidR="0078117C" w:rsidRPr="002C2C75">
              <w:rPr>
                <w:rFonts w:cs="Arial"/>
                <w:i/>
                <w:iCs/>
                <w:sz w:val="22"/>
                <w:szCs w:val="20"/>
                <w:lang w:val="en-US"/>
              </w:rPr>
              <w:t>.5</w:t>
            </w:r>
            <w:r w:rsidR="00290D3C" w:rsidRPr="002C2C75">
              <w:rPr>
                <w:rFonts w:cs="Arial"/>
                <w:i/>
                <w:iCs/>
                <w:sz w:val="22"/>
                <w:szCs w:val="20"/>
                <w:lang w:val="en-US"/>
              </w:rPr>
              <w:t>%)</w:t>
            </w:r>
          </w:p>
          <w:p w14:paraId="2C54A5BA" w14:textId="53287124" w:rsidR="00225A4B" w:rsidRDefault="00225A4B" w:rsidP="005D11A0">
            <w:pPr>
              <w:pStyle w:val="BodyTextNoSpace"/>
              <w:rPr>
                <w:rFonts w:cs="Arial"/>
                <w:i/>
                <w:iCs/>
                <w:sz w:val="22"/>
                <w:szCs w:val="20"/>
                <w:lang w:val="en-US"/>
              </w:rPr>
            </w:pPr>
            <w:r w:rsidRPr="002C2C75">
              <w:rPr>
                <w:rFonts w:cs="Arial"/>
                <w:b/>
                <w:bCs/>
                <w:sz w:val="22"/>
                <w:szCs w:val="20"/>
                <w:lang w:val="en-US"/>
              </w:rPr>
              <w:t>RSSH: $65,496,112</w:t>
            </w:r>
            <w:r w:rsidR="002C2C75" w:rsidRPr="002C2C75">
              <w:rPr>
                <w:rFonts w:cs="Arial"/>
                <w:b/>
                <w:bCs/>
                <w:sz w:val="22"/>
                <w:szCs w:val="20"/>
                <w:lang w:val="en-US"/>
              </w:rPr>
              <w:t xml:space="preserve"> </w:t>
            </w:r>
            <w:r w:rsidR="002C2C75" w:rsidRPr="002C2C75">
              <w:rPr>
                <w:rFonts w:cs="Arial"/>
                <w:i/>
                <w:iCs/>
                <w:sz w:val="22"/>
                <w:szCs w:val="20"/>
                <w:lang w:val="en-US"/>
              </w:rPr>
              <w:t>(8.5% from all allocations)</w:t>
            </w:r>
          </w:p>
          <w:p w14:paraId="51895103" w14:textId="2F2A5D23" w:rsidR="00393E98" w:rsidRPr="00393E98" w:rsidRDefault="00393E98" w:rsidP="005D11A0">
            <w:pPr>
              <w:pStyle w:val="BodyTextNoSpace"/>
              <w:rPr>
                <w:rFonts w:cs="Arial"/>
                <w:b/>
                <w:bCs/>
                <w:sz w:val="22"/>
                <w:szCs w:val="20"/>
                <w:lang w:val="en-US"/>
              </w:rPr>
            </w:pPr>
            <w:r>
              <w:rPr>
                <w:rFonts w:cs="Arial"/>
                <w:b/>
                <w:bCs/>
                <w:sz w:val="22"/>
                <w:szCs w:val="20"/>
                <w:lang w:val="en-US"/>
              </w:rPr>
              <w:t>RSSH including matching: $72,496,112</w:t>
            </w:r>
          </w:p>
          <w:p w14:paraId="3CAC40CE" w14:textId="77777777" w:rsidR="000E5F8F" w:rsidRDefault="000E5F8F" w:rsidP="005D11A0">
            <w:pPr>
              <w:pStyle w:val="BodyTextNoSpace"/>
              <w:rPr>
                <w:rFonts w:cs="Arial"/>
                <w:b/>
                <w:bCs/>
                <w:i/>
                <w:iCs/>
                <w:sz w:val="22"/>
                <w:szCs w:val="20"/>
                <w:lang w:val="en-US"/>
              </w:rPr>
            </w:pPr>
          </w:p>
          <w:p w14:paraId="5036ED05" w14:textId="77777777" w:rsidR="002E7954" w:rsidRDefault="002E7954" w:rsidP="005D11A0">
            <w:pPr>
              <w:pStyle w:val="BodyTextNoSpace"/>
              <w:rPr>
                <w:rFonts w:cs="Arial"/>
                <w:i/>
                <w:iCs/>
                <w:sz w:val="22"/>
                <w:szCs w:val="20"/>
                <w:lang w:val="en-US"/>
              </w:rPr>
            </w:pPr>
            <w:r w:rsidRPr="002E7954">
              <w:rPr>
                <w:rFonts w:cs="Arial"/>
                <w:b/>
                <w:bCs/>
                <w:i/>
                <w:iCs/>
                <w:sz w:val="22"/>
                <w:szCs w:val="20"/>
                <w:lang w:val="en-US"/>
              </w:rPr>
              <w:t>Total</w:t>
            </w:r>
            <w:r>
              <w:rPr>
                <w:rFonts w:cs="Arial"/>
                <w:b/>
                <w:bCs/>
                <w:i/>
                <w:iCs/>
                <w:sz w:val="22"/>
                <w:szCs w:val="20"/>
                <w:lang w:val="en-US"/>
              </w:rPr>
              <w:t xml:space="preserve">: $255,814,699 </w:t>
            </w:r>
            <w:r>
              <w:rPr>
                <w:rFonts w:cs="Arial"/>
                <w:i/>
                <w:iCs/>
                <w:sz w:val="22"/>
                <w:szCs w:val="20"/>
                <w:lang w:val="en-US"/>
              </w:rPr>
              <w:t>(+$7M in matching funds in budget)</w:t>
            </w:r>
          </w:p>
          <w:p w14:paraId="7399F837" w14:textId="7666D0C4" w:rsidR="00393E98" w:rsidRPr="00393E98" w:rsidRDefault="00393E98" w:rsidP="005D11A0">
            <w:pPr>
              <w:pStyle w:val="BodyTextNoSpace"/>
              <w:rPr>
                <w:rFonts w:cs="Arial"/>
                <w:b/>
                <w:bCs/>
                <w:i/>
                <w:iCs/>
                <w:sz w:val="22"/>
                <w:szCs w:val="20"/>
                <w:lang w:val="en-US"/>
              </w:rPr>
            </w:pPr>
            <w:r>
              <w:rPr>
                <w:rFonts w:cs="Arial"/>
                <w:b/>
                <w:bCs/>
                <w:i/>
                <w:iCs/>
                <w:sz w:val="22"/>
                <w:szCs w:val="20"/>
                <w:lang w:val="en-US"/>
              </w:rPr>
              <w:t>Total inc. matching: $262,814,699</w:t>
            </w:r>
          </w:p>
        </w:tc>
      </w:tr>
      <w:tr w:rsidR="005D11A0" w:rsidRPr="00943B68" w14:paraId="616E84CD" w14:textId="77777777" w:rsidTr="00C711A0">
        <w:trPr>
          <w:cnfStyle w:val="000000010000" w:firstRow="0" w:lastRow="0" w:firstColumn="0" w:lastColumn="0" w:oddVBand="0" w:evenVBand="0" w:oddHBand="0" w:evenHBand="1" w:firstRowFirstColumn="0" w:firstRowLastColumn="0" w:lastRowFirstColumn="0" w:lastRowLastColumn="0"/>
          <w:trHeight w:val="235"/>
        </w:trPr>
        <w:tc>
          <w:tcPr>
            <w:tcW w:w="449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103A836A" w14:textId="2C73168C" w:rsidR="00504E65" w:rsidRPr="002C2C75" w:rsidRDefault="00504E65" w:rsidP="005D11A0">
            <w:pPr>
              <w:pStyle w:val="BodyTextNoSpace"/>
              <w:rPr>
                <w:rFonts w:cs="Arial"/>
                <w:color w:val="000000" w:themeColor="text1"/>
                <w:sz w:val="22"/>
                <w:szCs w:val="20"/>
                <w:lang w:val="en-US"/>
              </w:rPr>
            </w:pPr>
            <w:r w:rsidRPr="002C2C75">
              <w:rPr>
                <w:color w:val="000000" w:themeColor="text1"/>
                <w:sz w:val="22"/>
                <w:szCs w:val="20"/>
                <w:lang w:val="en-US"/>
              </w:rPr>
              <w:t>Prioritized Above Allocation Request (PAAR) Amount</w:t>
            </w:r>
          </w:p>
        </w:tc>
        <w:tc>
          <w:tcPr>
            <w:tcW w:w="58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5F4616" w14:textId="058DF7E0" w:rsidR="00504E65" w:rsidRPr="004F4704" w:rsidRDefault="001B6C76" w:rsidP="005D11A0">
            <w:pPr>
              <w:pStyle w:val="BodyTextNoSpace"/>
              <w:rPr>
                <w:rFonts w:cs="Arial"/>
                <w:sz w:val="22"/>
                <w:szCs w:val="20"/>
                <w:lang w:val="pt-BR"/>
              </w:rPr>
            </w:pPr>
            <w:r w:rsidRPr="004F4704">
              <w:rPr>
                <w:rFonts w:cs="Arial"/>
                <w:b/>
                <w:bCs/>
                <w:sz w:val="22"/>
                <w:szCs w:val="20"/>
                <w:lang w:val="pt-BR"/>
              </w:rPr>
              <w:t xml:space="preserve">Malaria PAAR: </w:t>
            </w:r>
            <w:r w:rsidR="007E43B5" w:rsidRPr="004F4704">
              <w:rPr>
                <w:rFonts w:cs="Arial"/>
                <w:sz w:val="22"/>
                <w:szCs w:val="20"/>
                <w:lang w:val="pt-BR"/>
              </w:rPr>
              <w:t xml:space="preserve">USD </w:t>
            </w:r>
            <w:r w:rsidR="00DB7400" w:rsidRPr="004F4704">
              <w:rPr>
                <w:rFonts w:cs="Arial"/>
                <w:sz w:val="22"/>
                <w:szCs w:val="20"/>
                <w:lang w:val="pt-BR"/>
              </w:rPr>
              <w:t>1</w:t>
            </w:r>
            <w:r w:rsidR="009C33A4">
              <w:rPr>
                <w:rFonts w:cs="Arial"/>
                <w:sz w:val="22"/>
                <w:szCs w:val="20"/>
                <w:lang w:val="pt-BR"/>
              </w:rPr>
              <w:t>06</w:t>
            </w:r>
            <w:r w:rsidR="00DB7400" w:rsidRPr="004F4704">
              <w:rPr>
                <w:rFonts w:cs="Arial"/>
                <w:sz w:val="22"/>
                <w:szCs w:val="20"/>
                <w:lang w:val="pt-BR"/>
              </w:rPr>
              <w:t>,</w:t>
            </w:r>
            <w:r w:rsidR="009C33A4">
              <w:rPr>
                <w:rFonts w:cs="Arial"/>
                <w:sz w:val="22"/>
                <w:szCs w:val="20"/>
                <w:lang w:val="pt-BR"/>
              </w:rPr>
              <w:t>567</w:t>
            </w:r>
            <w:r w:rsidR="00DB7400" w:rsidRPr="004F4704">
              <w:rPr>
                <w:rFonts w:cs="Arial"/>
                <w:sz w:val="22"/>
                <w:szCs w:val="20"/>
                <w:lang w:val="pt-BR"/>
              </w:rPr>
              <w:t>,</w:t>
            </w:r>
            <w:r w:rsidR="009C33A4">
              <w:rPr>
                <w:rFonts w:cs="Arial"/>
                <w:sz w:val="22"/>
                <w:szCs w:val="20"/>
                <w:lang w:val="pt-BR"/>
              </w:rPr>
              <w:t>238</w:t>
            </w:r>
          </w:p>
          <w:p w14:paraId="5F88AB7E" w14:textId="058C57E3" w:rsidR="000C7ECE" w:rsidRDefault="000C7ECE" w:rsidP="005D11A0">
            <w:pPr>
              <w:pStyle w:val="BodyTextNoSpace"/>
              <w:rPr>
                <w:rFonts w:cs="Arial"/>
                <w:bCs/>
                <w:sz w:val="22"/>
                <w:szCs w:val="20"/>
                <w:lang w:val="pt-BR"/>
              </w:rPr>
            </w:pPr>
            <w:r w:rsidRPr="004F4704">
              <w:rPr>
                <w:rFonts w:cs="Arial"/>
                <w:b/>
                <w:sz w:val="22"/>
                <w:szCs w:val="20"/>
                <w:lang w:val="pt-BR"/>
              </w:rPr>
              <w:t xml:space="preserve">RSSH PAAR: </w:t>
            </w:r>
            <w:r w:rsidRPr="004F4704">
              <w:rPr>
                <w:rFonts w:cs="Arial"/>
                <w:bCs/>
                <w:sz w:val="22"/>
                <w:szCs w:val="20"/>
                <w:lang w:val="pt-BR"/>
              </w:rPr>
              <w:t>USD 5</w:t>
            </w:r>
            <w:r w:rsidR="00393E98">
              <w:rPr>
                <w:rFonts w:cs="Arial"/>
                <w:bCs/>
                <w:sz w:val="22"/>
                <w:szCs w:val="20"/>
                <w:lang w:val="pt-BR"/>
              </w:rPr>
              <w:t>5</w:t>
            </w:r>
            <w:r w:rsidRPr="004F4704">
              <w:rPr>
                <w:rFonts w:cs="Arial"/>
                <w:bCs/>
                <w:sz w:val="22"/>
                <w:szCs w:val="20"/>
                <w:lang w:val="pt-BR"/>
              </w:rPr>
              <w:t>,</w:t>
            </w:r>
            <w:r w:rsidR="00393E98">
              <w:rPr>
                <w:rFonts w:cs="Arial"/>
                <w:bCs/>
                <w:sz w:val="22"/>
                <w:szCs w:val="20"/>
                <w:lang w:val="pt-BR"/>
              </w:rPr>
              <w:t>41</w:t>
            </w:r>
            <w:r w:rsidRPr="004F4704">
              <w:rPr>
                <w:rFonts w:cs="Arial"/>
                <w:bCs/>
                <w:sz w:val="22"/>
                <w:szCs w:val="20"/>
                <w:lang w:val="pt-BR"/>
              </w:rPr>
              <w:t>8,438</w:t>
            </w:r>
          </w:p>
          <w:p w14:paraId="07580532" w14:textId="77777777" w:rsidR="000E5F8F" w:rsidRDefault="000E5F8F" w:rsidP="005D11A0">
            <w:pPr>
              <w:pStyle w:val="BodyTextNoSpace"/>
              <w:rPr>
                <w:rFonts w:cs="Arial"/>
                <w:b/>
                <w:bCs/>
                <w:i/>
                <w:iCs/>
                <w:sz w:val="22"/>
                <w:szCs w:val="20"/>
                <w:lang w:val="pt-BR"/>
              </w:rPr>
            </w:pPr>
          </w:p>
          <w:p w14:paraId="2FD0342E" w14:textId="7F5DF90D" w:rsidR="002E7954" w:rsidRPr="002E7954" w:rsidRDefault="002E7954" w:rsidP="005D11A0">
            <w:pPr>
              <w:pStyle w:val="BodyTextNoSpace"/>
              <w:rPr>
                <w:rFonts w:cs="Arial"/>
                <w:b/>
                <w:bCs/>
                <w:i/>
                <w:iCs/>
                <w:sz w:val="22"/>
                <w:szCs w:val="20"/>
                <w:lang w:val="pt-BR"/>
              </w:rPr>
            </w:pPr>
            <w:r>
              <w:rPr>
                <w:rFonts w:cs="Arial"/>
                <w:b/>
                <w:bCs/>
                <w:i/>
                <w:iCs/>
                <w:sz w:val="22"/>
                <w:szCs w:val="20"/>
                <w:lang w:val="pt-BR"/>
              </w:rPr>
              <w:t>Total: $16</w:t>
            </w:r>
            <w:r w:rsidR="00393E98">
              <w:rPr>
                <w:rFonts w:cs="Arial"/>
                <w:b/>
                <w:bCs/>
                <w:i/>
                <w:iCs/>
                <w:sz w:val="22"/>
                <w:szCs w:val="20"/>
                <w:lang w:val="pt-BR"/>
              </w:rPr>
              <w:t>1</w:t>
            </w:r>
            <w:r>
              <w:rPr>
                <w:rFonts w:cs="Arial"/>
                <w:b/>
                <w:bCs/>
                <w:i/>
                <w:iCs/>
                <w:sz w:val="22"/>
                <w:szCs w:val="20"/>
                <w:lang w:val="pt-BR"/>
              </w:rPr>
              <w:t>,</w:t>
            </w:r>
            <w:r w:rsidR="00393E98">
              <w:rPr>
                <w:rFonts w:cs="Arial"/>
                <w:b/>
                <w:bCs/>
                <w:i/>
                <w:iCs/>
                <w:sz w:val="22"/>
                <w:szCs w:val="20"/>
                <w:lang w:val="pt-BR"/>
              </w:rPr>
              <w:t>985</w:t>
            </w:r>
            <w:r>
              <w:rPr>
                <w:rFonts w:cs="Arial"/>
                <w:b/>
                <w:bCs/>
                <w:i/>
                <w:iCs/>
                <w:sz w:val="22"/>
                <w:szCs w:val="20"/>
                <w:lang w:val="pt-BR"/>
              </w:rPr>
              <w:t>,676</w:t>
            </w:r>
          </w:p>
        </w:tc>
      </w:tr>
      <w:tr w:rsidR="005D11A0" w:rsidRPr="002C2C75" w14:paraId="37BFC152" w14:textId="77777777" w:rsidTr="00C711A0">
        <w:trPr>
          <w:cnfStyle w:val="000000100000" w:firstRow="0" w:lastRow="0" w:firstColumn="0" w:lastColumn="0" w:oddVBand="0" w:evenVBand="0" w:oddHBand="1" w:evenHBand="0" w:firstRowFirstColumn="0" w:firstRowLastColumn="0" w:lastRowFirstColumn="0" w:lastRowLastColumn="0"/>
          <w:trHeight w:val="235"/>
        </w:trPr>
        <w:tc>
          <w:tcPr>
            <w:tcW w:w="449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67E9A03C" w14:textId="2067CDD4" w:rsidR="00504E65" w:rsidRPr="002C2C75" w:rsidRDefault="00504E65" w:rsidP="005D11A0">
            <w:pPr>
              <w:pStyle w:val="BodyTextNoSpace"/>
              <w:rPr>
                <w:color w:val="000000" w:themeColor="text1"/>
                <w:sz w:val="22"/>
                <w:szCs w:val="20"/>
                <w:lang w:val="en-US"/>
              </w:rPr>
            </w:pPr>
            <w:r w:rsidRPr="002C2C75">
              <w:rPr>
                <w:color w:val="000000" w:themeColor="text1"/>
                <w:sz w:val="22"/>
                <w:szCs w:val="20"/>
                <w:lang w:val="en-US"/>
              </w:rPr>
              <w:t>Matching Funds Request Amount</w:t>
            </w:r>
          </w:p>
          <w:p w14:paraId="08B50FFE" w14:textId="77777777" w:rsidR="00504E65" w:rsidRPr="002C2C75" w:rsidRDefault="00504E65" w:rsidP="005D11A0">
            <w:pPr>
              <w:pStyle w:val="BodyTextNoSpace"/>
              <w:rPr>
                <w:rFonts w:cs="Arial"/>
                <w:color w:val="000000" w:themeColor="text1"/>
                <w:sz w:val="22"/>
                <w:szCs w:val="20"/>
                <w:lang w:val="en-US"/>
              </w:rPr>
            </w:pPr>
            <w:r w:rsidRPr="002C2C75">
              <w:rPr>
                <w:color w:val="000000" w:themeColor="text1"/>
                <w:sz w:val="22"/>
                <w:szCs w:val="20"/>
                <w:lang w:val="en-US"/>
              </w:rPr>
              <w:t>(if applicable)</w:t>
            </w:r>
          </w:p>
        </w:tc>
        <w:tc>
          <w:tcPr>
            <w:tcW w:w="58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332FDC" w14:textId="4BC42965" w:rsidR="00504E65" w:rsidRPr="002C2C75" w:rsidRDefault="00B13E3E" w:rsidP="005D11A0">
            <w:pPr>
              <w:pStyle w:val="BodyTextNoSpace"/>
              <w:rPr>
                <w:rFonts w:cs="Arial"/>
                <w:sz w:val="22"/>
                <w:szCs w:val="20"/>
                <w:lang w:val="en-US"/>
              </w:rPr>
            </w:pPr>
            <w:r w:rsidRPr="002C2C75">
              <w:rPr>
                <w:b/>
                <w:bCs/>
                <w:sz w:val="22"/>
                <w:szCs w:val="20"/>
              </w:rPr>
              <w:t>RSSH Innovation Fund</w:t>
            </w:r>
            <w:r w:rsidRPr="002C2C75">
              <w:rPr>
                <w:sz w:val="22"/>
                <w:szCs w:val="20"/>
              </w:rPr>
              <w:t xml:space="preserve">: $7.0M </w:t>
            </w:r>
          </w:p>
        </w:tc>
      </w:tr>
    </w:tbl>
    <w:p w14:paraId="4AF176F7" w14:textId="36E45BD5" w:rsidR="00297344" w:rsidRPr="002C2C75" w:rsidRDefault="00A02DFA" w:rsidP="009F6BA9">
      <w:pPr>
        <w:pStyle w:val="BodyText"/>
        <w:spacing w:before="120"/>
        <w:rPr>
          <w:color w:val="000000" w:themeColor="text1"/>
          <w:lang w:val="en-US"/>
        </w:rPr>
      </w:pPr>
      <w:r w:rsidRPr="002C2C75">
        <w:rPr>
          <w:color w:val="000000" w:themeColor="text1"/>
          <w:szCs w:val="24"/>
          <w:lang w:val="en-US"/>
        </w:rPr>
        <w:t>.</w:t>
      </w:r>
    </w:p>
    <w:p w14:paraId="08920C9B" w14:textId="0968D7E8" w:rsidR="004E4458" w:rsidRPr="002C2C75" w:rsidRDefault="004E4458" w:rsidP="00EA7883">
      <w:pPr>
        <w:pStyle w:val="BodyText"/>
        <w:rPr>
          <w:lang w:val="en-US"/>
        </w:rPr>
        <w:sectPr w:rsidR="004E4458" w:rsidRPr="002C2C75" w:rsidSect="00EC43C0">
          <w:headerReference w:type="default" r:id="rId14"/>
          <w:footerReference w:type="default" r:id="rId15"/>
          <w:headerReference w:type="first" r:id="rId16"/>
          <w:footerReference w:type="first" r:id="rId17"/>
          <w:type w:val="continuous"/>
          <w:pgSz w:w="11906" w:h="16838" w:code="9"/>
          <w:pgMar w:top="851" w:right="851" w:bottom="1871" w:left="851" w:header="289" w:footer="289" w:gutter="0"/>
          <w:cols w:space="708"/>
          <w:titlePg/>
          <w:docGrid w:linePitch="360"/>
        </w:sectPr>
      </w:pPr>
    </w:p>
    <w:p w14:paraId="58E99E06" w14:textId="6B3B92DA" w:rsidR="00ED7216" w:rsidRPr="002C2C75" w:rsidRDefault="00ED7216" w:rsidP="00C06EC9">
      <w:pPr>
        <w:pStyle w:val="Heading1"/>
        <w:spacing w:after="80"/>
      </w:pPr>
      <w:r w:rsidRPr="002C2C75">
        <w:lastRenderedPageBreak/>
        <w:t>Funding Request and Rationale</w:t>
      </w:r>
    </w:p>
    <w:p w14:paraId="757C07FE" w14:textId="7F068FC5" w:rsidR="00DA7E4A" w:rsidRPr="002C2C75" w:rsidRDefault="005E5D63" w:rsidP="00C06EC9">
      <w:pPr>
        <w:pStyle w:val="Heading2"/>
        <w:numPr>
          <w:ilvl w:val="1"/>
          <w:numId w:val="13"/>
        </w:numPr>
        <w:spacing w:before="80" w:after="80"/>
        <w:rPr>
          <w:lang w:val="en-US"/>
        </w:rPr>
      </w:pPr>
      <w:r w:rsidRPr="002C2C75">
        <w:t xml:space="preserve">Prioritized </w:t>
      </w:r>
      <w:r w:rsidR="00B72F1C" w:rsidRPr="002C2C75">
        <w:t>Request</w:t>
      </w:r>
      <w:r w:rsidR="007449AA" w:rsidRPr="002C2C75">
        <w:rPr>
          <w:lang w:val="en-US"/>
        </w:rPr>
        <w:t xml:space="preserve"> </w:t>
      </w:r>
    </w:p>
    <w:p w14:paraId="43BC1AE2" w14:textId="6F082D8B" w:rsidR="00DA7E4A" w:rsidRPr="002C2C75" w:rsidRDefault="006C26AC">
      <w:pPr>
        <w:pStyle w:val="BodyText"/>
        <w:numPr>
          <w:ilvl w:val="2"/>
          <w:numId w:val="14"/>
        </w:numPr>
      </w:pPr>
      <w:r w:rsidRPr="002C2C75">
        <w:t>For each module, p</w:t>
      </w:r>
      <w:r w:rsidR="00ED7216" w:rsidRPr="002C2C75">
        <w:t xml:space="preserve">rovide information </w:t>
      </w:r>
      <w:r w:rsidRPr="002C2C75">
        <w:t>on</w:t>
      </w:r>
      <w:r w:rsidR="00ED7216" w:rsidRPr="002C2C75">
        <w:t xml:space="preserve"> </w:t>
      </w:r>
      <w:r w:rsidR="00341E6A" w:rsidRPr="002C2C75">
        <w:t xml:space="preserve">the </w:t>
      </w:r>
      <w:r w:rsidR="0021127A" w:rsidRPr="002C2C75">
        <w:t>funding</w:t>
      </w:r>
      <w:r w:rsidR="00ED7216" w:rsidRPr="002C2C75">
        <w:t xml:space="preserve"> being requested </w:t>
      </w:r>
      <w:r w:rsidR="00B31161" w:rsidRPr="002C2C75">
        <w:t>from</w:t>
      </w:r>
      <w:r w:rsidR="00ED7216" w:rsidRPr="002C2C75">
        <w:t xml:space="preserve"> the Global Fund</w:t>
      </w:r>
      <w:r w:rsidR="00B31161" w:rsidRPr="002C2C75">
        <w:t>,</w:t>
      </w:r>
      <w:r w:rsidR="00ED7216" w:rsidRPr="002C2C75">
        <w:t xml:space="preserve"> and what is expected to be achieved as a result of the Global Fund’s investment. </w:t>
      </w:r>
    </w:p>
    <w:p w14:paraId="1B110C22" w14:textId="5001D227" w:rsidR="006A437D" w:rsidRPr="002C2C75" w:rsidRDefault="00C06EC9" w:rsidP="00FB3505">
      <w:pPr>
        <w:pBdr>
          <w:top w:val="nil"/>
          <w:left w:val="nil"/>
          <w:bottom w:val="nil"/>
          <w:right w:val="nil"/>
          <w:between w:val="nil"/>
        </w:pBdr>
        <w:spacing w:line="264" w:lineRule="auto"/>
        <w:rPr>
          <w:rFonts w:eastAsia="Arial" w:cstheme="minorHAnsi"/>
        </w:rPr>
      </w:pPr>
      <w:r w:rsidRPr="002C2C75">
        <w:rPr>
          <w:rFonts w:eastAsia="Arial" w:cstheme="minorHAnsi"/>
        </w:rPr>
        <w:t xml:space="preserve">The main allocation activities are summarized below be module and interventions. </w:t>
      </w:r>
    </w:p>
    <w:p w14:paraId="70E803CC" w14:textId="28EBF71E" w:rsidR="00C06EC9" w:rsidRPr="002C2C75" w:rsidRDefault="00C06EC9" w:rsidP="00FB3505">
      <w:pPr>
        <w:pBdr>
          <w:top w:val="nil"/>
          <w:left w:val="nil"/>
          <w:bottom w:val="nil"/>
          <w:right w:val="nil"/>
          <w:between w:val="nil"/>
        </w:pBdr>
        <w:spacing w:line="264" w:lineRule="auto"/>
        <w:rPr>
          <w:rFonts w:eastAsia="Arial" w:cstheme="minorHAnsi"/>
        </w:rPr>
      </w:pPr>
      <w:r w:rsidRPr="002C2C75">
        <w:rPr>
          <w:rFonts w:eastAsia="Arial" w:cstheme="minorHAnsi"/>
        </w:rPr>
        <w:t xml:space="preserve">Table 1: </w:t>
      </w:r>
      <w:r w:rsidR="0022151C" w:rsidRPr="002C2C75">
        <w:rPr>
          <w:rFonts w:eastAsia="Arial" w:cstheme="minorHAnsi"/>
        </w:rPr>
        <w:t>Malaria b</w:t>
      </w:r>
      <w:r w:rsidRPr="002C2C75">
        <w:rPr>
          <w:rFonts w:eastAsia="Arial" w:cstheme="minorHAnsi"/>
        </w:rPr>
        <w:t>udget summary by module</w:t>
      </w:r>
      <w:r w:rsidR="00967230" w:rsidRPr="002C2C75">
        <w:rPr>
          <w:rFonts w:eastAsia="Arial" w:cstheme="minorHAnsi"/>
        </w:rPr>
        <w:t>, main allocation</w:t>
      </w:r>
    </w:p>
    <w:p w14:paraId="564D9105" w14:textId="63074440" w:rsidR="00904854" w:rsidRPr="002C2C75" w:rsidRDefault="007D74E4" w:rsidP="00FB3505">
      <w:pPr>
        <w:pBdr>
          <w:top w:val="nil"/>
          <w:left w:val="nil"/>
          <w:bottom w:val="nil"/>
          <w:right w:val="nil"/>
          <w:between w:val="nil"/>
        </w:pBdr>
        <w:spacing w:line="264" w:lineRule="auto"/>
        <w:rPr>
          <w:rFonts w:eastAsia="Arial" w:cstheme="minorHAnsi"/>
        </w:rPr>
      </w:pPr>
      <w:r w:rsidRPr="002C2C75">
        <w:rPr>
          <w:noProof/>
        </w:rPr>
        <w:drawing>
          <wp:inline distT="0" distB="0" distL="0" distR="0" wp14:anchorId="7B3E2CBB" wp14:editId="1EE94AEE">
            <wp:extent cx="6014720" cy="1133475"/>
            <wp:effectExtent l="0" t="0" r="508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4720" cy="1133475"/>
                    </a:xfrm>
                    <a:prstGeom prst="rect">
                      <a:avLst/>
                    </a:prstGeom>
                    <a:noFill/>
                    <a:ln>
                      <a:noFill/>
                    </a:ln>
                  </pic:spPr>
                </pic:pic>
              </a:graphicData>
            </a:graphic>
          </wp:inline>
        </w:drawing>
      </w:r>
    </w:p>
    <w:p w14:paraId="28A44E6D" w14:textId="7828F50B" w:rsidR="00C06EC9" w:rsidRPr="002C2C75" w:rsidRDefault="00C06EC9" w:rsidP="00FB3505">
      <w:pPr>
        <w:pBdr>
          <w:top w:val="nil"/>
          <w:left w:val="nil"/>
          <w:bottom w:val="nil"/>
          <w:right w:val="nil"/>
          <w:between w:val="nil"/>
        </w:pBdr>
        <w:spacing w:line="264" w:lineRule="auto"/>
        <w:rPr>
          <w:rFonts w:eastAsia="Arial" w:cstheme="minorHAnsi"/>
        </w:rPr>
      </w:pPr>
      <w:r w:rsidRPr="002C2C75">
        <w:rPr>
          <w:rFonts w:eastAsia="Arial" w:cstheme="minorHAnsi"/>
        </w:rPr>
        <w:t xml:space="preserve">Figure 1: </w:t>
      </w:r>
      <w:r w:rsidR="0022151C" w:rsidRPr="002C2C75">
        <w:rPr>
          <w:rFonts w:eastAsia="Arial" w:cstheme="minorHAnsi"/>
        </w:rPr>
        <w:t>Malaria b</w:t>
      </w:r>
      <w:r w:rsidRPr="002C2C75">
        <w:rPr>
          <w:rFonts w:eastAsia="Arial" w:cstheme="minorHAnsi"/>
        </w:rPr>
        <w:t>udget summary by intervention</w:t>
      </w:r>
      <w:r w:rsidR="00967230" w:rsidRPr="002C2C75">
        <w:rPr>
          <w:rFonts w:eastAsia="Arial" w:cstheme="minorHAnsi"/>
        </w:rPr>
        <w:t>, main allocation</w:t>
      </w:r>
    </w:p>
    <w:p w14:paraId="1F785A52" w14:textId="32093D19" w:rsidR="00C06EC9" w:rsidRPr="002C2C75" w:rsidRDefault="007D74E4" w:rsidP="00FB3505">
      <w:pPr>
        <w:pBdr>
          <w:top w:val="nil"/>
          <w:left w:val="nil"/>
          <w:bottom w:val="nil"/>
          <w:right w:val="nil"/>
          <w:between w:val="nil"/>
        </w:pBdr>
        <w:spacing w:line="264" w:lineRule="auto"/>
        <w:rPr>
          <w:rFonts w:eastAsia="Arial" w:cstheme="minorHAnsi"/>
        </w:rPr>
      </w:pPr>
      <w:r w:rsidRPr="002C2C75">
        <w:rPr>
          <w:rFonts w:eastAsia="Arial" w:cstheme="minorHAnsi"/>
          <w:noProof/>
        </w:rPr>
        <w:drawing>
          <wp:inline distT="0" distB="0" distL="0" distR="0" wp14:anchorId="64D10347" wp14:editId="667F05AA">
            <wp:extent cx="6035675" cy="482854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5675" cy="4828540"/>
                    </a:xfrm>
                    <a:prstGeom prst="rect">
                      <a:avLst/>
                    </a:prstGeom>
                    <a:noFill/>
                  </pic:spPr>
                </pic:pic>
              </a:graphicData>
            </a:graphic>
          </wp:inline>
        </w:drawing>
      </w:r>
    </w:p>
    <w:p w14:paraId="0C62FAF5" w14:textId="77777777" w:rsidR="00C06EC9" w:rsidRPr="002C2C75" w:rsidRDefault="00C06EC9" w:rsidP="00DF7C42">
      <w:pPr>
        <w:pBdr>
          <w:top w:val="nil"/>
          <w:left w:val="nil"/>
          <w:bottom w:val="nil"/>
          <w:right w:val="nil"/>
          <w:between w:val="nil"/>
        </w:pBdr>
        <w:spacing w:afterLines="40" w:after="96" w:line="264" w:lineRule="auto"/>
        <w:rPr>
          <w:rFonts w:eastAsia="Arial" w:cstheme="minorHAnsi"/>
          <w:b/>
          <w:color w:val="000000"/>
        </w:rPr>
        <w:sectPr w:rsidR="00C06EC9" w:rsidRPr="002C2C75" w:rsidSect="00C06EC9">
          <w:headerReference w:type="default" r:id="rId20"/>
          <w:headerReference w:type="first" r:id="rId21"/>
          <w:footerReference w:type="first" r:id="rId22"/>
          <w:pgSz w:w="11906" w:h="16838" w:code="9"/>
          <w:pgMar w:top="850" w:right="1584" w:bottom="907" w:left="850" w:header="288" w:footer="288" w:gutter="0"/>
          <w:cols w:space="708"/>
          <w:titlePg/>
          <w:docGrid w:linePitch="360"/>
        </w:sectPr>
      </w:pPr>
    </w:p>
    <w:tbl>
      <w:tblPr>
        <w:tblW w:w="15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0"/>
        <w:gridCol w:w="12585"/>
      </w:tblGrid>
      <w:tr w:rsidR="008B729A" w:rsidRPr="006A437D" w14:paraId="13E62467" w14:textId="77777777" w:rsidTr="00021BDE">
        <w:trPr>
          <w:cantSplit/>
          <w:trHeight w:val="147"/>
        </w:trPr>
        <w:tc>
          <w:tcPr>
            <w:tcW w:w="2580" w:type="dxa"/>
          </w:tcPr>
          <w:p w14:paraId="309B224B" w14:textId="77777777" w:rsidR="008B729A" w:rsidRPr="006A437D" w:rsidRDefault="008B729A" w:rsidP="00021BDE">
            <w:pPr>
              <w:pBdr>
                <w:top w:val="nil"/>
                <w:left w:val="nil"/>
                <w:bottom w:val="nil"/>
                <w:right w:val="nil"/>
                <w:between w:val="nil"/>
              </w:pBdr>
              <w:spacing w:after="0" w:line="264" w:lineRule="auto"/>
              <w:rPr>
                <w:rFonts w:eastAsia="Arial" w:cstheme="minorHAnsi"/>
                <w:color w:val="000000"/>
              </w:rPr>
            </w:pPr>
            <w:r w:rsidRPr="006A437D">
              <w:rPr>
                <w:rFonts w:eastAsia="Arial" w:cstheme="minorHAnsi"/>
                <w:b/>
                <w:bCs/>
                <w:color w:val="000000"/>
              </w:rPr>
              <w:lastRenderedPageBreak/>
              <w:t>MODULE</w:t>
            </w:r>
            <w:r w:rsidRPr="006A437D">
              <w:rPr>
                <w:rFonts w:eastAsia="Arial" w:cstheme="minorHAnsi"/>
                <w:color w:val="000000"/>
              </w:rPr>
              <w:t xml:space="preserve"> </w:t>
            </w:r>
            <w:r w:rsidRPr="006A437D">
              <w:rPr>
                <w:rFonts w:eastAsia="Arial" w:cstheme="minorHAnsi"/>
                <w:b/>
                <w:color w:val="000000"/>
              </w:rPr>
              <w:t>1</w:t>
            </w:r>
          </w:p>
        </w:tc>
        <w:tc>
          <w:tcPr>
            <w:tcW w:w="12585" w:type="dxa"/>
          </w:tcPr>
          <w:p w14:paraId="4A7F622D" w14:textId="77777777" w:rsidR="008B729A" w:rsidRPr="006A437D" w:rsidRDefault="008B729A" w:rsidP="00021BDE">
            <w:pPr>
              <w:pBdr>
                <w:top w:val="nil"/>
                <w:left w:val="nil"/>
                <w:bottom w:val="nil"/>
                <w:right w:val="nil"/>
                <w:between w:val="nil"/>
              </w:pBdr>
              <w:spacing w:after="0" w:line="240" w:lineRule="auto"/>
              <w:rPr>
                <w:rFonts w:eastAsia="Arial" w:cstheme="minorHAnsi"/>
                <w:color w:val="FF0000"/>
              </w:rPr>
            </w:pPr>
            <w:r w:rsidRPr="006A437D">
              <w:rPr>
                <w:rFonts w:eastAsia="Arial" w:cstheme="minorHAnsi"/>
                <w:b/>
                <w:color w:val="000000"/>
              </w:rPr>
              <w:t>CASE MANAGEMENT</w:t>
            </w:r>
          </w:p>
        </w:tc>
      </w:tr>
      <w:tr w:rsidR="000E5F8F" w:rsidRPr="006A437D" w14:paraId="056722B8" w14:textId="77777777" w:rsidTr="00021BDE">
        <w:trPr>
          <w:cantSplit/>
        </w:trPr>
        <w:tc>
          <w:tcPr>
            <w:tcW w:w="2580" w:type="dxa"/>
            <w:vMerge w:val="restart"/>
          </w:tcPr>
          <w:p w14:paraId="7F0F44E7" w14:textId="77777777" w:rsidR="000E5F8F" w:rsidRPr="006A437D" w:rsidRDefault="000E5F8F" w:rsidP="00021BDE">
            <w:pPr>
              <w:pBdr>
                <w:top w:val="nil"/>
                <w:left w:val="nil"/>
                <w:bottom w:val="nil"/>
                <w:right w:val="nil"/>
                <w:between w:val="nil"/>
              </w:pBdr>
              <w:spacing w:afterLines="40" w:after="96" w:line="264" w:lineRule="auto"/>
              <w:rPr>
                <w:rFonts w:eastAsia="Arial" w:cstheme="minorHAnsi"/>
                <w:b/>
                <w:bCs/>
                <w:color w:val="000000"/>
              </w:rPr>
            </w:pPr>
            <w:r w:rsidRPr="006A437D">
              <w:rPr>
                <w:rFonts w:eastAsia="Arial" w:cstheme="minorHAnsi"/>
                <w:b/>
                <w:bCs/>
                <w:color w:val="000000"/>
              </w:rPr>
              <w:t>Intervention(s)</w:t>
            </w:r>
          </w:p>
        </w:tc>
        <w:tc>
          <w:tcPr>
            <w:tcW w:w="12585" w:type="dxa"/>
          </w:tcPr>
          <w:p w14:paraId="07D348AF" w14:textId="77777777" w:rsidR="000E5F8F" w:rsidRPr="006A437D" w:rsidRDefault="000E5F8F" w:rsidP="00021BDE">
            <w:pPr>
              <w:pBdr>
                <w:top w:val="nil"/>
                <w:left w:val="nil"/>
                <w:bottom w:val="nil"/>
                <w:right w:val="nil"/>
                <w:between w:val="nil"/>
              </w:pBdr>
              <w:spacing w:afterLines="40" w:after="96" w:line="264" w:lineRule="auto"/>
              <w:rPr>
                <w:rFonts w:eastAsia="Arial" w:cstheme="minorHAnsi"/>
                <w:color w:val="000000"/>
              </w:rPr>
            </w:pPr>
            <w:r w:rsidRPr="006A437D">
              <w:rPr>
                <w:rFonts w:eastAsia="Arial" w:cstheme="minorHAnsi"/>
                <w:b/>
                <w:color w:val="000000"/>
              </w:rPr>
              <w:t xml:space="preserve">Intervention: </w:t>
            </w:r>
            <w:r w:rsidRPr="006A437D">
              <w:rPr>
                <w:rFonts w:eastAsia="Arial" w:cstheme="minorHAnsi"/>
                <w:color w:val="000000"/>
              </w:rPr>
              <w:t xml:space="preserve">Facility-based treatment </w:t>
            </w:r>
            <w:r w:rsidRPr="006A437D">
              <w:rPr>
                <w:rFonts w:eastAsia="Arial" w:cstheme="minorHAnsi"/>
                <w:color w:val="000000"/>
                <w:u w:val="single"/>
              </w:rPr>
              <w:t>and</w:t>
            </w:r>
            <w:r w:rsidRPr="006A437D">
              <w:rPr>
                <w:rFonts w:eastAsia="Arial" w:cstheme="minorHAnsi"/>
                <w:color w:val="000000"/>
              </w:rPr>
              <w:t xml:space="preserve"> integrated community case management (iCCM) [planned and quantified together]</w:t>
            </w:r>
          </w:p>
          <w:p w14:paraId="07B9FE8D" w14:textId="2AC2DBDF" w:rsidR="000E5F8F" w:rsidRPr="00524BBB" w:rsidRDefault="000E5F8F" w:rsidP="00021BDE">
            <w:pPr>
              <w:pBdr>
                <w:top w:val="nil"/>
                <w:left w:val="nil"/>
                <w:bottom w:val="nil"/>
                <w:right w:val="nil"/>
                <w:between w:val="nil"/>
              </w:pBdr>
              <w:spacing w:afterLines="40" w:after="96" w:line="264" w:lineRule="auto"/>
              <w:rPr>
                <w:rFonts w:eastAsia="Arial" w:cstheme="minorHAnsi"/>
                <w:color w:val="000000"/>
              </w:rPr>
            </w:pPr>
            <w:r w:rsidRPr="006A437D">
              <w:rPr>
                <w:rFonts w:eastAsia="Arial" w:cstheme="minorHAnsi"/>
                <w:color w:val="000000"/>
              </w:rPr>
              <w:t xml:space="preserve">Change in </w:t>
            </w:r>
            <w:r w:rsidRPr="00127F33">
              <w:rPr>
                <w:rFonts w:eastAsia="Arial" w:cstheme="minorHAnsi"/>
                <w:color w:val="000000"/>
              </w:rPr>
              <w:t xml:space="preserve">Programming from current grant: </w:t>
            </w:r>
            <w:r w:rsidRPr="00127F33">
              <w:rPr>
                <w:rFonts w:ascii="Segoe UI Symbol" w:eastAsia="MS Gothic" w:hAnsi="Segoe UI Symbol" w:cs="Segoe UI Symbol"/>
                <w:color w:val="000000"/>
              </w:rPr>
              <w:t>☐</w:t>
            </w:r>
            <w:r w:rsidRPr="00127F33">
              <w:rPr>
                <w:rFonts w:eastAsia="Arial" w:cstheme="minorHAnsi"/>
                <w:color w:val="000000"/>
              </w:rPr>
              <w:t xml:space="preserve"> New, </w:t>
            </w:r>
            <w:r w:rsidRPr="00127F33">
              <w:rPr>
                <w:rFonts w:ascii="Segoe UI Symbol" w:eastAsia="MS Gothic" w:hAnsi="Segoe UI Symbol" w:cs="Segoe UI Symbol"/>
                <w:color w:val="000000"/>
              </w:rPr>
              <w:t>☐</w:t>
            </w:r>
            <w:r w:rsidRPr="00127F33">
              <w:rPr>
                <w:rFonts w:eastAsia="Arial" w:cstheme="minorHAnsi"/>
                <w:color w:val="000000"/>
              </w:rPr>
              <w:t xml:space="preserve"> Scale-up, </w:t>
            </w:r>
            <w:r w:rsidRPr="00127F33">
              <w:rPr>
                <w:rFonts w:ascii="Segoe UI Symbol" w:eastAsia="MS Gothic" w:hAnsi="Segoe UI Symbol" w:cs="Segoe UI Symbol"/>
                <w:color w:val="000000"/>
              </w:rPr>
              <w:t>☒</w:t>
            </w:r>
            <w:r w:rsidRPr="00127F33">
              <w:rPr>
                <w:rFonts w:eastAsia="Arial" w:cstheme="minorHAnsi"/>
                <w:color w:val="000000"/>
              </w:rPr>
              <w:t xml:space="preserve"> Continuation, or </w:t>
            </w:r>
            <w:r w:rsidRPr="00127F33">
              <w:rPr>
                <w:rFonts w:ascii="Segoe UI Symbol" w:eastAsia="MS Gothic" w:hAnsi="Segoe UI Symbol" w:cs="Segoe UI Symbol"/>
                <w:color w:val="000000"/>
              </w:rPr>
              <w:t>☐</w:t>
            </w:r>
            <w:r w:rsidRPr="00127F33">
              <w:rPr>
                <w:rFonts w:eastAsia="Arial" w:cstheme="minorHAnsi"/>
                <w:color w:val="000000"/>
              </w:rPr>
              <w:t xml:space="preserve"> Scale-down</w:t>
            </w:r>
          </w:p>
        </w:tc>
      </w:tr>
      <w:tr w:rsidR="000E5F8F" w:rsidRPr="006A437D" w14:paraId="35C375D7" w14:textId="77777777" w:rsidTr="00021BDE">
        <w:trPr>
          <w:cantSplit/>
        </w:trPr>
        <w:tc>
          <w:tcPr>
            <w:tcW w:w="2580" w:type="dxa"/>
            <w:vMerge/>
          </w:tcPr>
          <w:p w14:paraId="2D1BAA62" w14:textId="77777777" w:rsidR="000E5F8F" w:rsidRPr="006A437D" w:rsidRDefault="000E5F8F" w:rsidP="00021BDE">
            <w:pPr>
              <w:pBdr>
                <w:top w:val="nil"/>
                <w:left w:val="nil"/>
                <w:bottom w:val="nil"/>
                <w:right w:val="nil"/>
                <w:between w:val="nil"/>
              </w:pBdr>
              <w:spacing w:afterLines="40" w:after="96" w:line="264" w:lineRule="auto"/>
              <w:rPr>
                <w:rFonts w:eastAsia="Arial" w:cstheme="minorHAnsi"/>
                <w:b/>
                <w:bCs/>
                <w:color w:val="000000"/>
              </w:rPr>
            </w:pPr>
          </w:p>
        </w:tc>
        <w:tc>
          <w:tcPr>
            <w:tcW w:w="12585" w:type="dxa"/>
          </w:tcPr>
          <w:p w14:paraId="1079BAD4" w14:textId="77777777" w:rsidR="000E5F8F" w:rsidRPr="006A437D" w:rsidRDefault="000E5F8F" w:rsidP="000E5F8F">
            <w:pPr>
              <w:pBdr>
                <w:top w:val="nil"/>
                <w:left w:val="nil"/>
                <w:bottom w:val="nil"/>
                <w:right w:val="nil"/>
                <w:between w:val="nil"/>
              </w:pBdr>
              <w:spacing w:afterLines="40" w:after="96" w:line="264" w:lineRule="auto"/>
              <w:rPr>
                <w:rFonts w:eastAsia="Arial" w:cstheme="minorHAnsi"/>
                <w:color w:val="000000"/>
              </w:rPr>
            </w:pPr>
            <w:r w:rsidRPr="006A437D">
              <w:rPr>
                <w:rFonts w:eastAsia="Arial" w:cstheme="minorHAnsi"/>
                <w:b/>
                <w:color w:val="000000"/>
              </w:rPr>
              <w:t xml:space="preserve">Intervention: </w:t>
            </w:r>
            <w:r w:rsidRPr="006A437D">
              <w:rPr>
                <w:rFonts w:eastAsia="Arial" w:cstheme="minorHAnsi"/>
                <w:color w:val="000000"/>
              </w:rPr>
              <w:t>Social and behavior change (SBC)</w:t>
            </w:r>
          </w:p>
          <w:p w14:paraId="19643EA1" w14:textId="29010F10" w:rsidR="000E5F8F" w:rsidRPr="006A437D" w:rsidRDefault="000E5F8F" w:rsidP="000E5F8F">
            <w:pPr>
              <w:pBdr>
                <w:top w:val="nil"/>
                <w:left w:val="nil"/>
                <w:bottom w:val="nil"/>
                <w:right w:val="nil"/>
                <w:between w:val="nil"/>
              </w:pBdr>
              <w:spacing w:afterLines="40" w:after="96" w:line="264" w:lineRule="auto"/>
              <w:rPr>
                <w:rFonts w:eastAsia="Arial" w:cstheme="minorHAnsi"/>
                <w:b/>
                <w:color w:val="000000"/>
              </w:rPr>
            </w:pPr>
            <w:r w:rsidRPr="006A437D">
              <w:rPr>
                <w:rFonts w:eastAsia="Arial" w:cstheme="minorHAnsi"/>
                <w:color w:val="000000"/>
              </w:rPr>
              <w:t xml:space="preserve">Change in Programming from current grant: </w:t>
            </w:r>
            <w:r w:rsidRPr="006A437D">
              <w:rPr>
                <w:rFonts w:ascii="Segoe UI Symbol" w:eastAsia="MS Gothic" w:hAnsi="Segoe UI Symbol" w:cs="Segoe UI Symbol"/>
                <w:color w:val="000000"/>
              </w:rPr>
              <w:t>☐</w:t>
            </w:r>
            <w:r w:rsidRPr="006A437D">
              <w:rPr>
                <w:rFonts w:eastAsia="Arial" w:cstheme="minorHAnsi"/>
                <w:color w:val="000000"/>
              </w:rPr>
              <w:t xml:space="preserve"> New, </w:t>
            </w:r>
            <w:r w:rsidRPr="006A437D">
              <w:rPr>
                <w:rFonts w:ascii="Segoe UI Symbol" w:eastAsia="MS Gothic" w:hAnsi="Segoe UI Symbol" w:cs="Segoe UI Symbol"/>
                <w:color w:val="000000"/>
              </w:rPr>
              <w:t>☐</w:t>
            </w:r>
            <w:r w:rsidRPr="006A437D">
              <w:rPr>
                <w:rFonts w:eastAsia="Arial" w:cstheme="minorHAnsi"/>
                <w:color w:val="000000"/>
              </w:rPr>
              <w:t xml:space="preserve"> Scale-up, </w:t>
            </w:r>
            <w:r w:rsidRPr="006A437D">
              <w:rPr>
                <w:rFonts w:ascii="Segoe UI Symbol" w:eastAsia="MS Gothic" w:hAnsi="Segoe UI Symbol" w:cs="Segoe UI Symbol"/>
                <w:color w:val="000000"/>
              </w:rPr>
              <w:t>☒</w:t>
            </w:r>
            <w:r w:rsidRPr="006A437D">
              <w:rPr>
                <w:rFonts w:eastAsia="Arial" w:cstheme="minorHAnsi"/>
                <w:color w:val="000000"/>
              </w:rPr>
              <w:t xml:space="preserve"> Continuation, or </w:t>
            </w:r>
            <w:r w:rsidRPr="006A437D">
              <w:rPr>
                <w:rFonts w:ascii="Segoe UI Symbol" w:eastAsia="MS Gothic" w:hAnsi="Segoe UI Symbol" w:cs="Segoe UI Symbol"/>
                <w:color w:val="000000"/>
              </w:rPr>
              <w:t>☐</w:t>
            </w:r>
            <w:r w:rsidRPr="006A437D">
              <w:rPr>
                <w:rFonts w:eastAsia="Arial" w:cstheme="minorHAnsi"/>
                <w:color w:val="000000"/>
              </w:rPr>
              <w:t xml:space="preserve"> Scale-down</w:t>
            </w:r>
          </w:p>
        </w:tc>
      </w:tr>
      <w:tr w:rsidR="008B729A" w:rsidRPr="006A437D" w14:paraId="70D317B5" w14:textId="77777777" w:rsidTr="00021BDE">
        <w:trPr>
          <w:cantSplit/>
        </w:trPr>
        <w:tc>
          <w:tcPr>
            <w:tcW w:w="2580" w:type="dxa"/>
          </w:tcPr>
          <w:p w14:paraId="60ABA8DC"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b/>
                <w:bCs/>
                <w:color w:val="000000"/>
              </w:rPr>
            </w:pPr>
            <w:r>
              <w:rPr>
                <w:rFonts w:eastAsia="Arial" w:cstheme="minorHAnsi"/>
                <w:b/>
                <w:bCs/>
                <w:color w:val="000000"/>
              </w:rPr>
              <w:t>Population, geographies and/or barriers addressed</w:t>
            </w:r>
          </w:p>
        </w:tc>
        <w:tc>
          <w:tcPr>
            <w:tcW w:w="12585" w:type="dxa"/>
          </w:tcPr>
          <w:p w14:paraId="3479ECB8" w14:textId="77777777" w:rsidR="008B729A" w:rsidRDefault="008B729A" w:rsidP="00021BDE">
            <w:pPr>
              <w:pBdr>
                <w:top w:val="nil"/>
                <w:left w:val="nil"/>
                <w:bottom w:val="nil"/>
                <w:right w:val="nil"/>
                <w:between w:val="nil"/>
              </w:pBdr>
              <w:tabs>
                <w:tab w:val="left" w:pos="1377"/>
              </w:tabs>
              <w:spacing w:afterLines="40" w:after="96" w:line="264" w:lineRule="auto"/>
              <w:rPr>
                <w:rFonts w:eastAsia="Arial" w:cstheme="minorHAnsi"/>
                <w:color w:val="000000"/>
              </w:rPr>
            </w:pPr>
            <w:r>
              <w:rPr>
                <w:rFonts w:eastAsia="Arial" w:cstheme="minorHAnsi"/>
                <w:color w:val="000000"/>
              </w:rPr>
              <w:t>The e</w:t>
            </w:r>
            <w:r w:rsidRPr="006A437D">
              <w:rPr>
                <w:rFonts w:eastAsia="Arial" w:cstheme="minorHAnsi"/>
                <w:color w:val="000000"/>
              </w:rPr>
              <w:t xml:space="preserve">ntire population </w:t>
            </w:r>
            <w:r>
              <w:rPr>
                <w:rFonts w:eastAsia="Arial" w:cstheme="minorHAnsi"/>
                <w:color w:val="000000"/>
              </w:rPr>
              <w:t xml:space="preserve">of Mozambique </w:t>
            </w:r>
            <w:r w:rsidRPr="006A437D">
              <w:rPr>
                <w:rFonts w:eastAsia="Arial" w:cstheme="minorHAnsi"/>
                <w:color w:val="000000"/>
              </w:rPr>
              <w:t>requires access to quality malaria case management services</w:t>
            </w:r>
            <w:r>
              <w:rPr>
                <w:rFonts w:eastAsia="Arial" w:cstheme="minorHAnsi"/>
                <w:color w:val="000000"/>
              </w:rPr>
              <w:t>. R</w:t>
            </w:r>
            <w:r w:rsidRPr="006A437D">
              <w:rPr>
                <w:rFonts w:eastAsia="Arial" w:cstheme="minorHAnsi"/>
                <w:color w:val="000000"/>
              </w:rPr>
              <w:t>outine support</w:t>
            </w:r>
            <w:r>
              <w:rPr>
                <w:rFonts w:eastAsia="Arial" w:cstheme="minorHAnsi"/>
                <w:color w:val="000000"/>
              </w:rPr>
              <w:t xml:space="preserve">ive supervision and training will be </w:t>
            </w:r>
            <w:r w:rsidRPr="006A437D">
              <w:rPr>
                <w:rFonts w:eastAsia="Arial" w:cstheme="minorHAnsi"/>
                <w:color w:val="000000"/>
              </w:rPr>
              <w:t>prioritized</w:t>
            </w:r>
            <w:r>
              <w:rPr>
                <w:rFonts w:eastAsia="Arial" w:cstheme="minorHAnsi"/>
                <w:color w:val="000000"/>
              </w:rPr>
              <w:t xml:space="preserve"> to the lowest performing areas</w:t>
            </w:r>
            <w:r w:rsidRPr="006A437D">
              <w:rPr>
                <w:rFonts w:eastAsia="Arial" w:cstheme="minorHAnsi"/>
                <w:color w:val="000000"/>
              </w:rPr>
              <w:t xml:space="preserve"> using data on </w:t>
            </w:r>
            <w:r>
              <w:rPr>
                <w:rFonts w:eastAsia="Arial" w:cstheme="minorHAnsi"/>
                <w:color w:val="000000"/>
              </w:rPr>
              <w:t>quality of care. For SBC, w</w:t>
            </w:r>
            <w:r w:rsidRPr="00350155">
              <w:rPr>
                <w:rFonts w:eastAsia="Arial" w:cstheme="minorHAnsi"/>
                <w:color w:val="000000"/>
              </w:rPr>
              <w:t>omen of reproductive age in rural areas constitute a category of interest given the evidence of low complete information concerning malaria prevention, in particular those who speak non-dominant local languages and migrant women coming from other countries.</w:t>
            </w:r>
            <w:r>
              <w:rPr>
                <w:rStyle w:val="FootnoteReference"/>
                <w:rFonts w:eastAsia="Arial" w:cstheme="minorHAnsi"/>
                <w:color w:val="000000"/>
              </w:rPr>
              <w:footnoteReference w:id="2"/>
            </w:r>
          </w:p>
          <w:p w14:paraId="447B1ECB" w14:textId="3369F02C" w:rsidR="008B729A" w:rsidRDefault="008B729A" w:rsidP="00021BDE">
            <w:pPr>
              <w:pBdr>
                <w:top w:val="nil"/>
                <w:left w:val="nil"/>
                <w:bottom w:val="nil"/>
                <w:right w:val="nil"/>
                <w:between w:val="nil"/>
              </w:pBdr>
              <w:shd w:val="clear" w:color="auto" w:fill="FFFFFF"/>
              <w:spacing w:afterLines="40" w:after="96" w:line="240" w:lineRule="auto"/>
              <w:rPr>
                <w:rFonts w:eastAsia="ArialMT" w:cstheme="minorHAnsi"/>
                <w:bCs/>
                <w:color w:val="000000"/>
              </w:rPr>
            </w:pPr>
            <w:r w:rsidRPr="006A437D">
              <w:rPr>
                <w:rFonts w:eastAsia="ArialMT" w:cstheme="minorHAnsi"/>
                <w:bCs/>
                <w:color w:val="000000"/>
              </w:rPr>
              <w:t xml:space="preserve">The primary barriers to access to malaria diagnosis and treatment services relate to the general inequities arising from location (rural/urban) and socioeconomic status. These issues are addressed in this funding request, with particular emphasis on improving care-seeking behavior and quality of care at the community and health facility levels, which has seen substantial improvements over the past decade through improvements in infrastructure and revitalization of the </w:t>
            </w:r>
            <w:r w:rsidR="00C711A0">
              <w:rPr>
                <w:rFonts w:eastAsia="ArialMT" w:cstheme="minorHAnsi"/>
                <w:bCs/>
                <w:color w:val="000000"/>
              </w:rPr>
              <w:t>Community health worker (</w:t>
            </w:r>
            <w:r w:rsidRPr="006A437D">
              <w:rPr>
                <w:rFonts w:eastAsia="ArialMT" w:cstheme="minorHAnsi"/>
                <w:bCs/>
                <w:color w:val="000000"/>
              </w:rPr>
              <w:t>APS</w:t>
            </w:r>
            <w:r w:rsidR="00C711A0">
              <w:rPr>
                <w:rFonts w:eastAsia="ArialMT" w:cstheme="minorHAnsi"/>
                <w:bCs/>
                <w:color w:val="000000"/>
              </w:rPr>
              <w:t>)</w:t>
            </w:r>
            <w:r w:rsidRPr="006A437D">
              <w:rPr>
                <w:rFonts w:eastAsia="ArialMT" w:cstheme="minorHAnsi"/>
                <w:bCs/>
                <w:color w:val="000000"/>
              </w:rPr>
              <w:t xml:space="preserve"> program. In the course of the implementation of this funding request, NMCP will ensure commodities are distributed to all health facilities and to the APSs in order to reach the populations in the rural areas with limited access to health facilities. N</w:t>
            </w:r>
            <w:r w:rsidR="00C711A0">
              <w:rPr>
                <w:rFonts w:eastAsia="ArialMT" w:cstheme="minorHAnsi"/>
                <w:bCs/>
                <w:color w:val="000000"/>
              </w:rPr>
              <w:t xml:space="preserve">ational </w:t>
            </w:r>
            <w:r w:rsidRPr="006A437D">
              <w:rPr>
                <w:rFonts w:eastAsia="ArialMT" w:cstheme="minorHAnsi"/>
                <w:bCs/>
                <w:color w:val="000000"/>
              </w:rPr>
              <w:t>M</w:t>
            </w:r>
            <w:r w:rsidR="00C711A0">
              <w:rPr>
                <w:rFonts w:eastAsia="ArialMT" w:cstheme="minorHAnsi"/>
                <w:bCs/>
                <w:color w:val="000000"/>
              </w:rPr>
              <w:t xml:space="preserve">alaria </w:t>
            </w:r>
            <w:r w:rsidRPr="006A437D">
              <w:rPr>
                <w:rFonts w:eastAsia="ArialMT" w:cstheme="minorHAnsi"/>
                <w:bCs/>
                <w:color w:val="000000"/>
              </w:rPr>
              <w:t>C</w:t>
            </w:r>
            <w:r w:rsidR="00C711A0">
              <w:rPr>
                <w:rFonts w:eastAsia="ArialMT" w:cstheme="minorHAnsi"/>
                <w:bCs/>
                <w:color w:val="000000"/>
              </w:rPr>
              <w:t xml:space="preserve">ontrol </w:t>
            </w:r>
            <w:r w:rsidRPr="006A437D">
              <w:rPr>
                <w:rFonts w:eastAsia="ArialMT" w:cstheme="minorHAnsi"/>
                <w:bCs/>
                <w:color w:val="000000"/>
              </w:rPr>
              <w:t>P</w:t>
            </w:r>
            <w:r w:rsidR="00C711A0">
              <w:rPr>
                <w:rFonts w:eastAsia="ArialMT" w:cstheme="minorHAnsi"/>
                <w:bCs/>
                <w:color w:val="000000"/>
              </w:rPr>
              <w:t>rogram (NMCP)</w:t>
            </w:r>
            <w:r w:rsidRPr="006A437D">
              <w:rPr>
                <w:rFonts w:eastAsia="ArialMT" w:cstheme="minorHAnsi"/>
                <w:bCs/>
                <w:color w:val="000000"/>
              </w:rPr>
              <w:t xml:space="preserve"> will also ensure regular supplies of commodities to the health facilities serving IDPs, with particular emphasis on </w:t>
            </w:r>
            <w:r>
              <w:rPr>
                <w:rFonts w:eastAsia="ArialMT" w:cstheme="minorHAnsi"/>
                <w:bCs/>
                <w:color w:val="000000"/>
              </w:rPr>
              <w:t xml:space="preserve">emergency </w:t>
            </w:r>
            <w:r w:rsidRPr="006A437D">
              <w:rPr>
                <w:rFonts w:eastAsia="ArialMT" w:cstheme="minorHAnsi"/>
                <w:bCs/>
                <w:color w:val="000000"/>
              </w:rPr>
              <w:t xml:space="preserve">response in Cabo Delgado (as well as other geographies as </w:t>
            </w:r>
            <w:r>
              <w:rPr>
                <w:rFonts w:eastAsia="ArialMT" w:cstheme="minorHAnsi"/>
                <w:bCs/>
                <w:color w:val="000000"/>
              </w:rPr>
              <w:t xml:space="preserve">emergency </w:t>
            </w:r>
            <w:r w:rsidRPr="006A437D">
              <w:rPr>
                <w:rFonts w:eastAsia="ArialMT" w:cstheme="minorHAnsi"/>
                <w:bCs/>
                <w:color w:val="000000"/>
              </w:rPr>
              <w:t xml:space="preserve">needs evolve). By doing so, we consider a portion of the provision of investment in commodities to be investment in responding to this emergency. </w:t>
            </w:r>
            <w:r>
              <w:rPr>
                <w:rFonts w:eastAsia="ArialMT" w:cstheme="minorHAnsi"/>
                <w:bCs/>
                <w:color w:val="000000"/>
              </w:rPr>
              <w:t xml:space="preserve"> </w:t>
            </w:r>
          </w:p>
          <w:p w14:paraId="42592451" w14:textId="77777777" w:rsidR="008B729A" w:rsidRPr="006A437D" w:rsidRDefault="008B729A" w:rsidP="00021BDE">
            <w:pPr>
              <w:pBdr>
                <w:top w:val="nil"/>
                <w:left w:val="nil"/>
                <w:bottom w:val="nil"/>
                <w:right w:val="nil"/>
                <w:between w:val="nil"/>
              </w:pBdr>
              <w:tabs>
                <w:tab w:val="left" w:pos="1377"/>
              </w:tabs>
              <w:spacing w:afterLines="40" w:after="96" w:line="264" w:lineRule="auto"/>
              <w:rPr>
                <w:rFonts w:eastAsia="Arial" w:cstheme="minorHAnsi"/>
                <w:color w:val="FF0000"/>
              </w:rPr>
            </w:pPr>
            <w:r>
              <w:rPr>
                <w:rFonts w:eastAsia="ArialMT" w:cstheme="minorHAnsi"/>
                <w:bCs/>
                <w:color w:val="000000"/>
              </w:rPr>
              <w:t xml:space="preserve">Reliability and speed of funding flow for supervisions has been a chronic challenge that has affected the implementation of this important activity. Continued action to solve this is critical to achiving the objectives. </w:t>
            </w:r>
            <w:r w:rsidRPr="006A437D">
              <w:rPr>
                <w:rFonts w:eastAsia="ArialMT" w:cstheme="minorHAnsi"/>
                <w:bCs/>
                <w:color w:val="000000"/>
              </w:rPr>
              <w:t xml:space="preserve">IEC/BCC messaging will continue </w:t>
            </w:r>
            <w:r>
              <w:rPr>
                <w:rFonts w:eastAsia="ArialMT" w:cstheme="minorHAnsi"/>
                <w:bCs/>
                <w:color w:val="000000"/>
              </w:rPr>
              <w:t>to support</w:t>
            </w:r>
            <w:r w:rsidRPr="006A437D">
              <w:rPr>
                <w:rFonts w:eastAsia="ArialMT" w:cstheme="minorHAnsi"/>
                <w:bCs/>
                <w:color w:val="000000"/>
              </w:rPr>
              <w:t xml:space="preserve"> the importance of addressing gender norms and ensuring </w:t>
            </w:r>
            <w:r>
              <w:rPr>
                <w:rFonts w:eastAsia="ArialMT" w:cstheme="minorHAnsi"/>
                <w:bCs/>
                <w:color w:val="000000"/>
              </w:rPr>
              <w:t xml:space="preserve">that </w:t>
            </w:r>
            <w:r w:rsidRPr="006A437D">
              <w:rPr>
                <w:rFonts w:eastAsia="ArialMT" w:cstheme="minorHAnsi"/>
                <w:bCs/>
                <w:color w:val="000000"/>
              </w:rPr>
              <w:t>the</w:t>
            </w:r>
            <w:r>
              <w:rPr>
                <w:rFonts w:eastAsia="ArialMT" w:cstheme="minorHAnsi"/>
                <w:bCs/>
                <w:color w:val="000000"/>
              </w:rPr>
              <w:t>re is</w:t>
            </w:r>
            <w:r w:rsidRPr="006A437D">
              <w:rPr>
                <w:rFonts w:eastAsia="ArialMT" w:cstheme="minorHAnsi"/>
                <w:bCs/>
                <w:color w:val="000000"/>
              </w:rPr>
              <w:t xml:space="preserve"> equity in the uptake of malaria interventions</w:t>
            </w:r>
            <w:r>
              <w:rPr>
                <w:rFonts w:eastAsia="ArialMT" w:cstheme="minorHAnsi"/>
                <w:bCs/>
                <w:color w:val="000000"/>
              </w:rPr>
              <w:t xml:space="preserve">. SBC will use the </w:t>
            </w:r>
            <w:r w:rsidRPr="006A437D">
              <w:rPr>
                <w:rFonts w:eastAsia="ArialMT" w:cstheme="minorHAnsi"/>
                <w:bCs/>
                <w:color w:val="000000"/>
              </w:rPr>
              <w:t xml:space="preserve">existing community structures </w:t>
            </w:r>
            <w:r>
              <w:rPr>
                <w:rFonts w:eastAsia="ArialMT" w:cstheme="minorHAnsi"/>
                <w:bCs/>
                <w:color w:val="000000"/>
              </w:rPr>
              <w:t>as a</w:t>
            </w:r>
            <w:r w:rsidRPr="006A437D">
              <w:rPr>
                <w:rFonts w:eastAsia="ArialMT" w:cstheme="minorHAnsi"/>
                <w:bCs/>
                <w:color w:val="000000"/>
              </w:rPr>
              <w:t xml:space="preserve"> platform for raising awareness on health rights. While this intervention and its activities are included in the Case Management module, it should be noted that this IEC/BCC messaging will include all malaria messages including those seeking to improve uptake of prevention tools.</w:t>
            </w:r>
          </w:p>
        </w:tc>
      </w:tr>
      <w:tr w:rsidR="008B729A" w:rsidRPr="006A437D" w14:paraId="3CAA2DB3" w14:textId="77777777" w:rsidTr="00021BDE">
        <w:trPr>
          <w:cantSplit/>
          <w:trHeight w:val="7220"/>
        </w:trPr>
        <w:tc>
          <w:tcPr>
            <w:tcW w:w="2580" w:type="dxa"/>
            <w:vMerge w:val="restart"/>
          </w:tcPr>
          <w:p w14:paraId="6D416440"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b/>
                <w:bCs/>
                <w:color w:val="000000"/>
              </w:rPr>
            </w:pPr>
            <w:r>
              <w:rPr>
                <w:rFonts w:eastAsia="Arial" w:cstheme="minorHAnsi"/>
                <w:b/>
                <w:bCs/>
                <w:color w:val="000000"/>
              </w:rPr>
              <w:t>List of activities</w:t>
            </w:r>
          </w:p>
        </w:tc>
        <w:tc>
          <w:tcPr>
            <w:tcW w:w="12585" w:type="dxa"/>
          </w:tcPr>
          <w:p w14:paraId="00AFE1DE" w14:textId="77777777" w:rsidR="008B729A" w:rsidRDefault="008B729A" w:rsidP="00021BDE">
            <w:pPr>
              <w:spacing w:after="0" w:line="264" w:lineRule="auto"/>
              <w:rPr>
                <w:rFonts w:eastAsia="Arial" w:cstheme="minorHAnsi"/>
                <w:color w:val="000000"/>
              </w:rPr>
            </w:pPr>
            <w:r w:rsidRPr="006A437D">
              <w:rPr>
                <w:rFonts w:eastAsia="Arial" w:cstheme="minorHAnsi"/>
                <w:b/>
                <w:color w:val="000000"/>
              </w:rPr>
              <w:t xml:space="preserve">Intervention: </w:t>
            </w:r>
            <w:r w:rsidRPr="006A437D">
              <w:rPr>
                <w:rFonts w:eastAsia="Arial" w:cstheme="minorHAnsi"/>
                <w:color w:val="000000"/>
              </w:rPr>
              <w:t xml:space="preserve">Facility-based treatment </w:t>
            </w:r>
            <w:r w:rsidRPr="006A437D">
              <w:rPr>
                <w:rFonts w:eastAsia="Arial" w:cstheme="minorHAnsi"/>
                <w:color w:val="000000"/>
                <w:u w:val="single"/>
              </w:rPr>
              <w:t>and</w:t>
            </w:r>
            <w:r w:rsidRPr="006A437D">
              <w:rPr>
                <w:rFonts w:eastAsia="Arial" w:cstheme="minorHAnsi"/>
                <w:color w:val="000000"/>
              </w:rPr>
              <w:t xml:space="preserve"> integrated community case management (iCCM) [planned and quantified together]</w:t>
            </w:r>
          </w:p>
          <w:p w14:paraId="7678A370" w14:textId="77777777" w:rsidR="008B729A" w:rsidRDefault="008B729A" w:rsidP="00021BDE">
            <w:pPr>
              <w:spacing w:after="0" w:line="264" w:lineRule="auto"/>
              <w:rPr>
                <w:rFonts w:eastAsia="ArialMT" w:cstheme="minorHAnsi"/>
                <w:bCs/>
                <w:color w:val="000000"/>
              </w:rPr>
            </w:pPr>
            <w:r w:rsidRPr="006A437D">
              <w:rPr>
                <w:rFonts w:eastAsia="ArialMT" w:cstheme="minorHAnsi"/>
                <w:bCs/>
                <w:color w:val="000000"/>
              </w:rPr>
              <w:t xml:space="preserve"> </w:t>
            </w:r>
          </w:p>
          <w:p w14:paraId="0D22FCD3" w14:textId="77777777" w:rsidR="008B729A" w:rsidRPr="00127F33" w:rsidRDefault="008B729A" w:rsidP="00021BDE">
            <w:pPr>
              <w:spacing w:after="0" w:line="264" w:lineRule="auto"/>
              <w:rPr>
                <w:rFonts w:eastAsia="Arial" w:cstheme="minorHAnsi"/>
                <w:color w:val="000000"/>
              </w:rPr>
            </w:pPr>
            <w:r w:rsidRPr="00127F33">
              <w:rPr>
                <w:rFonts w:eastAsia="Arial" w:cstheme="minorHAnsi"/>
                <w:color w:val="000000"/>
              </w:rPr>
              <w:t>Key activities under this intervention include:</w:t>
            </w:r>
          </w:p>
          <w:p w14:paraId="1249D058" w14:textId="77777777" w:rsidR="008B729A" w:rsidRPr="00127F33" w:rsidRDefault="008B729A" w:rsidP="00021BDE">
            <w:pPr>
              <w:numPr>
                <w:ilvl w:val="0"/>
                <w:numId w:val="45"/>
              </w:numPr>
              <w:spacing w:after="0" w:line="264" w:lineRule="auto"/>
              <w:rPr>
                <w:rFonts w:eastAsia="Arial" w:cstheme="minorHAnsi"/>
                <w:b/>
                <w:color w:val="000000"/>
              </w:rPr>
            </w:pPr>
            <w:r w:rsidRPr="00127F33">
              <w:rPr>
                <w:rFonts w:eastAsia="Arial" w:cstheme="minorHAnsi"/>
                <w:b/>
                <w:color w:val="000000"/>
              </w:rPr>
              <w:t xml:space="preserve">Uncomplicated malaria treatment - </w:t>
            </w:r>
            <w:r w:rsidRPr="00127F33">
              <w:rPr>
                <w:rFonts w:eastAsia="Arial" w:cstheme="minorHAnsi"/>
                <w:color w:val="000000"/>
              </w:rPr>
              <w:t xml:space="preserve">In this funding request, a request is made for the procurement and distribution of ACTs, costing </w:t>
            </w:r>
            <w:r w:rsidRPr="00127F33">
              <w:rPr>
                <w:rFonts w:eastAsia="Arial" w:cstheme="minorHAnsi"/>
                <w:b/>
                <w:color w:val="000000"/>
              </w:rPr>
              <w:t>$13,440,566</w:t>
            </w:r>
            <w:r w:rsidRPr="00127F33">
              <w:rPr>
                <w:rFonts w:eastAsia="Arial" w:cstheme="minorHAnsi"/>
                <w:color w:val="000000"/>
              </w:rPr>
              <w:t>.</w:t>
            </w:r>
          </w:p>
          <w:p w14:paraId="34CA8175" w14:textId="77777777" w:rsidR="008B729A" w:rsidRPr="00127F33" w:rsidRDefault="008B729A" w:rsidP="00021BDE">
            <w:pPr>
              <w:numPr>
                <w:ilvl w:val="1"/>
                <w:numId w:val="45"/>
              </w:numPr>
              <w:spacing w:afterLines="40" w:after="96" w:line="264" w:lineRule="auto"/>
              <w:rPr>
                <w:rFonts w:eastAsia="Arial" w:cstheme="minorHAnsi"/>
                <w:color w:val="000000"/>
              </w:rPr>
            </w:pPr>
            <w:r w:rsidRPr="00127F33">
              <w:rPr>
                <w:rFonts w:eastAsia="Arial" w:cstheme="minorHAnsi"/>
                <w:color w:val="000000"/>
              </w:rPr>
              <w:t>Contributions by other sources are detailed at the end of the module. This quantity of anti-malaria medicines will ensure that there is no gap of ACTs for treatment of uncomplicated malaria at health facilities or community level. Given the threat of artemisinin and partner drug resistance, Mozambique is developing a plan to introduce multiple first-line ACT treatments (artesunate-pyronaridine or DHA-piperaquine) as the first-line at community level. It will be piloted in 2025 in Manica Province through PMI support. Under the assumption that the price will be reduced, this will be progressively expanded to more provinces using shared funding from GF and PMI.</w:t>
            </w:r>
          </w:p>
          <w:p w14:paraId="57D535E7" w14:textId="77777777" w:rsidR="008B729A" w:rsidRPr="00127F33" w:rsidRDefault="008B729A" w:rsidP="00021BDE">
            <w:pPr>
              <w:numPr>
                <w:ilvl w:val="1"/>
                <w:numId w:val="45"/>
              </w:numPr>
              <w:spacing w:afterLines="40" w:after="96" w:line="264" w:lineRule="auto"/>
              <w:rPr>
                <w:rFonts w:eastAsia="Arial" w:cstheme="minorHAnsi"/>
                <w:color w:val="000000"/>
              </w:rPr>
            </w:pPr>
            <w:r w:rsidRPr="00127F33">
              <w:rPr>
                <w:rFonts w:eastAsia="Arial" w:cstheme="minorHAnsi"/>
                <w:b/>
                <w:bCs/>
                <w:color w:val="000000"/>
              </w:rPr>
              <w:t xml:space="preserve">PAAR: </w:t>
            </w:r>
            <w:r w:rsidRPr="00127F33">
              <w:rPr>
                <w:rFonts w:eastAsia="Arial" w:cstheme="minorHAnsi"/>
                <w:color w:val="000000"/>
              </w:rPr>
              <w:t xml:space="preserve">While scaling of this drug is planned within allocation, the current GF reference price for AS-PY and DHAP is 4-5x the price of artemether-lumefantrine, which will be unaffordable unless reaching close to parity with AL. To manage the risk that the price will </w:t>
            </w:r>
            <w:r w:rsidRPr="00127F33">
              <w:rPr>
                <w:rFonts w:eastAsia="Arial" w:cstheme="minorHAnsi"/>
                <w:color w:val="000000"/>
                <w:u w:val="single"/>
              </w:rPr>
              <w:t>not</w:t>
            </w:r>
            <w:r w:rsidRPr="00127F33">
              <w:rPr>
                <w:rFonts w:eastAsia="Arial" w:cstheme="minorHAnsi"/>
                <w:color w:val="000000"/>
              </w:rPr>
              <w:t xml:space="preserve"> be reduced, the difference between the AS-PY reference price and the cost of AL for the desired quantity following pilot is included in PAAR at a total cost of </w:t>
            </w:r>
            <w:r w:rsidRPr="00127F33">
              <w:rPr>
                <w:rFonts w:eastAsia="Arial" w:cstheme="minorHAnsi"/>
                <w:b/>
                <w:bCs/>
                <w:color w:val="000000"/>
              </w:rPr>
              <w:t>$6,626,873.</w:t>
            </w:r>
          </w:p>
          <w:p w14:paraId="2981B4F0" w14:textId="77777777" w:rsidR="008B729A" w:rsidRPr="00127F33" w:rsidRDefault="008B729A" w:rsidP="00021BDE">
            <w:pPr>
              <w:numPr>
                <w:ilvl w:val="0"/>
                <w:numId w:val="45"/>
              </w:numPr>
              <w:spacing w:after="0" w:line="264" w:lineRule="auto"/>
              <w:rPr>
                <w:rFonts w:eastAsia="Arial" w:cstheme="minorHAnsi"/>
                <w:color w:val="000000"/>
              </w:rPr>
            </w:pPr>
            <w:r w:rsidRPr="00127F33">
              <w:rPr>
                <w:rFonts w:eastAsia="Arial" w:cstheme="minorHAnsi"/>
                <w:b/>
                <w:color w:val="000000"/>
              </w:rPr>
              <w:t>Severe malaria treatment</w:t>
            </w:r>
            <w:r w:rsidRPr="00127F33">
              <w:rPr>
                <w:rFonts w:eastAsia="Arial" w:cstheme="minorHAnsi"/>
                <w:color w:val="000000"/>
              </w:rPr>
              <w:t xml:space="preserve"> - To support the management of severe malaria cases at the health facility level, a request is made for the procurement and distribution of </w:t>
            </w:r>
            <w:r w:rsidRPr="00127F33">
              <w:rPr>
                <w:rFonts w:eastAsia="Arial" w:cstheme="minorHAnsi"/>
                <w:b/>
                <w:color w:val="000000"/>
              </w:rPr>
              <w:t>injectable Artesunate</w:t>
            </w:r>
            <w:r w:rsidRPr="00127F33">
              <w:rPr>
                <w:rFonts w:eastAsia="Arial" w:cstheme="minorHAnsi"/>
                <w:color w:val="000000"/>
              </w:rPr>
              <w:t xml:space="preserve"> doses costing </w:t>
            </w:r>
            <w:r w:rsidRPr="00127F33">
              <w:rPr>
                <w:rFonts w:eastAsia="Arial" w:cstheme="minorHAnsi"/>
                <w:b/>
                <w:color w:val="000000"/>
              </w:rPr>
              <w:t>$2,531,862</w:t>
            </w:r>
            <w:r w:rsidRPr="00127F33">
              <w:rPr>
                <w:rFonts w:eastAsia="Arial" w:cstheme="minorHAnsi"/>
                <w:color w:val="000000"/>
              </w:rPr>
              <w:t xml:space="preserve">, after accounting for the substantial contribution of PMI and the Government of Mozambique. </w:t>
            </w:r>
            <w:r w:rsidRPr="00127F33">
              <w:rPr>
                <w:rFonts w:eastAsia="Arial" w:cstheme="minorHAnsi"/>
                <w:b/>
                <w:color w:val="000000"/>
              </w:rPr>
              <w:t>Rectal artesunate</w:t>
            </w:r>
            <w:r w:rsidRPr="00127F33">
              <w:rPr>
                <w:rFonts w:eastAsia="Arial" w:cstheme="minorHAnsi"/>
                <w:color w:val="000000"/>
              </w:rPr>
              <w:t xml:space="preserve"> will also be procured and distributed for use by APSs for the pre-referral treatment of severe malaria, at a cost of </w:t>
            </w:r>
            <w:r w:rsidRPr="00127F33">
              <w:rPr>
                <w:rFonts w:eastAsia="Arial" w:cstheme="minorHAnsi"/>
                <w:b/>
                <w:color w:val="000000"/>
              </w:rPr>
              <w:t>$107,390</w:t>
            </w:r>
            <w:r w:rsidRPr="00127F33">
              <w:rPr>
                <w:rFonts w:eastAsia="Arial" w:cstheme="minorHAnsi"/>
                <w:color w:val="000000"/>
              </w:rPr>
              <w:t>, after accounting for for the contribution of PMI. The APS program will continue to improve referral systems to ensure effectiveness of RAS.</w:t>
            </w:r>
          </w:p>
          <w:p w14:paraId="700722BE" w14:textId="77777777" w:rsidR="008B729A" w:rsidRDefault="008B729A" w:rsidP="00021BDE">
            <w:pPr>
              <w:numPr>
                <w:ilvl w:val="1"/>
                <w:numId w:val="45"/>
              </w:numPr>
              <w:spacing w:afterLines="40" w:after="96" w:line="264" w:lineRule="auto"/>
              <w:rPr>
                <w:rFonts w:eastAsia="Arial" w:cstheme="minorHAnsi"/>
                <w:b/>
                <w:color w:val="000000"/>
              </w:rPr>
            </w:pPr>
            <w:r w:rsidRPr="00127F33">
              <w:rPr>
                <w:rFonts w:eastAsia="Arial" w:cstheme="minorHAnsi"/>
                <w:b/>
                <w:color w:val="000000"/>
              </w:rPr>
              <w:t xml:space="preserve">Mortality audits </w:t>
            </w:r>
            <w:r w:rsidRPr="00127F33">
              <w:rPr>
                <w:rFonts w:eastAsia="Arial" w:cstheme="minorHAnsi"/>
                <w:color w:val="000000"/>
              </w:rPr>
              <w:t xml:space="preserve">will continue to be supported periodically through this grant in 2024 and 2026, following on from the audit conducted in NFM3 – allowing continuous monitoring of progress. It will thoroughly review malaria deaths (and other severe malaria cases) to determine the key causes of malaria mortality, as well as monitor the quality of severe malaria case management, and solve these challenges. Total 3-year cost = </w:t>
            </w:r>
            <w:r w:rsidRPr="00127F33">
              <w:rPr>
                <w:rFonts w:eastAsia="Arial" w:cstheme="minorHAnsi"/>
                <w:b/>
                <w:color w:val="000000"/>
              </w:rPr>
              <w:t>$651,008</w:t>
            </w:r>
          </w:p>
          <w:p w14:paraId="5CCCBEC5" w14:textId="77777777" w:rsidR="008B729A" w:rsidRPr="00524BBB" w:rsidRDefault="008B729A" w:rsidP="00021BDE">
            <w:pPr>
              <w:numPr>
                <w:ilvl w:val="0"/>
                <w:numId w:val="45"/>
              </w:numPr>
              <w:spacing w:afterLines="40" w:after="96" w:line="264" w:lineRule="auto"/>
              <w:rPr>
                <w:rFonts w:eastAsia="Arial" w:cstheme="minorHAnsi"/>
                <w:b/>
                <w:color w:val="000000"/>
              </w:rPr>
            </w:pPr>
            <w:r w:rsidRPr="00524BBB">
              <w:rPr>
                <w:rFonts w:eastAsia="Arial" w:cstheme="minorHAnsi"/>
                <w:b/>
                <w:color w:val="000000"/>
              </w:rPr>
              <w:t xml:space="preserve">Rapid diagnostic tests - </w:t>
            </w:r>
            <w:r w:rsidRPr="00524BBB">
              <w:rPr>
                <w:rFonts w:eastAsia="Arial" w:cstheme="minorHAnsi"/>
                <w:color w:val="000000"/>
              </w:rPr>
              <w:t xml:space="preserve">We propose the procurement and distribution of </w:t>
            </w:r>
            <w:r w:rsidRPr="00524BBB">
              <w:rPr>
                <w:rFonts w:eastAsia="Arial" w:cstheme="minorHAnsi"/>
                <w:b/>
                <w:color w:val="000000"/>
              </w:rPr>
              <w:t xml:space="preserve">Malaria Rapid Diagnostic Tests (mRDTs) </w:t>
            </w:r>
            <w:r w:rsidRPr="00524BBB">
              <w:rPr>
                <w:rFonts w:eastAsia="Arial" w:cstheme="minorHAnsi"/>
                <w:color w:val="000000"/>
              </w:rPr>
              <w:t xml:space="preserve">to cover public health facilities and the APSs across the country, at a cost of </w:t>
            </w:r>
            <w:r w:rsidRPr="00524BBB">
              <w:rPr>
                <w:rFonts w:eastAsia="Arial" w:cstheme="minorHAnsi"/>
                <w:b/>
                <w:color w:val="000000"/>
              </w:rPr>
              <w:t xml:space="preserve">$6,354,543. </w:t>
            </w:r>
            <w:r w:rsidRPr="00524BBB">
              <w:rPr>
                <w:rFonts w:eastAsia="Arial" w:cstheme="minorHAnsi"/>
                <w:color w:val="000000"/>
              </w:rPr>
              <w:t>Supplementing the substantial support of PMI, this will ensure adequate quantity of mRDTs for the confirmation of malaria diagnosis at health facilities and in the community throughout the grant period.</w:t>
            </w:r>
          </w:p>
          <w:p w14:paraId="35BF6D33" w14:textId="77777777" w:rsidR="008B729A" w:rsidRPr="00C06EC9" w:rsidRDefault="008B729A" w:rsidP="00021BDE">
            <w:pPr>
              <w:numPr>
                <w:ilvl w:val="0"/>
                <w:numId w:val="45"/>
              </w:numPr>
              <w:pBdr>
                <w:top w:val="nil"/>
                <w:left w:val="nil"/>
                <w:bottom w:val="nil"/>
                <w:right w:val="nil"/>
                <w:between w:val="nil"/>
              </w:pBdr>
              <w:spacing w:after="0" w:line="264" w:lineRule="auto"/>
              <w:rPr>
                <w:rFonts w:eastAsia="Arial" w:cstheme="minorHAnsi"/>
                <w:b/>
                <w:color w:val="000000"/>
              </w:rPr>
            </w:pPr>
            <w:r w:rsidRPr="00C06EC9">
              <w:rPr>
                <w:rFonts w:eastAsia="Arial" w:cstheme="minorHAnsi"/>
                <w:b/>
                <w:color w:val="000000"/>
              </w:rPr>
              <w:t xml:space="preserve">Malaria laboratory services - </w:t>
            </w:r>
          </w:p>
          <w:p w14:paraId="0BCD0B02" w14:textId="77777777" w:rsidR="008B729A" w:rsidRPr="006A437D" w:rsidRDefault="008B729A" w:rsidP="00021BDE">
            <w:pPr>
              <w:numPr>
                <w:ilvl w:val="1"/>
                <w:numId w:val="45"/>
              </w:numPr>
              <w:pBdr>
                <w:top w:val="nil"/>
                <w:left w:val="nil"/>
                <w:bottom w:val="nil"/>
                <w:right w:val="nil"/>
                <w:between w:val="nil"/>
              </w:pBdr>
              <w:spacing w:after="0" w:line="264" w:lineRule="auto"/>
              <w:rPr>
                <w:rFonts w:eastAsia="Arial" w:cstheme="minorHAnsi"/>
                <w:color w:val="000000"/>
              </w:rPr>
            </w:pPr>
            <w:r w:rsidRPr="006A437D">
              <w:rPr>
                <w:rFonts w:eastAsia="Arial" w:cstheme="minorHAnsi"/>
                <w:color w:val="000000"/>
              </w:rPr>
              <w:t xml:space="preserve">Laboratory equipment </w:t>
            </w:r>
            <w:r>
              <w:rPr>
                <w:rFonts w:eastAsia="Arial" w:cstheme="minorHAnsi"/>
                <w:color w:val="000000"/>
              </w:rPr>
              <w:t xml:space="preserve">and consumables </w:t>
            </w:r>
            <w:r w:rsidRPr="006A437D">
              <w:rPr>
                <w:rFonts w:eastAsia="Arial" w:cstheme="minorHAnsi"/>
                <w:color w:val="000000"/>
              </w:rPr>
              <w:t>will be procured to ensure the quantified needs are available at all levels</w:t>
            </w:r>
            <w:r>
              <w:rPr>
                <w:rFonts w:eastAsia="Arial" w:cstheme="minorHAnsi"/>
                <w:color w:val="000000"/>
              </w:rPr>
              <w:t xml:space="preserve">, as detailed in the budgeted list. A laboratory needs assessment was conducted prior to the NFM3 grant, and some of these needs procured in 2023, however gaps still remain which are represented by the budgeted equipment list. </w:t>
            </w:r>
          </w:p>
          <w:p w14:paraId="542BF828" w14:textId="77777777" w:rsidR="008B729A" w:rsidRPr="00127F33" w:rsidRDefault="008B729A" w:rsidP="00021BDE">
            <w:pPr>
              <w:numPr>
                <w:ilvl w:val="2"/>
                <w:numId w:val="45"/>
              </w:numPr>
              <w:pBdr>
                <w:top w:val="nil"/>
                <w:left w:val="nil"/>
                <w:bottom w:val="nil"/>
                <w:right w:val="nil"/>
                <w:between w:val="nil"/>
              </w:pBdr>
              <w:spacing w:after="0" w:line="264" w:lineRule="auto"/>
              <w:rPr>
                <w:rFonts w:eastAsia="Arial" w:cstheme="minorHAnsi"/>
                <w:color w:val="000000"/>
              </w:rPr>
            </w:pPr>
            <w:r w:rsidRPr="00127F33">
              <w:rPr>
                <w:rFonts w:eastAsia="Arial" w:cstheme="minorHAnsi"/>
                <w:color w:val="000000"/>
              </w:rPr>
              <w:t xml:space="preserve">Equipment includes microscopes, balances for weighing chemicals, distillation equipment, heaters for drying slides, PH indicators, and tally counters. 3-year cost = </w:t>
            </w:r>
            <w:r w:rsidRPr="00D26A97">
              <w:rPr>
                <w:rFonts w:eastAsia="Arial" w:cstheme="minorHAnsi"/>
                <w:b/>
                <w:bCs/>
                <w:color w:val="000000"/>
              </w:rPr>
              <w:t>$745,313</w:t>
            </w:r>
          </w:p>
          <w:p w14:paraId="35DC0BB8" w14:textId="77777777" w:rsidR="008B729A" w:rsidRPr="00127F33" w:rsidRDefault="008B729A" w:rsidP="00021BDE">
            <w:pPr>
              <w:numPr>
                <w:ilvl w:val="2"/>
                <w:numId w:val="45"/>
              </w:numPr>
              <w:pBdr>
                <w:top w:val="nil"/>
                <w:left w:val="nil"/>
                <w:bottom w:val="nil"/>
                <w:right w:val="nil"/>
                <w:between w:val="nil"/>
              </w:pBdr>
              <w:spacing w:after="0" w:line="264" w:lineRule="auto"/>
              <w:rPr>
                <w:rFonts w:eastAsia="Arial" w:cstheme="minorHAnsi"/>
                <w:color w:val="000000"/>
              </w:rPr>
            </w:pPr>
            <w:r w:rsidRPr="00127F33">
              <w:rPr>
                <w:rFonts w:eastAsia="Arial" w:cstheme="minorHAnsi"/>
                <w:color w:val="000000"/>
              </w:rPr>
              <w:t xml:space="preserve">100% of the required laboratory consumables will be procured through this funding request, at a 3-year cost of </w:t>
            </w:r>
            <w:r w:rsidRPr="00D26A97">
              <w:rPr>
                <w:rFonts w:eastAsia="Arial" w:cstheme="minorHAnsi"/>
                <w:b/>
                <w:bCs/>
                <w:color w:val="000000"/>
              </w:rPr>
              <w:t>$3,823,275</w:t>
            </w:r>
          </w:p>
          <w:p w14:paraId="55BA6EFB" w14:textId="77777777" w:rsidR="008B729A" w:rsidRPr="00127F33" w:rsidRDefault="008B729A" w:rsidP="00021BDE">
            <w:pPr>
              <w:pStyle w:val="ListParagraph"/>
              <w:numPr>
                <w:ilvl w:val="1"/>
                <w:numId w:val="45"/>
              </w:numPr>
              <w:rPr>
                <w:rFonts w:eastAsia="Arial" w:cstheme="minorHAnsi"/>
                <w:color w:val="000000"/>
              </w:rPr>
            </w:pPr>
            <w:r w:rsidRPr="00127F33">
              <w:rPr>
                <w:rFonts w:eastAsia="Arial" w:cstheme="minorHAnsi"/>
                <w:color w:val="000000"/>
              </w:rPr>
              <w:t xml:space="preserve">Training and QA/QC activities hold a 3-year cost of </w:t>
            </w:r>
            <w:r w:rsidRPr="00D26A97">
              <w:rPr>
                <w:rFonts w:eastAsia="Arial" w:cstheme="minorHAnsi"/>
                <w:b/>
                <w:bCs/>
                <w:color w:val="000000"/>
              </w:rPr>
              <w:t>$462,667</w:t>
            </w:r>
            <w:r w:rsidRPr="00127F33">
              <w:rPr>
                <w:rFonts w:eastAsia="Arial" w:cstheme="minorHAnsi"/>
                <w:color w:val="000000"/>
              </w:rPr>
              <w:t xml:space="preserve">. These activities will ensure that the procurement of required equipment and consumables is complemented by the availability of trained microscopists with strong EQA. Both of the below QA/QC activities represent an opportunity for a larger integrated approach together with HIV/TB and general clinical laboratory services. While this has yet to be operationally planned, we commit to exploring this possibility in order to unlock operational and budgetary efficiencies.  As such the above budgeted amount should be considered conservative, and will likely yield savings in grant making or implementation that can be applied to critical PAAR activities. </w:t>
            </w:r>
          </w:p>
          <w:p w14:paraId="6C40648E" w14:textId="77777777" w:rsidR="008B729A" w:rsidRPr="00127F33" w:rsidRDefault="008B729A" w:rsidP="00021BDE">
            <w:pPr>
              <w:numPr>
                <w:ilvl w:val="2"/>
                <w:numId w:val="45"/>
              </w:numPr>
              <w:pBdr>
                <w:top w:val="nil"/>
                <w:left w:val="nil"/>
                <w:bottom w:val="nil"/>
                <w:right w:val="nil"/>
                <w:between w:val="nil"/>
              </w:pBdr>
              <w:spacing w:after="0" w:line="264" w:lineRule="auto"/>
              <w:rPr>
                <w:rFonts w:eastAsia="Arial" w:cstheme="minorHAnsi"/>
                <w:color w:val="000000"/>
              </w:rPr>
            </w:pPr>
            <w:r w:rsidRPr="00127F33">
              <w:rPr>
                <w:rFonts w:eastAsia="Arial" w:cstheme="minorHAnsi"/>
                <w:color w:val="000000"/>
              </w:rPr>
              <w:t>Diagnostic QA/QC (slide EQA, RDT lot testing) will be conducted in collaboration with INS to ensure microscopy quality is routinely assessed, and RDT quality remains high. RDT proficiency testing will be conducted as part of supportive supervision and mentoring mentioned below.</w:t>
            </w:r>
          </w:p>
          <w:p w14:paraId="2D4CD704" w14:textId="0FE629DD" w:rsidR="008B729A" w:rsidRDefault="008B729A" w:rsidP="00D26A97">
            <w:pPr>
              <w:numPr>
                <w:ilvl w:val="2"/>
                <w:numId w:val="45"/>
              </w:numPr>
              <w:pBdr>
                <w:top w:val="nil"/>
                <w:left w:val="nil"/>
                <w:bottom w:val="nil"/>
                <w:right w:val="nil"/>
                <w:between w:val="nil"/>
              </w:pBdr>
              <w:spacing w:after="0" w:line="264" w:lineRule="auto"/>
              <w:rPr>
                <w:rFonts w:eastAsia="Arial" w:cstheme="minorHAnsi"/>
                <w:color w:val="000000"/>
              </w:rPr>
            </w:pPr>
            <w:r w:rsidRPr="00127F33">
              <w:rPr>
                <w:rFonts w:eastAsia="Arial" w:cstheme="minorHAnsi"/>
                <w:color w:val="000000"/>
              </w:rPr>
              <w:t>External Competency Assessment Malaria Microscopy (ECAMM) training of expert microscopists will be increased in order to decentralize training capacity and allow for increased coverage of routine QA/QC. Training of district-level microscopists will be conducted by WHO certified microscopists.</w:t>
            </w:r>
          </w:p>
          <w:p w14:paraId="0BE0B1F8" w14:textId="77777777" w:rsidR="00D26A97" w:rsidRPr="00D26A97" w:rsidRDefault="00D26A97" w:rsidP="00D26A97">
            <w:pPr>
              <w:pBdr>
                <w:top w:val="nil"/>
                <w:left w:val="nil"/>
                <w:bottom w:val="nil"/>
                <w:right w:val="nil"/>
                <w:between w:val="nil"/>
              </w:pBdr>
              <w:spacing w:after="0" w:line="264" w:lineRule="auto"/>
              <w:ind w:left="2160"/>
              <w:rPr>
                <w:rFonts w:eastAsia="Arial" w:cstheme="minorHAnsi"/>
                <w:color w:val="000000"/>
              </w:rPr>
            </w:pPr>
          </w:p>
          <w:p w14:paraId="77E185BF" w14:textId="77777777" w:rsidR="008B729A" w:rsidRPr="00127F33" w:rsidRDefault="008B729A" w:rsidP="00021BDE">
            <w:pPr>
              <w:numPr>
                <w:ilvl w:val="0"/>
                <w:numId w:val="45"/>
              </w:numPr>
              <w:pBdr>
                <w:top w:val="nil"/>
                <w:left w:val="nil"/>
                <w:bottom w:val="nil"/>
                <w:right w:val="nil"/>
                <w:between w:val="nil"/>
              </w:pBdr>
              <w:spacing w:after="0" w:line="264" w:lineRule="auto"/>
              <w:rPr>
                <w:rFonts w:eastAsia="Arial" w:cstheme="minorHAnsi"/>
                <w:b/>
                <w:color w:val="000000"/>
              </w:rPr>
            </w:pPr>
            <w:r w:rsidRPr="00127F33">
              <w:rPr>
                <w:rFonts w:eastAsia="Arial" w:cstheme="minorHAnsi"/>
                <w:b/>
                <w:color w:val="000000"/>
              </w:rPr>
              <w:t>Innovative approach to digitally-enhanced integrated supportive supervisions</w:t>
            </w:r>
          </w:p>
          <w:p w14:paraId="21D4F3AA" w14:textId="77777777" w:rsidR="008B729A" w:rsidRDefault="008B729A" w:rsidP="00021BDE">
            <w:pPr>
              <w:numPr>
                <w:ilvl w:val="1"/>
                <w:numId w:val="45"/>
              </w:numPr>
              <w:pBdr>
                <w:top w:val="nil"/>
                <w:left w:val="nil"/>
                <w:bottom w:val="nil"/>
                <w:right w:val="nil"/>
                <w:between w:val="nil"/>
              </w:pBdr>
              <w:spacing w:after="0" w:line="264" w:lineRule="auto"/>
              <w:rPr>
                <w:rFonts w:eastAsia="Arial" w:cstheme="minorHAnsi"/>
                <w:color w:val="000000"/>
              </w:rPr>
            </w:pPr>
            <w:r w:rsidRPr="00127F33">
              <w:rPr>
                <w:rFonts w:eastAsia="Arial" w:cstheme="minorHAnsi"/>
                <w:color w:val="000000"/>
              </w:rPr>
              <w:t>Frequent supportive supervision and on-site mentorship at health facilities and community-level APS will be conducted, with the objective improving case management quality, at a total of</w:t>
            </w:r>
            <w:r w:rsidRPr="00127F33">
              <w:rPr>
                <w:rFonts w:eastAsia="Arial" w:cstheme="minorHAnsi"/>
                <w:b/>
                <w:color w:val="000000"/>
              </w:rPr>
              <w:t xml:space="preserve"> $3,592,590</w:t>
            </w:r>
            <w:r w:rsidRPr="00127F33">
              <w:rPr>
                <w:rFonts w:eastAsia="Arial" w:cstheme="minorHAnsi"/>
                <w:color w:val="000000"/>
              </w:rPr>
              <w:t>. Supervisions will be done twice per year from the central level to provinces, twice per year from province to district, and three times per year from district to health facility. These supervisions to health facilities integrate case management, stock, data quality, and malaria-in-pregnancy related services; and at district and province level additionally</w:t>
            </w:r>
            <w:r>
              <w:rPr>
                <w:rFonts w:eastAsia="Arial" w:cstheme="minorHAnsi"/>
                <w:color w:val="000000"/>
              </w:rPr>
              <w:t xml:space="preserve"> include supervision of prevention activities, SBCC, and data use.</w:t>
            </w:r>
          </w:p>
          <w:p w14:paraId="01947D3B" w14:textId="77777777" w:rsidR="008B729A" w:rsidRPr="00127F33" w:rsidRDefault="008B729A" w:rsidP="00021BDE">
            <w:pPr>
              <w:numPr>
                <w:ilvl w:val="1"/>
                <w:numId w:val="45"/>
              </w:numPr>
              <w:pBdr>
                <w:top w:val="nil"/>
                <w:left w:val="nil"/>
                <w:bottom w:val="nil"/>
                <w:right w:val="nil"/>
                <w:between w:val="nil"/>
              </w:pBdr>
              <w:spacing w:after="0" w:line="264" w:lineRule="auto"/>
              <w:rPr>
                <w:rFonts w:eastAsia="Arial"/>
                <w:color w:val="000000"/>
              </w:rPr>
            </w:pPr>
            <w:r w:rsidRPr="280A5B80">
              <w:rPr>
                <w:rFonts w:eastAsia="Arial"/>
                <w:color w:val="000000" w:themeColor="text1"/>
              </w:rPr>
              <w:t>Procurement of 13 double cab 4x4 vehicles (one for each province and two for central level) are requested to ensure reliable transportation for conducting supervision visits.</w:t>
            </w:r>
            <w:r>
              <w:rPr>
                <w:rFonts w:eastAsia="Arial"/>
                <w:color w:val="000000" w:themeColor="text1"/>
              </w:rPr>
              <w:t xml:space="preserve"> A comprehensive needs assessment at province level will be </w:t>
            </w:r>
            <w:r w:rsidRPr="00127F33">
              <w:rPr>
                <w:rFonts w:eastAsia="Arial"/>
                <w:color w:val="000000" w:themeColor="text1"/>
              </w:rPr>
              <w:t xml:space="preserve">conducted prior to procurement, to ensure efficiency across programs at this level. Total 3-year costs = </w:t>
            </w:r>
            <w:r w:rsidRPr="00127F33">
              <w:rPr>
                <w:rFonts w:eastAsia="Arial"/>
                <w:b/>
                <w:bCs/>
                <w:color w:val="000000" w:themeColor="text1"/>
              </w:rPr>
              <w:t>$680,641</w:t>
            </w:r>
          </w:p>
          <w:p w14:paraId="3894E3F3" w14:textId="77777777" w:rsidR="008B729A" w:rsidRPr="00127F33" w:rsidRDefault="008B729A" w:rsidP="00021BDE">
            <w:pPr>
              <w:numPr>
                <w:ilvl w:val="1"/>
                <w:numId w:val="45"/>
              </w:numPr>
              <w:pBdr>
                <w:top w:val="nil"/>
                <w:left w:val="nil"/>
                <w:bottom w:val="nil"/>
                <w:right w:val="nil"/>
                <w:between w:val="nil"/>
              </w:pBdr>
              <w:spacing w:after="0" w:line="264" w:lineRule="auto"/>
              <w:rPr>
                <w:rFonts w:eastAsia="Arial" w:cstheme="minorHAnsi"/>
                <w:color w:val="000000"/>
              </w:rPr>
            </w:pPr>
            <w:r w:rsidRPr="00127F33">
              <w:rPr>
                <w:rFonts w:eastAsia="Arial" w:cstheme="minorHAnsi"/>
                <w:color w:val="000000"/>
              </w:rPr>
              <w:t xml:space="preserve">This activity will be coordinated through </w:t>
            </w:r>
            <w:r w:rsidRPr="00127F33">
              <w:rPr>
                <w:rFonts w:eastAsia="Arial" w:cstheme="minorHAnsi"/>
                <w:b/>
                <w:color w:val="000000"/>
              </w:rPr>
              <w:t>trimesterly integrated supervision review meetings</w:t>
            </w:r>
            <w:r w:rsidRPr="00127F33">
              <w:rPr>
                <w:rFonts w:eastAsia="Arial" w:cstheme="minorHAnsi"/>
                <w:color w:val="000000"/>
              </w:rPr>
              <w:t xml:space="preserve"> in each district to review data and set priorities based on progress toward targets. Intra-office, structured district data review will be conducted more frequently at all levels, however will not incur additional costs to this funding request. Total 3-year costs = </w:t>
            </w:r>
            <w:r w:rsidRPr="00127F33">
              <w:rPr>
                <w:rFonts w:eastAsia="Arial" w:cstheme="minorHAnsi"/>
                <w:b/>
                <w:color w:val="000000"/>
              </w:rPr>
              <w:t>$4,553,084</w:t>
            </w:r>
          </w:p>
          <w:p w14:paraId="42F9BEDD" w14:textId="77777777" w:rsidR="008B729A" w:rsidRDefault="008B729A" w:rsidP="00021BDE">
            <w:pPr>
              <w:numPr>
                <w:ilvl w:val="1"/>
                <w:numId w:val="45"/>
              </w:numPr>
              <w:pBdr>
                <w:top w:val="nil"/>
                <w:left w:val="nil"/>
                <w:bottom w:val="nil"/>
                <w:right w:val="nil"/>
                <w:between w:val="nil"/>
              </w:pBdr>
              <w:spacing w:afterLines="40" w:after="96" w:line="264" w:lineRule="auto"/>
              <w:rPr>
                <w:rFonts w:eastAsia="Arial" w:cstheme="minorHAnsi"/>
                <w:color w:val="000000"/>
              </w:rPr>
            </w:pPr>
            <w:r w:rsidRPr="00127F33">
              <w:rPr>
                <w:rFonts w:eastAsia="Arial" w:cstheme="minorHAnsi"/>
                <w:color w:val="000000"/>
              </w:rPr>
              <w:t xml:space="preserve">This </w:t>
            </w:r>
            <w:r>
              <w:rPr>
                <w:rFonts w:eastAsia="Arial" w:cstheme="minorHAnsi"/>
                <w:color w:val="000000"/>
              </w:rPr>
              <w:t xml:space="preserve">cross-intervention </w:t>
            </w:r>
            <w:r w:rsidRPr="00127F33">
              <w:rPr>
                <w:rFonts w:eastAsia="Arial" w:cstheme="minorHAnsi"/>
                <w:color w:val="000000"/>
              </w:rPr>
              <w:t xml:space="preserve">activity </w:t>
            </w:r>
            <w:r>
              <w:rPr>
                <w:rFonts w:eastAsia="Arial" w:cstheme="minorHAnsi"/>
                <w:color w:val="000000"/>
              </w:rPr>
              <w:t xml:space="preserve">has been placed in this module, rather than other potential ones, to emphasize the impact that strong implementation is expected to have on the quality of case management services.  Additionally we felt it preferrable to emphasize the </w:t>
            </w:r>
            <w:r>
              <w:rPr>
                <w:rFonts w:eastAsia="Arial" w:cstheme="minorHAnsi"/>
                <w:i/>
                <w:iCs/>
                <w:color w:val="000000"/>
              </w:rPr>
              <w:t>mentorship/on-site training</w:t>
            </w:r>
            <w:r>
              <w:rPr>
                <w:rFonts w:eastAsia="Arial" w:cstheme="minorHAnsi"/>
                <w:color w:val="000000"/>
              </w:rPr>
              <w:t xml:space="preserve"> actions as the primary purpose of the activity, thus placed in this module, rather than the data systems/use which while important are merely a means to better target these quality of care improvement actions. While opportunities for integration with non-malaria needs will be explored, it will be explored cautiously so as not to dilute the focus on </w:t>
            </w:r>
            <w:r>
              <w:rPr>
                <w:rFonts w:eastAsia="Arial" w:cstheme="minorHAnsi"/>
                <w:color w:val="000000"/>
                <w:u w:val="single"/>
              </w:rPr>
              <w:t>action</w:t>
            </w:r>
            <w:r>
              <w:rPr>
                <w:rFonts w:eastAsia="Arial" w:cstheme="minorHAnsi"/>
                <w:color w:val="000000"/>
              </w:rPr>
              <w:t xml:space="preserve"> versus simply completing a checklist, which is a risk as more elements are added. </w:t>
            </w:r>
          </w:p>
          <w:p w14:paraId="021C0492" w14:textId="77777777" w:rsidR="008B729A" w:rsidRPr="00127F33" w:rsidRDefault="008B729A" w:rsidP="00021BDE">
            <w:pPr>
              <w:numPr>
                <w:ilvl w:val="1"/>
                <w:numId w:val="45"/>
              </w:numPr>
              <w:pBdr>
                <w:top w:val="nil"/>
                <w:left w:val="nil"/>
                <w:bottom w:val="nil"/>
                <w:right w:val="nil"/>
                <w:between w:val="nil"/>
              </w:pBdr>
              <w:spacing w:afterLines="40" w:after="96" w:line="264" w:lineRule="auto"/>
              <w:rPr>
                <w:rFonts w:eastAsia="Arial" w:cstheme="minorHAnsi"/>
                <w:color w:val="000000"/>
              </w:rPr>
            </w:pPr>
            <w:r>
              <w:rPr>
                <w:rFonts w:eastAsia="Arial" w:cstheme="minorHAnsi"/>
                <w:color w:val="000000"/>
              </w:rPr>
              <w:t xml:space="preserve">This activity </w:t>
            </w:r>
            <w:r w:rsidRPr="00127F33">
              <w:rPr>
                <w:rFonts w:eastAsia="Arial" w:cstheme="minorHAnsi"/>
                <w:color w:val="000000"/>
              </w:rPr>
              <w:t xml:space="preserve">will build on the use of the supervision digital tool, built within the iMISS data repository, which collects data using standardized checklists for each service area, generates automated findings, and support development of action plans based on those findings. This allows follow up of the findings to target improvements of specific weak areas, as well as strengthens data-driven planned to target supervision to low-performing facilities for more frequent mentoring to drive improvement.  The budget for these integrated services is included in this module, but this investment equally supports those interventions under the </w:t>
            </w:r>
            <w:r w:rsidRPr="00127F33">
              <w:rPr>
                <w:rFonts w:eastAsia="Arial" w:cstheme="minorHAnsi"/>
                <w:i/>
                <w:color w:val="000000"/>
              </w:rPr>
              <w:t xml:space="preserve">RSSH: Routine reporting </w:t>
            </w:r>
            <w:r w:rsidRPr="00127F33">
              <w:rPr>
                <w:rFonts w:eastAsia="Arial" w:cstheme="minorHAnsi"/>
                <w:color w:val="000000"/>
              </w:rPr>
              <w:t xml:space="preserve">and </w:t>
            </w:r>
            <w:r w:rsidRPr="00127F33">
              <w:rPr>
                <w:rFonts w:eastAsia="Arial" w:cstheme="minorHAnsi"/>
                <w:i/>
                <w:color w:val="000000"/>
              </w:rPr>
              <w:t xml:space="preserve">Specific Prevention Interventions (SPI) </w:t>
            </w:r>
            <w:r w:rsidRPr="00127F33">
              <w:rPr>
                <w:rFonts w:eastAsia="Arial" w:cstheme="minorHAnsi"/>
                <w:color w:val="000000"/>
              </w:rPr>
              <w:t>modules.</w:t>
            </w:r>
          </w:p>
          <w:p w14:paraId="07E8182E" w14:textId="77777777" w:rsidR="008B729A" w:rsidRPr="006A437D" w:rsidRDefault="008B729A" w:rsidP="00021BDE">
            <w:pPr>
              <w:numPr>
                <w:ilvl w:val="0"/>
                <w:numId w:val="45"/>
              </w:numPr>
              <w:pBdr>
                <w:top w:val="nil"/>
                <w:left w:val="nil"/>
                <w:bottom w:val="nil"/>
                <w:right w:val="nil"/>
                <w:between w:val="nil"/>
              </w:pBdr>
              <w:spacing w:after="0" w:line="264" w:lineRule="auto"/>
              <w:rPr>
                <w:rFonts w:eastAsia="Arial" w:cstheme="minorHAnsi"/>
                <w:b/>
                <w:color w:val="000000"/>
              </w:rPr>
            </w:pPr>
            <w:r w:rsidRPr="006A437D">
              <w:rPr>
                <w:rFonts w:eastAsia="Arial" w:cstheme="minorHAnsi"/>
                <w:b/>
                <w:color w:val="000000"/>
              </w:rPr>
              <w:t>Trainings</w:t>
            </w:r>
          </w:p>
          <w:p w14:paraId="6DF44699" w14:textId="77777777" w:rsidR="008B729A" w:rsidRPr="00127F33" w:rsidRDefault="008B729A" w:rsidP="00021BDE">
            <w:pPr>
              <w:numPr>
                <w:ilvl w:val="1"/>
                <w:numId w:val="45"/>
              </w:numPr>
              <w:pBdr>
                <w:top w:val="nil"/>
                <w:left w:val="nil"/>
                <w:bottom w:val="nil"/>
                <w:right w:val="nil"/>
                <w:between w:val="nil"/>
              </w:pBdr>
              <w:spacing w:after="0" w:line="264" w:lineRule="auto"/>
              <w:rPr>
                <w:rFonts w:eastAsia="Arial" w:cstheme="minorHAnsi"/>
                <w:color w:val="000000"/>
              </w:rPr>
            </w:pPr>
            <w:r w:rsidRPr="006A437D">
              <w:rPr>
                <w:rFonts w:eastAsia="Arial" w:cstheme="minorHAnsi"/>
                <w:color w:val="000000"/>
              </w:rPr>
              <w:t xml:space="preserve">Continuation of </w:t>
            </w:r>
            <w:r>
              <w:rPr>
                <w:rFonts w:eastAsia="Arial" w:cstheme="minorHAnsi"/>
                <w:color w:val="000000"/>
              </w:rPr>
              <w:t xml:space="preserve">the current </w:t>
            </w:r>
            <w:r w:rsidRPr="006A437D">
              <w:rPr>
                <w:rFonts w:eastAsia="Arial" w:cstheme="minorHAnsi"/>
                <w:color w:val="000000"/>
              </w:rPr>
              <w:t xml:space="preserve">mHealth approach to conduct training for health </w:t>
            </w:r>
            <w:r w:rsidRPr="00127F33">
              <w:rPr>
                <w:rFonts w:eastAsia="Arial" w:cstheme="minorHAnsi"/>
                <w:color w:val="000000"/>
              </w:rPr>
              <w:t xml:space="preserve">workers on case management (in development with MISAU’s National Department of Training) has at 3-year cost of </w:t>
            </w:r>
            <w:r w:rsidRPr="00127F33">
              <w:rPr>
                <w:rFonts w:eastAsia="Arial" w:cstheme="minorHAnsi"/>
                <w:b/>
                <w:color w:val="000000"/>
              </w:rPr>
              <w:t xml:space="preserve">$75,000. </w:t>
            </w:r>
          </w:p>
          <w:p w14:paraId="4F453AA8" w14:textId="77777777" w:rsidR="008B729A" w:rsidRPr="00127F33" w:rsidRDefault="008B729A" w:rsidP="00021BDE">
            <w:pPr>
              <w:numPr>
                <w:ilvl w:val="1"/>
                <w:numId w:val="45"/>
              </w:numPr>
              <w:pBdr>
                <w:top w:val="nil"/>
                <w:left w:val="nil"/>
                <w:bottom w:val="nil"/>
                <w:right w:val="nil"/>
                <w:between w:val="nil"/>
              </w:pBdr>
              <w:spacing w:afterLines="40" w:after="96" w:line="264" w:lineRule="auto"/>
              <w:rPr>
                <w:rFonts w:eastAsia="Arial" w:cstheme="minorHAnsi"/>
                <w:color w:val="000000"/>
              </w:rPr>
            </w:pPr>
            <w:r w:rsidRPr="00127F33">
              <w:rPr>
                <w:rFonts w:eastAsia="Arial" w:cstheme="minorHAnsi"/>
                <w:color w:val="000000"/>
              </w:rPr>
              <w:t xml:space="preserve">This cost caters for the development and updating of the curriculum as required. </w:t>
            </w:r>
          </w:p>
          <w:p w14:paraId="2DE81CEB" w14:textId="77777777" w:rsidR="008B729A" w:rsidRPr="00F77DA8" w:rsidRDefault="008B729A" w:rsidP="00021BDE">
            <w:pPr>
              <w:numPr>
                <w:ilvl w:val="1"/>
                <w:numId w:val="45"/>
              </w:numPr>
              <w:spacing w:afterLines="40" w:after="96" w:line="264" w:lineRule="auto"/>
              <w:rPr>
                <w:rFonts w:eastAsia="Arial" w:cstheme="minorHAnsi"/>
                <w:b/>
                <w:color w:val="000000"/>
              </w:rPr>
            </w:pPr>
            <w:r w:rsidRPr="00127F33">
              <w:rPr>
                <w:rFonts w:eastAsia="Arial" w:cstheme="minorHAnsi"/>
                <w:color w:val="000000"/>
              </w:rPr>
              <w:t>All facility-level health workers are targeted for these trainings, but digitized supervision data and user data from the mHealth module will be used to target supervisions and on-site mentorship to facilities with poor</w:t>
            </w:r>
            <w:r w:rsidRPr="006A437D">
              <w:rPr>
                <w:rFonts w:eastAsia="Arial" w:cstheme="minorHAnsi"/>
                <w:color w:val="000000"/>
              </w:rPr>
              <w:t xml:space="preserve"> performance or without connectivity.  Budget to conduct this is integrated with</w:t>
            </w:r>
            <w:r>
              <w:rPr>
                <w:rFonts w:eastAsia="Arial" w:cstheme="minorHAnsi"/>
                <w:color w:val="000000"/>
              </w:rPr>
              <w:t>in</w:t>
            </w:r>
            <w:r w:rsidRPr="006A437D">
              <w:rPr>
                <w:rFonts w:eastAsia="Arial" w:cstheme="minorHAnsi"/>
                <w:color w:val="000000"/>
              </w:rPr>
              <w:t xml:space="preserve"> the supervision budget, requiring no additional budget here.</w:t>
            </w:r>
          </w:p>
        </w:tc>
      </w:tr>
      <w:tr w:rsidR="008B729A" w:rsidRPr="006A437D" w14:paraId="2974EF21" w14:textId="77777777" w:rsidTr="00021BDE">
        <w:trPr>
          <w:cantSplit/>
          <w:trHeight w:val="2060"/>
        </w:trPr>
        <w:tc>
          <w:tcPr>
            <w:tcW w:w="2580" w:type="dxa"/>
            <w:vMerge/>
          </w:tcPr>
          <w:p w14:paraId="67A80D0F" w14:textId="77777777" w:rsidR="008B729A" w:rsidRDefault="008B729A" w:rsidP="00021BDE">
            <w:pPr>
              <w:pBdr>
                <w:top w:val="nil"/>
                <w:left w:val="nil"/>
                <w:bottom w:val="nil"/>
                <w:right w:val="nil"/>
                <w:between w:val="nil"/>
              </w:pBdr>
              <w:spacing w:afterLines="40" w:after="96" w:line="264" w:lineRule="auto"/>
              <w:rPr>
                <w:rFonts w:eastAsia="Arial" w:cstheme="minorHAnsi"/>
                <w:b/>
                <w:bCs/>
                <w:color w:val="000000"/>
              </w:rPr>
            </w:pPr>
          </w:p>
        </w:tc>
        <w:tc>
          <w:tcPr>
            <w:tcW w:w="12585" w:type="dxa"/>
          </w:tcPr>
          <w:p w14:paraId="3509DAE8" w14:textId="77777777" w:rsidR="008B729A" w:rsidRDefault="008B729A" w:rsidP="00021BDE">
            <w:pPr>
              <w:spacing w:afterLines="40" w:after="96" w:line="264" w:lineRule="auto"/>
              <w:rPr>
                <w:rFonts w:eastAsia="Arial" w:cstheme="minorHAnsi"/>
                <w:color w:val="000000"/>
              </w:rPr>
            </w:pPr>
            <w:r w:rsidRPr="006A437D">
              <w:rPr>
                <w:rFonts w:eastAsia="Arial" w:cstheme="minorHAnsi"/>
                <w:b/>
                <w:color w:val="000000"/>
              </w:rPr>
              <w:t xml:space="preserve">Intervention: </w:t>
            </w:r>
            <w:r w:rsidRPr="006A437D">
              <w:rPr>
                <w:rFonts w:eastAsia="Arial" w:cstheme="minorHAnsi"/>
                <w:color w:val="000000"/>
              </w:rPr>
              <w:t>Social and behavior change (SBC)</w:t>
            </w:r>
          </w:p>
          <w:p w14:paraId="561FC3AE" w14:textId="77777777" w:rsidR="008B729A" w:rsidRPr="006A437D" w:rsidRDefault="008B729A" w:rsidP="00021BDE">
            <w:pPr>
              <w:spacing w:afterLines="40" w:after="96" w:line="264" w:lineRule="auto"/>
              <w:rPr>
                <w:rFonts w:eastAsia="Arial" w:cstheme="minorHAnsi"/>
                <w:color w:val="000000"/>
              </w:rPr>
            </w:pPr>
            <w:r w:rsidRPr="006A437D">
              <w:rPr>
                <w:rFonts w:eastAsia="Arial" w:cstheme="minorHAnsi"/>
                <w:color w:val="000000"/>
              </w:rPr>
              <w:t>Key activities under this intervention include:</w:t>
            </w:r>
          </w:p>
          <w:p w14:paraId="1BA2DC67" w14:textId="77777777" w:rsidR="008B729A" w:rsidRPr="006A437D" w:rsidRDefault="008B729A" w:rsidP="00021BDE">
            <w:pPr>
              <w:numPr>
                <w:ilvl w:val="0"/>
                <w:numId w:val="43"/>
              </w:numPr>
              <w:pBdr>
                <w:top w:val="nil"/>
                <w:left w:val="nil"/>
                <w:bottom w:val="nil"/>
                <w:right w:val="nil"/>
                <w:between w:val="nil"/>
              </w:pBdr>
              <w:spacing w:after="0" w:line="264" w:lineRule="auto"/>
              <w:rPr>
                <w:rFonts w:eastAsia="Arial" w:cstheme="minorHAnsi"/>
                <w:color w:val="000000"/>
              </w:rPr>
            </w:pPr>
            <w:r w:rsidRPr="00F77DA8">
              <w:rPr>
                <w:rFonts w:eastAsia="Arial" w:cstheme="minorHAnsi"/>
                <w:b/>
                <w:bCs/>
                <w:color w:val="000000"/>
              </w:rPr>
              <w:t>SBCC activities</w:t>
            </w:r>
            <w:r w:rsidRPr="006A437D">
              <w:rPr>
                <w:rFonts w:eastAsia="Arial" w:cstheme="minorHAnsi"/>
                <w:color w:val="000000"/>
              </w:rPr>
              <w:t xml:space="preserve"> will be conducted in all</w:t>
            </w:r>
            <w:r>
              <w:rPr>
                <w:rFonts w:eastAsia="Arial" w:cstheme="minorHAnsi"/>
                <w:color w:val="000000"/>
              </w:rPr>
              <w:t xml:space="preserve"> high priority</w:t>
            </w:r>
            <w:r w:rsidRPr="006A437D">
              <w:rPr>
                <w:rFonts w:eastAsia="Arial" w:cstheme="minorHAnsi"/>
                <w:color w:val="000000"/>
              </w:rPr>
              <w:t xml:space="preserve"> districts of the country, with the following package of interventions:</w:t>
            </w:r>
          </w:p>
          <w:p w14:paraId="51EE2E5D" w14:textId="77777777" w:rsidR="008B729A" w:rsidRPr="006A437D" w:rsidRDefault="008B729A" w:rsidP="00021BDE">
            <w:pPr>
              <w:numPr>
                <w:ilvl w:val="1"/>
                <w:numId w:val="43"/>
              </w:numPr>
              <w:pBdr>
                <w:top w:val="nil"/>
                <w:left w:val="nil"/>
                <w:bottom w:val="nil"/>
                <w:right w:val="nil"/>
                <w:between w:val="nil"/>
              </w:pBdr>
              <w:spacing w:after="0" w:line="264" w:lineRule="auto"/>
              <w:rPr>
                <w:rFonts w:eastAsia="Arial" w:cstheme="minorHAnsi"/>
                <w:color w:val="000000"/>
              </w:rPr>
            </w:pPr>
            <w:r w:rsidRPr="006A437D">
              <w:rPr>
                <w:rFonts w:eastAsia="Arial" w:cstheme="minorHAnsi"/>
                <w:color w:val="000000"/>
              </w:rPr>
              <w:t>Training of all existing community health structures (CHS)</w:t>
            </w:r>
            <w:r>
              <w:rPr>
                <w:rFonts w:eastAsia="Arial" w:cstheme="minorHAnsi"/>
                <w:color w:val="000000"/>
              </w:rPr>
              <w:t xml:space="preserve"> which are formalized committees made up of community leaders, religious leaders, APS, teachers, and other activists influential in communities</w:t>
            </w:r>
          </w:p>
          <w:p w14:paraId="3975828C" w14:textId="77777777" w:rsidR="008B729A" w:rsidRPr="006A437D" w:rsidRDefault="008B729A" w:rsidP="00021BDE">
            <w:pPr>
              <w:numPr>
                <w:ilvl w:val="1"/>
                <w:numId w:val="43"/>
              </w:numPr>
              <w:pBdr>
                <w:top w:val="nil"/>
                <w:left w:val="nil"/>
                <w:bottom w:val="nil"/>
                <w:right w:val="nil"/>
                <w:between w:val="nil"/>
              </w:pBdr>
              <w:spacing w:after="0" w:line="264" w:lineRule="auto"/>
              <w:rPr>
                <w:rFonts w:eastAsia="Arial" w:cstheme="minorHAnsi"/>
                <w:color w:val="000000"/>
              </w:rPr>
            </w:pPr>
            <w:r w:rsidRPr="006A437D">
              <w:rPr>
                <w:rFonts w:eastAsia="Arial" w:cstheme="minorHAnsi"/>
                <w:color w:val="000000"/>
              </w:rPr>
              <w:t>Training for teachers in all district primary schools</w:t>
            </w:r>
          </w:p>
          <w:p w14:paraId="6C1E09C0" w14:textId="77777777" w:rsidR="008B729A" w:rsidRDefault="008B729A" w:rsidP="00021BDE">
            <w:pPr>
              <w:numPr>
                <w:ilvl w:val="1"/>
                <w:numId w:val="43"/>
              </w:numPr>
              <w:pBdr>
                <w:top w:val="nil"/>
                <w:left w:val="nil"/>
                <w:bottom w:val="nil"/>
                <w:right w:val="nil"/>
                <w:between w:val="nil"/>
              </w:pBdr>
              <w:spacing w:afterLines="40" w:after="96" w:line="264" w:lineRule="auto"/>
              <w:rPr>
                <w:rFonts w:eastAsia="Arial" w:cstheme="minorHAnsi"/>
                <w:color w:val="000000"/>
              </w:rPr>
            </w:pPr>
            <w:r w:rsidRPr="006A437D">
              <w:rPr>
                <w:rFonts w:eastAsia="Arial" w:cstheme="minorHAnsi"/>
                <w:color w:val="000000"/>
              </w:rPr>
              <w:t>Community radio programming</w:t>
            </w:r>
          </w:p>
          <w:p w14:paraId="5769033C" w14:textId="77777777" w:rsidR="008B729A" w:rsidRDefault="008B729A" w:rsidP="00021BDE">
            <w:pPr>
              <w:pBdr>
                <w:top w:val="nil"/>
                <w:left w:val="nil"/>
                <w:bottom w:val="nil"/>
                <w:right w:val="nil"/>
                <w:between w:val="nil"/>
              </w:pBdr>
              <w:spacing w:afterLines="40" w:after="96" w:line="264" w:lineRule="auto"/>
              <w:ind w:left="720"/>
              <w:rPr>
                <w:rFonts w:eastAsia="Arial" w:cstheme="minorHAnsi"/>
                <w:color w:val="000000"/>
              </w:rPr>
            </w:pPr>
            <w:r w:rsidRPr="00127F33">
              <w:rPr>
                <w:rFonts w:eastAsia="Arial" w:cstheme="minorHAnsi"/>
                <w:color w:val="000000"/>
              </w:rPr>
              <w:t>Messaging will focus on improving community knowledge of malaria, and demand generation to improve malaria service uptake (for case management as well as the various malaria prevention interventions). Age and sex-disaggregated epidemiological data, which will be improved at no specific cost to this grant, will be used to refine messaging to high risk groups.</w:t>
            </w:r>
          </w:p>
          <w:p w14:paraId="72ADF1A1" w14:textId="77777777" w:rsidR="008B729A" w:rsidRPr="006A437D" w:rsidRDefault="008B729A" w:rsidP="00021BDE">
            <w:pPr>
              <w:pBdr>
                <w:top w:val="nil"/>
                <w:left w:val="nil"/>
                <w:bottom w:val="nil"/>
                <w:right w:val="nil"/>
                <w:between w:val="nil"/>
              </w:pBdr>
              <w:spacing w:after="0" w:line="264" w:lineRule="auto"/>
              <w:ind w:left="720"/>
              <w:rPr>
                <w:rFonts w:eastAsia="Arial" w:cstheme="minorHAnsi"/>
                <w:color w:val="000000"/>
              </w:rPr>
            </w:pPr>
            <w:r w:rsidRPr="006A437D">
              <w:rPr>
                <w:rFonts w:eastAsia="Arial" w:cstheme="minorHAnsi"/>
                <w:color w:val="000000"/>
              </w:rPr>
              <w:t>Two key lessons have been learned during the current implementation, which will result in a refinement in strategy:</w:t>
            </w:r>
          </w:p>
          <w:p w14:paraId="161BAFB7" w14:textId="77777777" w:rsidR="008B729A" w:rsidRPr="006A437D" w:rsidRDefault="008B729A" w:rsidP="00021BDE">
            <w:pPr>
              <w:numPr>
                <w:ilvl w:val="0"/>
                <w:numId w:val="35"/>
              </w:numPr>
              <w:pBdr>
                <w:top w:val="nil"/>
                <w:left w:val="nil"/>
                <w:bottom w:val="nil"/>
                <w:right w:val="nil"/>
                <w:between w:val="nil"/>
              </w:pBdr>
              <w:spacing w:after="0" w:line="264" w:lineRule="auto"/>
              <w:rPr>
                <w:rFonts w:eastAsia="Arial" w:cstheme="minorHAnsi"/>
                <w:color w:val="000000"/>
              </w:rPr>
            </w:pPr>
            <w:r w:rsidRPr="006A437D">
              <w:rPr>
                <w:rFonts w:eastAsia="Arial" w:cstheme="minorHAnsi"/>
                <w:color w:val="000000"/>
              </w:rPr>
              <w:t xml:space="preserve">The targeting of specific districts for SBCC has led to gaps in activities within </w:t>
            </w:r>
            <w:r>
              <w:rPr>
                <w:rFonts w:eastAsia="Arial" w:cstheme="minorHAnsi"/>
                <w:color w:val="000000"/>
              </w:rPr>
              <w:t xml:space="preserve">non-targeted but </w:t>
            </w:r>
            <w:r w:rsidRPr="006A437D">
              <w:rPr>
                <w:rFonts w:eastAsia="Arial" w:cstheme="minorHAnsi"/>
                <w:color w:val="000000"/>
              </w:rPr>
              <w:t>important high burden provinces.</w:t>
            </w:r>
            <w:r>
              <w:rPr>
                <w:rFonts w:eastAsia="Arial" w:cstheme="minorHAnsi"/>
                <w:color w:val="000000"/>
              </w:rPr>
              <w:t xml:space="preserve"> To maximize value-for-money in SBCC, decisions on prioritization of time will be done by CSO partners during the implementation based on data on burden, intervention uptake, and other data. </w:t>
            </w:r>
          </w:p>
          <w:p w14:paraId="3F30CDA2" w14:textId="77777777" w:rsidR="008B729A" w:rsidRPr="00127F33" w:rsidRDefault="008B729A" w:rsidP="00021BDE">
            <w:pPr>
              <w:numPr>
                <w:ilvl w:val="0"/>
                <w:numId w:val="35"/>
              </w:numPr>
              <w:pBdr>
                <w:top w:val="nil"/>
                <w:left w:val="nil"/>
                <w:bottom w:val="nil"/>
                <w:right w:val="nil"/>
                <w:between w:val="nil"/>
              </w:pBdr>
              <w:spacing w:afterLines="40" w:after="96" w:line="264" w:lineRule="auto"/>
              <w:rPr>
                <w:rFonts w:eastAsia="Arial" w:cstheme="minorHAnsi"/>
                <w:color w:val="000000"/>
              </w:rPr>
            </w:pPr>
            <w:r w:rsidRPr="006A437D">
              <w:rPr>
                <w:rFonts w:eastAsia="Arial" w:cstheme="minorHAnsi"/>
                <w:color w:val="000000"/>
              </w:rPr>
              <w:t>The operational intensity of</w:t>
            </w:r>
            <w:r>
              <w:rPr>
                <w:rFonts w:eastAsia="Arial" w:cstheme="minorHAnsi"/>
                <w:color w:val="000000"/>
              </w:rPr>
              <w:t xml:space="preserve"> IT</w:t>
            </w:r>
            <w:r w:rsidRPr="006A437D">
              <w:rPr>
                <w:rFonts w:eastAsia="Arial" w:cstheme="minorHAnsi"/>
                <w:color w:val="000000"/>
              </w:rPr>
              <w:t xml:space="preserve">N campaign activities has often resulted in </w:t>
            </w:r>
            <w:r>
              <w:rPr>
                <w:rFonts w:eastAsia="Arial" w:cstheme="minorHAnsi"/>
                <w:color w:val="000000"/>
              </w:rPr>
              <w:t xml:space="preserve">the </w:t>
            </w:r>
            <w:r w:rsidRPr="006A437D">
              <w:rPr>
                <w:rFonts w:eastAsia="Arial" w:cstheme="minorHAnsi"/>
                <w:color w:val="000000"/>
              </w:rPr>
              <w:t>lack of SBCC focus after the campaign; to resolve this</w:t>
            </w:r>
            <w:r>
              <w:rPr>
                <w:rFonts w:eastAsia="Arial" w:cstheme="minorHAnsi"/>
                <w:color w:val="000000"/>
              </w:rPr>
              <w:t>,</w:t>
            </w:r>
            <w:r w:rsidRPr="006A437D">
              <w:rPr>
                <w:rFonts w:eastAsia="Arial" w:cstheme="minorHAnsi"/>
                <w:color w:val="000000"/>
              </w:rPr>
              <w:t xml:space="preserve"> implementation arrangements</w:t>
            </w:r>
            <w:r>
              <w:rPr>
                <w:rFonts w:eastAsia="Arial" w:cstheme="minorHAnsi"/>
                <w:color w:val="000000"/>
              </w:rPr>
              <w:t xml:space="preserve"> will be explored</w:t>
            </w:r>
            <w:r w:rsidRPr="006A437D">
              <w:rPr>
                <w:rFonts w:eastAsia="Arial" w:cstheme="minorHAnsi"/>
                <w:color w:val="000000"/>
              </w:rPr>
              <w:t xml:space="preserve"> to ensure focus on both </w:t>
            </w:r>
            <w:r>
              <w:rPr>
                <w:rFonts w:eastAsia="Arial" w:cstheme="minorHAnsi"/>
                <w:color w:val="000000"/>
              </w:rPr>
              <w:t xml:space="preserve">ITN distribution and SBCC </w:t>
            </w:r>
            <w:r w:rsidRPr="006A437D">
              <w:rPr>
                <w:rFonts w:eastAsia="Arial" w:cstheme="minorHAnsi"/>
                <w:color w:val="000000"/>
              </w:rPr>
              <w:t>is maintained.</w:t>
            </w:r>
            <w:r>
              <w:rPr>
                <w:rFonts w:eastAsia="Arial" w:cstheme="minorHAnsi"/>
                <w:color w:val="000000"/>
              </w:rPr>
              <w:t xml:space="preserve"> Collaborative workplanning will be done with each CSO partner –including</w:t>
            </w:r>
            <w:r w:rsidRPr="00127F33">
              <w:rPr>
                <w:rFonts w:eastAsia="Arial" w:cstheme="minorHAnsi"/>
                <w:color w:val="000000"/>
              </w:rPr>
              <w:t xml:space="preserve"> staffing structure discussions, to ensure that balance in focus can be achieved for these two important activities.</w:t>
            </w:r>
          </w:p>
          <w:p w14:paraId="4E4D84A3" w14:textId="77777777" w:rsidR="008B729A" w:rsidRDefault="008B729A" w:rsidP="00021BDE">
            <w:pPr>
              <w:pStyle w:val="BodyText"/>
              <w:spacing w:after="0"/>
              <w:ind w:left="720"/>
              <w:rPr>
                <w:rFonts w:eastAsia="Arial" w:cstheme="minorHAnsi"/>
                <w:color w:val="000000"/>
                <w:sz w:val="22"/>
              </w:rPr>
            </w:pPr>
            <w:r>
              <w:rPr>
                <w:sz w:val="22"/>
                <w:szCs w:val="20"/>
                <w:lang w:val="en-US"/>
              </w:rPr>
              <w:t xml:space="preserve">The implementation approach going forward is still being deliberated upon, however looks to account for these lessons, and is committed to be finalized by the SBCC TWG by December 2023. </w:t>
            </w:r>
            <w:r w:rsidRPr="003C2B50">
              <w:rPr>
                <w:rFonts w:eastAsia="Arial" w:cstheme="minorHAnsi"/>
                <w:color w:val="000000"/>
                <w:sz w:val="22"/>
              </w:rPr>
              <w:t xml:space="preserve">Total 3-year cost will be </w:t>
            </w:r>
            <w:r w:rsidRPr="003C2B50">
              <w:rPr>
                <w:rFonts w:eastAsia="Arial" w:cstheme="minorHAnsi"/>
                <w:b/>
                <w:bCs/>
                <w:color w:val="000000"/>
                <w:sz w:val="22"/>
              </w:rPr>
              <w:t>$5,093,017</w:t>
            </w:r>
            <w:r w:rsidRPr="003C2B50">
              <w:rPr>
                <w:rFonts w:eastAsia="Arial" w:cstheme="minorHAnsi"/>
                <w:color w:val="000000"/>
                <w:sz w:val="22"/>
              </w:rPr>
              <w:t>.</w:t>
            </w:r>
          </w:p>
          <w:p w14:paraId="0EE63151" w14:textId="77777777" w:rsidR="008B729A" w:rsidRPr="003C2B50" w:rsidRDefault="008B729A" w:rsidP="00021BDE">
            <w:pPr>
              <w:pStyle w:val="BodyText"/>
              <w:spacing w:after="0"/>
              <w:ind w:left="720"/>
              <w:rPr>
                <w:sz w:val="22"/>
                <w:szCs w:val="20"/>
                <w:lang w:val="en-US"/>
              </w:rPr>
            </w:pPr>
          </w:p>
          <w:p w14:paraId="2FFEAA92" w14:textId="77777777" w:rsidR="008B729A" w:rsidRPr="00127F33" w:rsidRDefault="008B729A" w:rsidP="00021BDE">
            <w:pPr>
              <w:numPr>
                <w:ilvl w:val="0"/>
                <w:numId w:val="43"/>
              </w:numPr>
              <w:pBdr>
                <w:top w:val="nil"/>
                <w:left w:val="nil"/>
                <w:bottom w:val="nil"/>
                <w:right w:val="nil"/>
                <w:between w:val="nil"/>
              </w:pBdr>
              <w:spacing w:after="0" w:line="264" w:lineRule="auto"/>
              <w:rPr>
                <w:rFonts w:eastAsia="Arial" w:cstheme="minorHAnsi"/>
                <w:color w:val="000000"/>
              </w:rPr>
            </w:pPr>
            <w:r w:rsidRPr="00127F33">
              <w:rPr>
                <w:rFonts w:eastAsia="Arial" w:cstheme="minorHAnsi"/>
                <w:color w:val="000000"/>
              </w:rPr>
              <w:t xml:space="preserve">Following experimentation with </w:t>
            </w:r>
            <w:r w:rsidRPr="00F77DA8">
              <w:rPr>
                <w:rFonts w:eastAsia="Arial" w:cstheme="minorHAnsi"/>
                <w:b/>
                <w:bCs/>
                <w:color w:val="000000"/>
              </w:rPr>
              <w:t>cell phone-based SBCC</w:t>
            </w:r>
            <w:r w:rsidRPr="00127F33">
              <w:rPr>
                <w:rFonts w:eastAsia="Arial" w:cstheme="minorHAnsi"/>
                <w:color w:val="000000"/>
              </w:rPr>
              <w:t xml:space="preserve"> campaigns during the current grant, we will continue to use a combination of communication methods with cell phone technology, namely:</w:t>
            </w:r>
          </w:p>
          <w:p w14:paraId="57E27B14" w14:textId="77777777" w:rsidR="008B729A" w:rsidRPr="00127F33" w:rsidRDefault="008B729A" w:rsidP="00021BDE">
            <w:pPr>
              <w:numPr>
                <w:ilvl w:val="1"/>
                <w:numId w:val="43"/>
              </w:numPr>
              <w:pBdr>
                <w:top w:val="nil"/>
                <w:left w:val="nil"/>
                <w:bottom w:val="nil"/>
                <w:right w:val="nil"/>
                <w:between w:val="nil"/>
              </w:pBdr>
              <w:spacing w:after="0" w:line="264" w:lineRule="auto"/>
              <w:rPr>
                <w:rFonts w:eastAsia="Arial" w:cstheme="minorHAnsi"/>
                <w:color w:val="000000"/>
              </w:rPr>
            </w:pPr>
            <w:r w:rsidRPr="00127F33">
              <w:rPr>
                <w:rFonts w:eastAsia="Arial" w:cstheme="minorHAnsi"/>
                <w:color w:val="000000"/>
              </w:rPr>
              <w:t>Targeted malaria messaging campaign, utilizing Interactive Voice Response and text messaging, given relatively low literacy rates in the country</w:t>
            </w:r>
          </w:p>
          <w:p w14:paraId="26989884" w14:textId="77777777" w:rsidR="008B729A" w:rsidRPr="00F77DA8" w:rsidRDefault="008B729A" w:rsidP="00021BDE">
            <w:pPr>
              <w:numPr>
                <w:ilvl w:val="1"/>
                <w:numId w:val="43"/>
              </w:numPr>
              <w:pBdr>
                <w:top w:val="nil"/>
                <w:left w:val="nil"/>
                <w:bottom w:val="nil"/>
                <w:right w:val="nil"/>
                <w:between w:val="nil"/>
              </w:pBdr>
              <w:spacing w:after="0" w:line="264" w:lineRule="auto"/>
              <w:rPr>
                <w:rFonts w:eastAsia="Arial" w:cstheme="minorHAnsi"/>
                <w:b/>
                <w:color w:val="000000"/>
              </w:rPr>
            </w:pPr>
            <w:r w:rsidRPr="00127F33">
              <w:rPr>
                <w:rFonts w:eastAsia="Arial" w:cstheme="minorHAnsi"/>
                <w:color w:val="000000"/>
              </w:rPr>
              <w:t>Continued use of a 3-2-1 National Information Service for malaria SBCC, including both static messages and gamified content</w:t>
            </w:r>
          </w:p>
          <w:p w14:paraId="471FC928" w14:textId="4C44FA00" w:rsidR="008B729A" w:rsidRPr="006A437D" w:rsidRDefault="008B729A" w:rsidP="00021BDE">
            <w:pPr>
              <w:numPr>
                <w:ilvl w:val="1"/>
                <w:numId w:val="43"/>
              </w:numPr>
              <w:pBdr>
                <w:top w:val="nil"/>
                <w:left w:val="nil"/>
                <w:bottom w:val="nil"/>
                <w:right w:val="nil"/>
                <w:between w:val="nil"/>
              </w:pBdr>
              <w:spacing w:after="0" w:line="264" w:lineRule="auto"/>
              <w:rPr>
                <w:rFonts w:eastAsia="Arial" w:cstheme="minorHAnsi"/>
                <w:b/>
                <w:color w:val="000000"/>
              </w:rPr>
            </w:pPr>
            <w:r w:rsidRPr="00524BBB">
              <w:rPr>
                <w:rFonts w:eastAsia="Arial" w:cstheme="minorHAnsi"/>
                <w:color w:val="000000"/>
              </w:rPr>
              <w:t xml:space="preserve">Total 3-year cost will be </w:t>
            </w:r>
            <w:r w:rsidRPr="00524BBB">
              <w:rPr>
                <w:rFonts w:eastAsia="Arial" w:cstheme="minorHAnsi"/>
                <w:b/>
                <w:bCs/>
                <w:color w:val="000000"/>
              </w:rPr>
              <w:t>$1,238,73</w:t>
            </w:r>
            <w:r w:rsidR="008967CF">
              <w:rPr>
                <w:rFonts w:eastAsia="Arial" w:cstheme="minorHAnsi"/>
                <w:b/>
                <w:bCs/>
                <w:color w:val="000000"/>
              </w:rPr>
              <w:t>3</w:t>
            </w:r>
          </w:p>
        </w:tc>
      </w:tr>
      <w:tr w:rsidR="008B729A" w:rsidRPr="006A437D" w14:paraId="6415A4B5" w14:textId="77777777" w:rsidTr="00021BDE">
        <w:trPr>
          <w:cantSplit/>
        </w:trPr>
        <w:tc>
          <w:tcPr>
            <w:tcW w:w="2580" w:type="dxa"/>
          </w:tcPr>
          <w:p w14:paraId="0606988A"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b/>
                <w:bCs/>
                <w:color w:val="000000"/>
              </w:rPr>
            </w:pPr>
            <w:r>
              <w:rPr>
                <w:rFonts w:eastAsia="Arial" w:cstheme="minorHAnsi"/>
                <w:b/>
                <w:bCs/>
                <w:color w:val="000000"/>
              </w:rPr>
              <w:t>Amount requested</w:t>
            </w:r>
          </w:p>
        </w:tc>
        <w:tc>
          <w:tcPr>
            <w:tcW w:w="12585" w:type="dxa"/>
          </w:tcPr>
          <w:p w14:paraId="4616878D" w14:textId="77777777" w:rsidR="008B729A" w:rsidRPr="00127F33" w:rsidRDefault="008B729A" w:rsidP="00021BDE">
            <w:pPr>
              <w:pBdr>
                <w:top w:val="nil"/>
                <w:left w:val="nil"/>
                <w:bottom w:val="nil"/>
                <w:right w:val="nil"/>
                <w:between w:val="nil"/>
              </w:pBdr>
              <w:tabs>
                <w:tab w:val="left" w:pos="1377"/>
              </w:tabs>
              <w:spacing w:afterLines="40" w:after="96" w:line="264" w:lineRule="auto"/>
              <w:rPr>
                <w:rFonts w:eastAsia="Arial" w:cstheme="minorHAnsi"/>
                <w:b/>
                <w:bCs/>
                <w:color w:val="000000"/>
              </w:rPr>
            </w:pPr>
            <w:r w:rsidRPr="006A437D">
              <w:rPr>
                <w:rFonts w:eastAsia="Arial" w:cstheme="minorHAnsi"/>
                <w:b/>
                <w:bCs/>
                <w:color w:val="000000"/>
              </w:rPr>
              <w:t>Within al</w:t>
            </w:r>
            <w:r>
              <w:rPr>
                <w:rFonts w:eastAsia="Arial" w:cstheme="minorHAnsi"/>
                <w:b/>
                <w:bCs/>
                <w:color w:val="000000"/>
              </w:rPr>
              <w:t>l</w:t>
            </w:r>
            <w:r w:rsidRPr="006A437D">
              <w:rPr>
                <w:rFonts w:eastAsia="Arial" w:cstheme="minorHAnsi"/>
                <w:b/>
                <w:bCs/>
                <w:color w:val="000000"/>
              </w:rPr>
              <w:t xml:space="preserve">ocation: </w:t>
            </w:r>
            <w:r w:rsidRPr="00127F33">
              <w:rPr>
                <w:rFonts w:eastAsia="Arial" w:cstheme="minorHAnsi"/>
                <w:b/>
                <w:bCs/>
                <w:color w:val="000000"/>
              </w:rPr>
              <w:t>$43,</w:t>
            </w:r>
            <w:r>
              <w:rPr>
                <w:rFonts w:eastAsia="Arial" w:cstheme="minorHAnsi"/>
                <w:b/>
                <w:bCs/>
                <w:color w:val="000000"/>
              </w:rPr>
              <w:t>34</w:t>
            </w:r>
            <w:r w:rsidRPr="00127F33">
              <w:rPr>
                <w:rFonts w:eastAsia="Arial" w:cstheme="minorHAnsi"/>
                <w:b/>
                <w:bCs/>
                <w:color w:val="000000"/>
              </w:rPr>
              <w:t>9,</w:t>
            </w:r>
            <w:r>
              <w:rPr>
                <w:rFonts w:eastAsia="Arial" w:cstheme="minorHAnsi"/>
                <w:b/>
                <w:bCs/>
                <w:color w:val="000000"/>
              </w:rPr>
              <w:t>690</w:t>
            </w:r>
          </w:p>
          <w:p w14:paraId="695B0682" w14:textId="77777777" w:rsidR="008B729A" w:rsidRPr="009E2E89" w:rsidRDefault="008B729A" w:rsidP="00021BDE">
            <w:pPr>
              <w:pBdr>
                <w:top w:val="nil"/>
                <w:left w:val="nil"/>
                <w:bottom w:val="nil"/>
                <w:right w:val="nil"/>
                <w:between w:val="nil"/>
              </w:pBdr>
              <w:tabs>
                <w:tab w:val="left" w:pos="1377"/>
              </w:tabs>
              <w:spacing w:afterLines="40" w:after="96" w:line="264" w:lineRule="auto"/>
              <w:rPr>
                <w:rFonts w:eastAsia="Arial" w:cstheme="minorHAnsi"/>
                <w:b/>
                <w:bCs/>
                <w:color w:val="FF0000"/>
              </w:rPr>
            </w:pPr>
            <w:r w:rsidRPr="00127F33">
              <w:rPr>
                <w:rFonts w:eastAsia="Arial" w:cstheme="minorHAnsi"/>
                <w:b/>
                <w:bCs/>
                <w:color w:val="000000"/>
              </w:rPr>
              <w:t>PAAR: $6,626,873</w:t>
            </w:r>
          </w:p>
        </w:tc>
      </w:tr>
      <w:tr w:rsidR="008B729A" w:rsidRPr="006A437D" w14:paraId="6FA4AA41" w14:textId="77777777" w:rsidTr="00021BDE">
        <w:trPr>
          <w:cantSplit/>
          <w:trHeight w:val="573"/>
        </w:trPr>
        <w:tc>
          <w:tcPr>
            <w:tcW w:w="2580" w:type="dxa"/>
          </w:tcPr>
          <w:p w14:paraId="2D5C9AC8" w14:textId="77777777" w:rsidR="008B729A" w:rsidRPr="006A437D" w:rsidRDefault="008B729A" w:rsidP="00021BDE">
            <w:pPr>
              <w:spacing w:afterLines="40" w:after="96" w:line="264" w:lineRule="auto"/>
              <w:rPr>
                <w:rFonts w:eastAsia="Arial" w:cstheme="minorHAnsi"/>
                <w:b/>
                <w:bCs/>
                <w:color w:val="000000"/>
              </w:rPr>
            </w:pPr>
            <w:r w:rsidRPr="006A437D">
              <w:rPr>
                <w:rFonts w:eastAsia="Arial" w:cstheme="minorHAnsi"/>
                <w:b/>
                <w:bCs/>
                <w:color w:val="000000"/>
              </w:rPr>
              <w:t>Complementary funding and partner support</w:t>
            </w:r>
          </w:p>
        </w:tc>
        <w:tc>
          <w:tcPr>
            <w:tcW w:w="12585" w:type="dxa"/>
          </w:tcPr>
          <w:p w14:paraId="54AABB21" w14:textId="77777777" w:rsidR="008B729A" w:rsidRPr="00595424" w:rsidRDefault="008B729A" w:rsidP="00021BDE">
            <w:pPr>
              <w:shd w:val="clear" w:color="auto" w:fill="FFFFFF"/>
              <w:spacing w:afterLines="40" w:after="96" w:line="264" w:lineRule="auto"/>
              <w:rPr>
                <w:rFonts w:eastAsia="Arial" w:cstheme="minorHAnsi"/>
                <w:color w:val="000000"/>
              </w:rPr>
            </w:pPr>
            <w:r w:rsidRPr="006A437D">
              <w:rPr>
                <w:rFonts w:eastAsia="Arial" w:cstheme="minorHAnsi"/>
                <w:color w:val="000000"/>
              </w:rPr>
              <w:t xml:space="preserve">The contributions of PMI and Government to the commodities under this module are summarized in </w:t>
            </w:r>
            <w:r w:rsidRPr="00595424">
              <w:rPr>
                <w:rFonts w:eastAsia="Arial" w:cstheme="minorHAnsi"/>
                <w:color w:val="000000"/>
              </w:rPr>
              <w:t xml:space="preserve">Table 2, noting that these are inclusive of facility and community level needs. Operational costs for APS (e.g. training and supervision) continue to be funded primarily through the World Bank. </w:t>
            </w:r>
          </w:p>
          <w:p w14:paraId="34D9BDFA" w14:textId="77777777" w:rsidR="008B729A" w:rsidRDefault="008B729A" w:rsidP="00021BDE">
            <w:pPr>
              <w:shd w:val="clear" w:color="auto" w:fill="FFFFFF"/>
              <w:spacing w:afterLines="40" w:after="96" w:line="264" w:lineRule="auto"/>
              <w:rPr>
                <w:rFonts w:eastAsia="Arial" w:cstheme="minorHAnsi"/>
                <w:color w:val="000000"/>
              </w:rPr>
            </w:pPr>
            <w:r w:rsidRPr="00595424">
              <w:rPr>
                <w:rFonts w:eastAsia="Arial" w:cstheme="minorHAnsi"/>
                <w:color w:val="000000"/>
              </w:rPr>
              <w:t>Table 2: Case management commodity needs and funding by source</w:t>
            </w:r>
            <w:r w:rsidRPr="00595424">
              <w:rPr>
                <w:rStyle w:val="FootnoteReference"/>
                <w:rFonts w:eastAsia="Arial" w:cstheme="minorHAnsi"/>
                <w:color w:val="000000"/>
              </w:rPr>
              <w:footnoteReference w:id="3"/>
            </w:r>
          </w:p>
          <w:p w14:paraId="2059E342" w14:textId="77777777" w:rsidR="008B729A" w:rsidRDefault="008B729A" w:rsidP="00021BDE">
            <w:pPr>
              <w:spacing w:afterLines="40" w:after="96" w:line="264" w:lineRule="auto"/>
              <w:rPr>
                <w:rFonts w:eastAsia="Arial" w:cstheme="minorHAnsi"/>
                <w:color w:val="000000"/>
              </w:rPr>
            </w:pPr>
            <w:r w:rsidRPr="00664598">
              <w:rPr>
                <w:rFonts w:eastAsia="Arial" w:cstheme="minorHAnsi"/>
                <w:noProof/>
                <w:color w:val="000000"/>
              </w:rPr>
              <w:drawing>
                <wp:inline distT="0" distB="0" distL="0" distR="0" wp14:anchorId="6F51D9C8" wp14:editId="321CD102">
                  <wp:extent cx="6343650" cy="1401954"/>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1226" cy="1405838"/>
                          </a:xfrm>
                          <a:prstGeom prst="rect">
                            <a:avLst/>
                          </a:prstGeom>
                          <a:noFill/>
                          <a:ln>
                            <a:noFill/>
                          </a:ln>
                        </pic:spPr>
                      </pic:pic>
                    </a:graphicData>
                  </a:graphic>
                </wp:inline>
              </w:drawing>
            </w:r>
          </w:p>
          <w:p w14:paraId="337020BC" w14:textId="77777777" w:rsidR="008B729A" w:rsidRPr="006A437D" w:rsidRDefault="008B729A" w:rsidP="00021BDE">
            <w:pPr>
              <w:spacing w:afterLines="40" w:after="96" w:line="264" w:lineRule="auto"/>
              <w:rPr>
                <w:rFonts w:eastAsia="Arial" w:cstheme="minorHAnsi"/>
                <w:color w:val="000000"/>
              </w:rPr>
            </w:pPr>
            <w:r w:rsidRPr="006A437D">
              <w:rPr>
                <w:rFonts w:eastAsia="Arial" w:cstheme="minorHAnsi"/>
                <w:color w:val="000000"/>
              </w:rPr>
              <w:t>Given the increasing threats posed by artemisinin resistance and Plasmodium falciparum HRP 2/3 gene deletion across Africa, PMI has committed to additional funding for therapeutic efficacy and HRP 2/3 gene deletion surveillance efforts and development of a response plan</w:t>
            </w:r>
            <w:r>
              <w:rPr>
                <w:rFonts w:eastAsia="Arial" w:cstheme="minorHAnsi"/>
                <w:color w:val="000000"/>
              </w:rPr>
              <w:t>. These efforts to monitor key biological threats has</w:t>
            </w:r>
            <w:r w:rsidRPr="006A437D">
              <w:rPr>
                <w:rFonts w:eastAsia="Arial" w:cstheme="minorHAnsi"/>
                <w:color w:val="000000"/>
              </w:rPr>
              <w:t xml:space="preserve"> existing budgetary support from WHO</w:t>
            </w:r>
            <w:r>
              <w:rPr>
                <w:rFonts w:eastAsia="Arial" w:cstheme="minorHAnsi"/>
                <w:color w:val="000000"/>
              </w:rPr>
              <w:t>,</w:t>
            </w:r>
            <w:r w:rsidRPr="006A437D">
              <w:rPr>
                <w:rFonts w:eastAsia="Arial" w:cstheme="minorHAnsi"/>
                <w:color w:val="000000"/>
              </w:rPr>
              <w:t xml:space="preserve"> as well as the GenMoz genetic surveillance efforts being carried </w:t>
            </w:r>
            <w:r>
              <w:rPr>
                <w:rFonts w:eastAsia="Arial" w:cstheme="minorHAnsi"/>
                <w:color w:val="000000"/>
              </w:rPr>
              <w:t>by</w:t>
            </w:r>
            <w:r w:rsidRPr="006A437D">
              <w:rPr>
                <w:rFonts w:eastAsia="Arial" w:cstheme="minorHAnsi"/>
                <w:color w:val="000000"/>
              </w:rPr>
              <w:t xml:space="preserve"> CISM </w:t>
            </w:r>
            <w:r>
              <w:rPr>
                <w:rFonts w:eastAsia="Arial" w:cstheme="minorHAnsi"/>
                <w:color w:val="000000"/>
              </w:rPr>
              <w:t>with financial support from</w:t>
            </w:r>
            <w:r w:rsidRPr="006A437D">
              <w:rPr>
                <w:rFonts w:eastAsia="Arial" w:cstheme="minorHAnsi"/>
                <w:color w:val="000000"/>
              </w:rPr>
              <w:t xml:space="preserve"> the Bill and Melinda Gates Foundation. </w:t>
            </w:r>
          </w:p>
        </w:tc>
      </w:tr>
      <w:tr w:rsidR="008B729A" w:rsidRPr="006A437D" w14:paraId="6E70ED4E" w14:textId="77777777" w:rsidTr="00021BDE">
        <w:trPr>
          <w:cantSplit/>
          <w:trHeight w:val="573"/>
        </w:trPr>
        <w:tc>
          <w:tcPr>
            <w:tcW w:w="2580" w:type="dxa"/>
          </w:tcPr>
          <w:p w14:paraId="1B247747" w14:textId="77777777" w:rsidR="008B729A" w:rsidRPr="006A437D" w:rsidRDefault="008B729A" w:rsidP="00021BDE">
            <w:pPr>
              <w:spacing w:afterLines="40" w:after="96" w:line="264" w:lineRule="auto"/>
              <w:rPr>
                <w:rFonts w:eastAsia="Arial" w:cstheme="minorHAnsi"/>
                <w:b/>
                <w:bCs/>
                <w:color w:val="000000"/>
              </w:rPr>
            </w:pPr>
            <w:r w:rsidRPr="006A437D">
              <w:rPr>
                <w:rFonts w:eastAsia="Arial" w:cstheme="minorHAnsi"/>
                <w:b/>
                <w:bCs/>
                <w:color w:val="000000"/>
              </w:rPr>
              <w:t>Expected outcome</w:t>
            </w:r>
          </w:p>
        </w:tc>
        <w:tc>
          <w:tcPr>
            <w:tcW w:w="12585" w:type="dxa"/>
          </w:tcPr>
          <w:p w14:paraId="6100956A" w14:textId="77777777" w:rsidR="008B729A" w:rsidRPr="006A437D" w:rsidRDefault="008B729A" w:rsidP="00021BDE">
            <w:pPr>
              <w:shd w:val="clear" w:color="auto" w:fill="FFFFFF"/>
              <w:spacing w:afterLines="40" w:after="96" w:line="264" w:lineRule="auto"/>
              <w:rPr>
                <w:rFonts w:eastAsia="Arial" w:cstheme="minorHAnsi"/>
                <w:color w:val="000000"/>
              </w:rPr>
            </w:pPr>
            <w:r w:rsidRPr="006A437D">
              <w:rPr>
                <w:rFonts w:eastAsia="Arial" w:cstheme="minorHAnsi"/>
                <w:color w:val="000000"/>
              </w:rPr>
              <w:t>The timely diagnosis and treatment of cases according to national guidelines, enabled by continuous commodity supply and well-capacitated health workers, will lead to a reduction in severe malaria and deaths, and improve the sensitivity of the routine surveillance system.</w:t>
            </w:r>
          </w:p>
        </w:tc>
      </w:tr>
    </w:tbl>
    <w:p w14:paraId="7D4CB574" w14:textId="77777777" w:rsidR="008B729A" w:rsidRDefault="008B729A" w:rsidP="008B729A">
      <w:pPr>
        <w:pBdr>
          <w:top w:val="nil"/>
          <w:left w:val="nil"/>
          <w:bottom w:val="nil"/>
          <w:right w:val="nil"/>
          <w:between w:val="nil"/>
        </w:pBdr>
        <w:spacing w:line="264" w:lineRule="auto"/>
        <w:rPr>
          <w:rFonts w:eastAsia="Arial" w:cstheme="minorHAnsi"/>
          <w:color w:val="000000"/>
        </w:rPr>
      </w:pPr>
    </w:p>
    <w:p w14:paraId="3B3484E3" w14:textId="77777777" w:rsidR="00365D5A" w:rsidRDefault="00365D5A">
      <w:r>
        <w:br w:type="page"/>
      </w:r>
    </w:p>
    <w:tbl>
      <w:tblPr>
        <w:tblW w:w="151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0"/>
        <w:gridCol w:w="12585"/>
      </w:tblGrid>
      <w:tr w:rsidR="008B729A" w:rsidRPr="006A437D" w14:paraId="55444EB7" w14:textId="77777777" w:rsidTr="00021BDE">
        <w:tc>
          <w:tcPr>
            <w:tcW w:w="2580" w:type="dxa"/>
          </w:tcPr>
          <w:p w14:paraId="02DA278B" w14:textId="7D5B861A" w:rsidR="008B729A" w:rsidRPr="006A437D" w:rsidRDefault="008B729A" w:rsidP="00021BDE">
            <w:pPr>
              <w:pBdr>
                <w:top w:val="nil"/>
                <w:left w:val="nil"/>
                <w:bottom w:val="nil"/>
                <w:right w:val="nil"/>
                <w:between w:val="nil"/>
              </w:pBdr>
              <w:spacing w:afterLines="40" w:after="96" w:line="264" w:lineRule="auto"/>
              <w:rPr>
                <w:rFonts w:eastAsia="Arial" w:cstheme="minorHAnsi"/>
                <w:b/>
                <w:bCs/>
                <w:color w:val="000000"/>
              </w:rPr>
            </w:pPr>
            <w:r w:rsidRPr="006A437D">
              <w:rPr>
                <w:rFonts w:eastAsia="Arial" w:cstheme="minorHAnsi"/>
                <w:b/>
                <w:bCs/>
                <w:color w:val="000000"/>
              </w:rPr>
              <w:t>MODULE 2</w:t>
            </w:r>
          </w:p>
        </w:tc>
        <w:tc>
          <w:tcPr>
            <w:tcW w:w="12585" w:type="dxa"/>
          </w:tcPr>
          <w:p w14:paraId="062BB17A"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b/>
                <w:color w:val="000000"/>
              </w:rPr>
            </w:pPr>
            <w:r w:rsidRPr="006A437D">
              <w:rPr>
                <w:rFonts w:eastAsia="Arial" w:cstheme="minorHAnsi"/>
                <w:b/>
                <w:color w:val="000000"/>
              </w:rPr>
              <w:t>VECTOR CONTROL</w:t>
            </w:r>
          </w:p>
        </w:tc>
      </w:tr>
      <w:tr w:rsidR="008B729A" w:rsidRPr="006A437D" w14:paraId="5C4083E9" w14:textId="77777777" w:rsidTr="00021BDE">
        <w:trPr>
          <w:trHeight w:val="456"/>
        </w:trPr>
        <w:tc>
          <w:tcPr>
            <w:tcW w:w="2580" w:type="dxa"/>
            <w:vMerge w:val="restart"/>
          </w:tcPr>
          <w:p w14:paraId="388CB88F"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b/>
                <w:bCs/>
                <w:color w:val="000000"/>
              </w:rPr>
            </w:pPr>
            <w:r w:rsidRPr="006A437D">
              <w:rPr>
                <w:rFonts w:eastAsia="Arial" w:cstheme="minorHAnsi"/>
                <w:b/>
                <w:bCs/>
                <w:color w:val="000000"/>
              </w:rPr>
              <w:t xml:space="preserve">Intervention(s) </w:t>
            </w:r>
          </w:p>
        </w:tc>
        <w:tc>
          <w:tcPr>
            <w:tcW w:w="12585" w:type="dxa"/>
          </w:tcPr>
          <w:p w14:paraId="09911AB2"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color w:val="000000"/>
              </w:rPr>
            </w:pPr>
            <w:r w:rsidRPr="006A437D">
              <w:rPr>
                <w:rFonts w:eastAsia="Arial" w:cstheme="minorHAnsi"/>
                <w:b/>
                <w:color w:val="000000"/>
              </w:rPr>
              <w:t xml:space="preserve">Intervention: </w:t>
            </w:r>
            <w:r w:rsidRPr="006A437D">
              <w:rPr>
                <w:rFonts w:eastAsia="Arial" w:cstheme="minorHAnsi"/>
                <w:color w:val="000000"/>
              </w:rPr>
              <w:t>Insecticide treated nets (ITNs) - mass campaign: universal</w:t>
            </w:r>
          </w:p>
          <w:p w14:paraId="1EB9E2DA" w14:textId="77777777" w:rsidR="008B729A" w:rsidRPr="00F77DA8" w:rsidRDefault="008B729A" w:rsidP="00021BDE">
            <w:pPr>
              <w:pBdr>
                <w:top w:val="nil"/>
                <w:left w:val="nil"/>
                <w:bottom w:val="nil"/>
                <w:right w:val="nil"/>
                <w:between w:val="nil"/>
              </w:pBdr>
              <w:spacing w:afterLines="40" w:after="96" w:line="264" w:lineRule="auto"/>
              <w:rPr>
                <w:rFonts w:eastAsia="Arial" w:cstheme="minorHAnsi"/>
                <w:color w:val="000000"/>
              </w:rPr>
            </w:pPr>
            <w:r w:rsidRPr="006A437D">
              <w:rPr>
                <w:rFonts w:eastAsia="Arial" w:cstheme="minorHAnsi"/>
                <w:color w:val="000000"/>
              </w:rPr>
              <w:t xml:space="preserve">Change in Programming from current grant: </w:t>
            </w:r>
            <w:r w:rsidRPr="006A437D">
              <w:rPr>
                <w:rFonts w:ascii="Segoe UI Symbol" w:eastAsia="MS Gothic" w:hAnsi="Segoe UI Symbol" w:cs="Segoe UI Symbol"/>
                <w:color w:val="000000"/>
              </w:rPr>
              <w:t>☐</w:t>
            </w:r>
            <w:r w:rsidRPr="006A437D">
              <w:rPr>
                <w:rFonts w:eastAsia="Arial" w:cstheme="minorHAnsi"/>
                <w:color w:val="000000"/>
              </w:rPr>
              <w:t xml:space="preserve"> New, </w:t>
            </w:r>
            <w:r w:rsidRPr="006A437D">
              <w:rPr>
                <w:rFonts w:ascii="Segoe UI Symbol" w:eastAsia="MS Gothic" w:hAnsi="Segoe UI Symbol" w:cs="Segoe UI Symbol"/>
                <w:color w:val="000000"/>
              </w:rPr>
              <w:t>☐</w:t>
            </w:r>
            <w:r w:rsidRPr="006A437D">
              <w:rPr>
                <w:rFonts w:eastAsia="Arial" w:cstheme="minorHAnsi"/>
                <w:color w:val="000000"/>
              </w:rPr>
              <w:t xml:space="preserve"> Scale-up, </w:t>
            </w:r>
            <w:r w:rsidRPr="006A437D">
              <w:rPr>
                <w:rFonts w:ascii="Segoe UI Symbol" w:eastAsia="MS Gothic" w:hAnsi="Segoe UI Symbol" w:cs="Segoe UI Symbol"/>
                <w:color w:val="000000"/>
              </w:rPr>
              <w:t>☒</w:t>
            </w:r>
            <w:r w:rsidRPr="006A437D">
              <w:rPr>
                <w:rFonts w:eastAsia="Arial" w:cstheme="minorHAnsi"/>
                <w:color w:val="000000"/>
              </w:rPr>
              <w:t xml:space="preserve"> Continuation, or </w:t>
            </w:r>
            <w:r w:rsidRPr="006A437D">
              <w:rPr>
                <w:rFonts w:ascii="Segoe UI Symbol" w:eastAsia="MS Gothic" w:hAnsi="Segoe UI Symbol" w:cs="Segoe UI Symbol"/>
                <w:color w:val="000000"/>
              </w:rPr>
              <w:t>☐</w:t>
            </w:r>
            <w:r w:rsidRPr="006A437D">
              <w:rPr>
                <w:rFonts w:eastAsia="Arial" w:cstheme="minorHAnsi"/>
                <w:color w:val="000000"/>
              </w:rPr>
              <w:t xml:space="preserve"> Scale-down</w:t>
            </w:r>
          </w:p>
        </w:tc>
      </w:tr>
      <w:tr w:rsidR="008B729A" w:rsidRPr="006A437D" w14:paraId="4F423878" w14:textId="77777777" w:rsidTr="00021BDE">
        <w:trPr>
          <w:trHeight w:val="456"/>
        </w:trPr>
        <w:tc>
          <w:tcPr>
            <w:tcW w:w="2580" w:type="dxa"/>
            <w:vMerge/>
          </w:tcPr>
          <w:p w14:paraId="32115CC2" w14:textId="77777777" w:rsidR="008B729A" w:rsidRPr="006A437D" w:rsidRDefault="008B729A" w:rsidP="00021BDE">
            <w:pPr>
              <w:widowControl w:val="0"/>
              <w:pBdr>
                <w:top w:val="nil"/>
                <w:left w:val="nil"/>
                <w:bottom w:val="nil"/>
                <w:right w:val="nil"/>
                <w:between w:val="nil"/>
              </w:pBdr>
              <w:spacing w:afterLines="40" w:after="96" w:line="240" w:lineRule="auto"/>
              <w:rPr>
                <w:rFonts w:eastAsia="Noto Sans Symbols" w:cstheme="minorHAnsi"/>
                <w:color w:val="FF0000"/>
              </w:rPr>
            </w:pPr>
          </w:p>
        </w:tc>
        <w:tc>
          <w:tcPr>
            <w:tcW w:w="12585" w:type="dxa"/>
          </w:tcPr>
          <w:p w14:paraId="5F205385"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color w:val="000000"/>
              </w:rPr>
            </w:pPr>
            <w:r w:rsidRPr="006A437D">
              <w:rPr>
                <w:rFonts w:eastAsia="Arial" w:cstheme="minorHAnsi"/>
                <w:b/>
                <w:color w:val="000000"/>
              </w:rPr>
              <w:t xml:space="preserve">Intervention: </w:t>
            </w:r>
            <w:r w:rsidRPr="006A437D">
              <w:rPr>
                <w:rFonts w:eastAsia="Arial" w:cstheme="minorHAnsi"/>
                <w:color w:val="000000"/>
              </w:rPr>
              <w:t>Insecticide treated nets (ITNs) - continuous distribution: ANC</w:t>
            </w:r>
          </w:p>
          <w:p w14:paraId="7630F55F" w14:textId="77777777" w:rsidR="008B729A" w:rsidRPr="006A437D" w:rsidRDefault="008B729A" w:rsidP="00021BDE">
            <w:pPr>
              <w:spacing w:afterLines="40" w:after="96" w:line="264" w:lineRule="auto"/>
              <w:rPr>
                <w:rFonts w:eastAsia="Arial" w:cstheme="minorHAnsi"/>
                <w:color w:val="000000"/>
              </w:rPr>
            </w:pPr>
            <w:r w:rsidRPr="006A437D">
              <w:rPr>
                <w:rFonts w:eastAsia="Arial" w:cstheme="minorHAnsi"/>
                <w:color w:val="000000"/>
              </w:rPr>
              <w:t xml:space="preserve">Change in Programming from current grant: </w:t>
            </w:r>
            <w:r w:rsidRPr="006A437D">
              <w:rPr>
                <w:rFonts w:ascii="Segoe UI Symbol" w:eastAsia="MS Gothic" w:hAnsi="Segoe UI Symbol" w:cs="Segoe UI Symbol"/>
                <w:color w:val="000000"/>
              </w:rPr>
              <w:t>☐</w:t>
            </w:r>
            <w:r w:rsidRPr="006A437D">
              <w:rPr>
                <w:rFonts w:eastAsia="Arial" w:cstheme="minorHAnsi"/>
                <w:color w:val="000000"/>
              </w:rPr>
              <w:t xml:space="preserve"> New, </w:t>
            </w:r>
            <w:r w:rsidRPr="006A437D">
              <w:rPr>
                <w:rFonts w:ascii="Segoe UI Symbol" w:eastAsia="MS Gothic" w:hAnsi="Segoe UI Symbol" w:cs="Segoe UI Symbol"/>
                <w:color w:val="000000"/>
              </w:rPr>
              <w:t>☐</w:t>
            </w:r>
            <w:r w:rsidRPr="006A437D">
              <w:rPr>
                <w:rFonts w:eastAsia="Arial" w:cstheme="minorHAnsi"/>
                <w:color w:val="000000"/>
              </w:rPr>
              <w:t xml:space="preserve"> Scale-up, </w:t>
            </w:r>
            <w:r w:rsidRPr="006A437D">
              <w:rPr>
                <w:rFonts w:ascii="Segoe UI Symbol" w:eastAsia="MS Gothic" w:hAnsi="Segoe UI Symbol" w:cs="Segoe UI Symbol"/>
                <w:color w:val="000000"/>
              </w:rPr>
              <w:t>☒</w:t>
            </w:r>
            <w:r w:rsidRPr="006A437D">
              <w:rPr>
                <w:rFonts w:eastAsia="Arial" w:cstheme="minorHAnsi"/>
                <w:color w:val="000000"/>
              </w:rPr>
              <w:t xml:space="preserve"> Continuation, or </w:t>
            </w:r>
            <w:r w:rsidRPr="006A437D">
              <w:rPr>
                <w:rFonts w:ascii="Segoe UI Symbol" w:eastAsia="MS Gothic" w:hAnsi="Segoe UI Symbol" w:cs="Segoe UI Symbol"/>
                <w:color w:val="000000"/>
              </w:rPr>
              <w:t>☐</w:t>
            </w:r>
            <w:r w:rsidRPr="006A437D">
              <w:rPr>
                <w:rFonts w:eastAsia="Arial" w:cstheme="minorHAnsi"/>
                <w:color w:val="000000"/>
              </w:rPr>
              <w:t xml:space="preserve"> Scale-down </w:t>
            </w:r>
          </w:p>
        </w:tc>
      </w:tr>
      <w:tr w:rsidR="008B729A" w:rsidRPr="006A437D" w14:paraId="69EEBE8C" w14:textId="77777777" w:rsidTr="00021BDE">
        <w:trPr>
          <w:trHeight w:val="456"/>
        </w:trPr>
        <w:tc>
          <w:tcPr>
            <w:tcW w:w="2580" w:type="dxa"/>
            <w:vMerge/>
          </w:tcPr>
          <w:p w14:paraId="3A7D3048" w14:textId="77777777" w:rsidR="008B729A" w:rsidRPr="006A437D" w:rsidRDefault="008B729A" w:rsidP="00021BDE">
            <w:pPr>
              <w:widowControl w:val="0"/>
              <w:pBdr>
                <w:top w:val="nil"/>
                <w:left w:val="nil"/>
                <w:bottom w:val="nil"/>
                <w:right w:val="nil"/>
                <w:between w:val="nil"/>
              </w:pBdr>
              <w:spacing w:afterLines="40" w:after="96" w:line="240" w:lineRule="auto"/>
              <w:rPr>
                <w:rFonts w:eastAsia="Noto Sans Symbols" w:cstheme="minorHAnsi"/>
                <w:color w:val="FF0000"/>
              </w:rPr>
            </w:pPr>
          </w:p>
        </w:tc>
        <w:tc>
          <w:tcPr>
            <w:tcW w:w="12585" w:type="dxa"/>
          </w:tcPr>
          <w:p w14:paraId="6FB20814"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color w:val="000000"/>
              </w:rPr>
            </w:pPr>
            <w:r w:rsidRPr="006A437D">
              <w:rPr>
                <w:rFonts w:eastAsia="Arial" w:cstheme="minorHAnsi"/>
                <w:b/>
                <w:color w:val="000000"/>
              </w:rPr>
              <w:t xml:space="preserve">Intervention: </w:t>
            </w:r>
            <w:r w:rsidRPr="006A437D">
              <w:rPr>
                <w:rFonts w:eastAsia="Arial" w:cstheme="minorHAnsi"/>
                <w:color w:val="000000"/>
              </w:rPr>
              <w:t>Indoor residual spraying (IRS)</w:t>
            </w:r>
          </w:p>
          <w:p w14:paraId="1BECE3E0" w14:textId="77777777" w:rsidR="008B729A" w:rsidRPr="00A501D5" w:rsidRDefault="008B729A" w:rsidP="00021BDE">
            <w:pPr>
              <w:spacing w:afterLines="40" w:after="96" w:line="264" w:lineRule="auto"/>
              <w:rPr>
                <w:rFonts w:eastAsia="Arial" w:cstheme="minorHAnsi"/>
                <w:color w:val="000000"/>
              </w:rPr>
            </w:pPr>
            <w:r w:rsidRPr="006A437D">
              <w:rPr>
                <w:rFonts w:eastAsia="Arial" w:cstheme="minorHAnsi"/>
                <w:color w:val="000000"/>
              </w:rPr>
              <w:t xml:space="preserve">Change in Programming from current grant: </w:t>
            </w:r>
            <w:r w:rsidRPr="006A437D">
              <w:rPr>
                <w:rFonts w:ascii="Segoe UI Symbol" w:eastAsia="MS Gothic" w:hAnsi="Segoe UI Symbol" w:cs="Segoe UI Symbol"/>
                <w:color w:val="000000"/>
              </w:rPr>
              <w:t>☐</w:t>
            </w:r>
            <w:r w:rsidRPr="006A437D">
              <w:rPr>
                <w:rFonts w:eastAsia="Arial" w:cstheme="minorHAnsi"/>
                <w:color w:val="000000"/>
              </w:rPr>
              <w:t xml:space="preserve"> New, </w:t>
            </w:r>
            <w:r w:rsidRPr="006A437D">
              <w:rPr>
                <w:rFonts w:ascii="Segoe UI Symbol" w:eastAsia="MS Gothic" w:hAnsi="Segoe UI Symbol" w:cs="Segoe UI Symbol"/>
                <w:color w:val="000000"/>
              </w:rPr>
              <w:t>☐</w:t>
            </w:r>
            <w:r w:rsidRPr="006A437D">
              <w:rPr>
                <w:rFonts w:eastAsia="Arial" w:cstheme="minorHAnsi"/>
                <w:color w:val="000000"/>
              </w:rPr>
              <w:t xml:space="preserve"> Scale-up, </w:t>
            </w:r>
            <w:r w:rsidRPr="006A437D">
              <w:rPr>
                <w:rFonts w:ascii="Segoe UI Symbol" w:eastAsia="MS Gothic" w:hAnsi="Segoe UI Symbol" w:cs="Segoe UI Symbol"/>
                <w:color w:val="000000"/>
              </w:rPr>
              <w:t>☐</w:t>
            </w:r>
            <w:r w:rsidRPr="006A437D">
              <w:rPr>
                <w:rFonts w:eastAsia="Arial" w:cstheme="minorHAnsi"/>
                <w:color w:val="000000"/>
              </w:rPr>
              <w:t xml:space="preserve"> Continuation, or </w:t>
            </w:r>
            <w:r w:rsidRPr="006A437D">
              <w:rPr>
                <w:rFonts w:ascii="Segoe UI Symbol" w:eastAsia="MS Gothic" w:hAnsi="Segoe UI Symbol" w:cs="Segoe UI Symbol"/>
                <w:color w:val="000000"/>
              </w:rPr>
              <w:t>☒</w:t>
            </w:r>
            <w:r w:rsidRPr="006A437D">
              <w:rPr>
                <w:rFonts w:eastAsia="Arial" w:cstheme="minorHAnsi"/>
                <w:color w:val="000000"/>
              </w:rPr>
              <w:t xml:space="preserve"> Scale-down</w:t>
            </w:r>
            <w:r w:rsidRPr="00475986">
              <w:rPr>
                <w:rFonts w:eastAsia="Arial" w:cstheme="minorHAnsi"/>
                <w:color w:val="000000"/>
              </w:rPr>
              <w:t xml:space="preserve"> </w:t>
            </w:r>
          </w:p>
        </w:tc>
      </w:tr>
      <w:tr w:rsidR="008B729A" w:rsidRPr="006A437D" w14:paraId="70AEAAF5" w14:textId="77777777" w:rsidTr="00021BDE">
        <w:trPr>
          <w:trHeight w:val="436"/>
        </w:trPr>
        <w:tc>
          <w:tcPr>
            <w:tcW w:w="2580" w:type="dxa"/>
            <w:vMerge/>
          </w:tcPr>
          <w:p w14:paraId="0710E737" w14:textId="77777777" w:rsidR="008B729A" w:rsidRPr="006A437D" w:rsidRDefault="008B729A" w:rsidP="00021BDE">
            <w:pPr>
              <w:widowControl w:val="0"/>
              <w:pBdr>
                <w:top w:val="nil"/>
                <w:left w:val="nil"/>
                <w:bottom w:val="nil"/>
                <w:right w:val="nil"/>
                <w:between w:val="nil"/>
              </w:pBdr>
              <w:spacing w:afterLines="40" w:after="96" w:line="240" w:lineRule="auto"/>
              <w:rPr>
                <w:rFonts w:eastAsia="Times New Roman" w:cstheme="minorHAnsi"/>
                <w:color w:val="000000"/>
              </w:rPr>
            </w:pPr>
          </w:p>
        </w:tc>
        <w:tc>
          <w:tcPr>
            <w:tcW w:w="12585" w:type="dxa"/>
          </w:tcPr>
          <w:p w14:paraId="2E82E11A"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color w:val="000000"/>
              </w:rPr>
            </w:pPr>
            <w:r w:rsidRPr="006A437D">
              <w:rPr>
                <w:rFonts w:eastAsia="Arial" w:cstheme="minorHAnsi"/>
                <w:b/>
                <w:color w:val="000000"/>
              </w:rPr>
              <w:t xml:space="preserve">Intervention: </w:t>
            </w:r>
            <w:r w:rsidRPr="006A437D">
              <w:rPr>
                <w:rFonts w:eastAsia="Arial" w:cstheme="minorHAnsi"/>
                <w:color w:val="000000"/>
              </w:rPr>
              <w:t>Entomological monitoring</w:t>
            </w:r>
          </w:p>
          <w:p w14:paraId="6E027E28" w14:textId="77777777" w:rsidR="008B729A" w:rsidRPr="004A7A8C" w:rsidRDefault="008B729A" w:rsidP="00021BDE">
            <w:pPr>
              <w:pBdr>
                <w:top w:val="nil"/>
                <w:left w:val="nil"/>
                <w:bottom w:val="nil"/>
                <w:right w:val="nil"/>
                <w:between w:val="nil"/>
              </w:pBdr>
              <w:spacing w:afterLines="40" w:after="96" w:line="264" w:lineRule="auto"/>
              <w:rPr>
                <w:rFonts w:eastAsia="Arial" w:cstheme="minorHAnsi"/>
                <w:color w:val="000000"/>
              </w:rPr>
            </w:pPr>
            <w:r w:rsidRPr="006A437D">
              <w:rPr>
                <w:rFonts w:eastAsia="Arial" w:cstheme="minorHAnsi"/>
                <w:color w:val="000000"/>
              </w:rPr>
              <w:t xml:space="preserve">Change in Programming from current grant: </w:t>
            </w:r>
            <w:r w:rsidRPr="006A437D">
              <w:rPr>
                <w:rFonts w:ascii="Segoe UI Symbol" w:eastAsia="MS Gothic" w:hAnsi="Segoe UI Symbol" w:cs="Segoe UI Symbol"/>
                <w:color w:val="000000"/>
              </w:rPr>
              <w:t>☐</w:t>
            </w:r>
            <w:r w:rsidRPr="006A437D">
              <w:rPr>
                <w:rFonts w:eastAsia="Arial" w:cstheme="minorHAnsi"/>
                <w:color w:val="000000"/>
              </w:rPr>
              <w:t xml:space="preserve"> New, </w:t>
            </w:r>
            <w:r w:rsidRPr="006A437D">
              <w:rPr>
                <w:rFonts w:ascii="Segoe UI Symbol" w:eastAsia="MS Gothic" w:hAnsi="Segoe UI Symbol" w:cs="Segoe UI Symbol"/>
                <w:color w:val="000000"/>
              </w:rPr>
              <w:t>☐</w:t>
            </w:r>
            <w:r w:rsidRPr="006A437D">
              <w:rPr>
                <w:rFonts w:eastAsia="Arial" w:cstheme="minorHAnsi"/>
                <w:color w:val="000000"/>
              </w:rPr>
              <w:t xml:space="preserve"> Scale-up, </w:t>
            </w:r>
            <w:r w:rsidRPr="006A437D">
              <w:rPr>
                <w:rFonts w:ascii="Segoe UI Symbol" w:eastAsia="MS Gothic" w:hAnsi="Segoe UI Symbol" w:cs="Segoe UI Symbol"/>
                <w:color w:val="000000"/>
              </w:rPr>
              <w:t>☒</w:t>
            </w:r>
            <w:r w:rsidRPr="006A437D">
              <w:rPr>
                <w:rFonts w:eastAsia="Arial" w:cstheme="minorHAnsi"/>
                <w:color w:val="000000"/>
              </w:rPr>
              <w:t xml:space="preserve"> Continuation, or </w:t>
            </w:r>
            <w:r w:rsidRPr="006A437D">
              <w:rPr>
                <w:rFonts w:ascii="Segoe UI Symbol" w:eastAsia="MS Gothic" w:hAnsi="Segoe UI Symbol" w:cs="Segoe UI Symbol"/>
                <w:color w:val="000000"/>
              </w:rPr>
              <w:t>☐</w:t>
            </w:r>
            <w:r w:rsidRPr="006A437D">
              <w:rPr>
                <w:rFonts w:eastAsia="Arial" w:cstheme="minorHAnsi"/>
                <w:color w:val="000000"/>
              </w:rPr>
              <w:t xml:space="preserve"> Scale-down</w:t>
            </w:r>
          </w:p>
        </w:tc>
      </w:tr>
      <w:tr w:rsidR="008B729A" w:rsidRPr="006A437D" w14:paraId="0F1EC337" w14:textId="77777777" w:rsidTr="00021BDE">
        <w:trPr>
          <w:trHeight w:val="456"/>
        </w:trPr>
        <w:tc>
          <w:tcPr>
            <w:tcW w:w="2580" w:type="dxa"/>
            <w:vMerge/>
          </w:tcPr>
          <w:p w14:paraId="77E15E87" w14:textId="77777777" w:rsidR="008B729A" w:rsidRPr="006A437D" w:rsidRDefault="008B729A" w:rsidP="00021BDE">
            <w:pPr>
              <w:pBdr>
                <w:top w:val="nil"/>
                <w:left w:val="nil"/>
                <w:bottom w:val="nil"/>
                <w:right w:val="nil"/>
                <w:between w:val="nil"/>
              </w:pBdr>
              <w:spacing w:afterLines="40" w:after="96" w:line="240" w:lineRule="auto"/>
              <w:rPr>
                <w:rFonts w:eastAsia="Arial" w:cstheme="minorHAnsi"/>
                <w:color w:val="000000"/>
              </w:rPr>
            </w:pPr>
          </w:p>
        </w:tc>
        <w:tc>
          <w:tcPr>
            <w:tcW w:w="12585" w:type="dxa"/>
          </w:tcPr>
          <w:p w14:paraId="1BF4660B"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color w:val="000000"/>
              </w:rPr>
            </w:pPr>
            <w:r w:rsidRPr="006A437D">
              <w:rPr>
                <w:rFonts w:eastAsia="Arial" w:cstheme="minorHAnsi"/>
                <w:b/>
                <w:color w:val="000000"/>
              </w:rPr>
              <w:t xml:space="preserve">Intervention: </w:t>
            </w:r>
            <w:r w:rsidRPr="006A437D">
              <w:rPr>
                <w:rFonts w:eastAsia="Arial" w:cstheme="minorHAnsi"/>
                <w:color w:val="000000"/>
              </w:rPr>
              <w:t>Other vector control measures</w:t>
            </w:r>
          </w:p>
          <w:p w14:paraId="09FB775C" w14:textId="77777777" w:rsidR="008B729A" w:rsidRPr="00A501D5" w:rsidRDefault="008B729A" w:rsidP="00021BDE">
            <w:pPr>
              <w:pBdr>
                <w:top w:val="nil"/>
                <w:left w:val="nil"/>
                <w:bottom w:val="nil"/>
                <w:right w:val="nil"/>
                <w:between w:val="nil"/>
              </w:pBdr>
              <w:tabs>
                <w:tab w:val="left" w:pos="511"/>
              </w:tabs>
              <w:spacing w:afterLines="40" w:after="96" w:line="264" w:lineRule="auto"/>
              <w:rPr>
                <w:rFonts w:eastAsia="Arial" w:cstheme="minorHAnsi"/>
                <w:color w:val="000000"/>
              </w:rPr>
            </w:pPr>
            <w:r w:rsidRPr="006A437D">
              <w:rPr>
                <w:rFonts w:eastAsia="Arial" w:cstheme="minorHAnsi"/>
                <w:color w:val="000000"/>
              </w:rPr>
              <w:t xml:space="preserve">Change in Programming from current grant: </w:t>
            </w:r>
            <w:r w:rsidRPr="006A437D">
              <w:rPr>
                <w:rFonts w:ascii="Segoe UI Symbol" w:eastAsia="MS Gothic" w:hAnsi="Segoe UI Symbol" w:cs="Segoe UI Symbol"/>
                <w:color w:val="000000"/>
              </w:rPr>
              <w:t>☐</w:t>
            </w:r>
            <w:r w:rsidRPr="006A437D">
              <w:rPr>
                <w:rFonts w:eastAsia="Arial" w:cstheme="minorHAnsi"/>
                <w:color w:val="000000"/>
              </w:rPr>
              <w:t xml:space="preserve"> New, </w:t>
            </w:r>
            <w:r w:rsidRPr="006A437D">
              <w:rPr>
                <w:rFonts w:ascii="Segoe UI Symbol" w:eastAsia="MS Gothic" w:hAnsi="Segoe UI Symbol" w:cs="Segoe UI Symbol"/>
                <w:color w:val="000000"/>
              </w:rPr>
              <w:t>☒</w:t>
            </w:r>
            <w:r w:rsidRPr="006A437D">
              <w:rPr>
                <w:rFonts w:eastAsia="Arial" w:cstheme="minorHAnsi"/>
                <w:color w:val="000000"/>
              </w:rPr>
              <w:t xml:space="preserve"> Scale-up, </w:t>
            </w:r>
            <w:r w:rsidRPr="006A437D">
              <w:rPr>
                <w:rFonts w:ascii="Segoe UI Symbol" w:eastAsia="MS Gothic" w:hAnsi="Segoe UI Symbol" w:cs="Segoe UI Symbol"/>
                <w:color w:val="000000"/>
              </w:rPr>
              <w:t>☐</w:t>
            </w:r>
            <w:r w:rsidRPr="006A437D">
              <w:rPr>
                <w:rFonts w:eastAsia="Arial" w:cstheme="minorHAnsi"/>
                <w:color w:val="000000"/>
              </w:rPr>
              <w:t xml:space="preserve"> Continuation, or </w:t>
            </w:r>
            <w:r w:rsidRPr="006A437D">
              <w:rPr>
                <w:rFonts w:ascii="Segoe UI Symbol" w:eastAsia="MS Gothic" w:hAnsi="Segoe UI Symbol" w:cs="Segoe UI Symbol"/>
                <w:color w:val="000000"/>
              </w:rPr>
              <w:t>☐</w:t>
            </w:r>
            <w:r w:rsidRPr="006A437D">
              <w:rPr>
                <w:rFonts w:eastAsia="Arial" w:cstheme="minorHAnsi"/>
                <w:color w:val="000000"/>
              </w:rPr>
              <w:t xml:space="preserve"> Scale-down</w:t>
            </w:r>
          </w:p>
        </w:tc>
      </w:tr>
      <w:tr w:rsidR="008B729A" w:rsidRPr="006A437D" w14:paraId="25934E97" w14:textId="77777777" w:rsidTr="00021BDE">
        <w:tc>
          <w:tcPr>
            <w:tcW w:w="2580" w:type="dxa"/>
          </w:tcPr>
          <w:p w14:paraId="2A33D0B3"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b/>
                <w:bCs/>
                <w:color w:val="000000"/>
              </w:rPr>
            </w:pPr>
            <w:r>
              <w:rPr>
                <w:rFonts w:eastAsia="Arial" w:cstheme="minorHAnsi"/>
                <w:b/>
                <w:bCs/>
                <w:color w:val="000000"/>
              </w:rPr>
              <w:t>Population, geographies and/or barriers addressed</w:t>
            </w:r>
          </w:p>
        </w:tc>
        <w:tc>
          <w:tcPr>
            <w:tcW w:w="12585" w:type="dxa"/>
          </w:tcPr>
          <w:p w14:paraId="20DA33F4" w14:textId="77777777" w:rsidR="008B729A" w:rsidRPr="006A437D" w:rsidRDefault="008B729A" w:rsidP="00021BDE">
            <w:pPr>
              <w:pBdr>
                <w:top w:val="nil"/>
                <w:left w:val="nil"/>
                <w:bottom w:val="nil"/>
                <w:right w:val="nil"/>
                <w:between w:val="nil"/>
              </w:pBdr>
              <w:spacing w:afterLines="40" w:after="96" w:line="240" w:lineRule="auto"/>
              <w:rPr>
                <w:rFonts w:eastAsia="Arial" w:cstheme="minorHAnsi"/>
                <w:color w:val="000000"/>
              </w:rPr>
            </w:pPr>
            <w:r w:rsidRPr="006A437D">
              <w:rPr>
                <w:rFonts w:eastAsia="Arial" w:cstheme="minorHAnsi"/>
                <w:color w:val="000000"/>
              </w:rPr>
              <w:t>Per national policy, LLINs are the primary vector control measure used in Mozambique, which are now recommended to be next-generation LLINs for areas not implementing IRS due to widespread pyrethroid resistance. IRS supplements this coverage (a) for purposes of insecticide resistance management; and (b) in elimination-targeted areas such as southern Mozambique.</w:t>
            </w:r>
            <w:r>
              <w:rPr>
                <w:rFonts w:eastAsia="Arial" w:cstheme="minorHAnsi"/>
                <w:color w:val="000000"/>
              </w:rPr>
              <w:t xml:space="preserve"> Globally, limited information is known about the incremental impact of IRS in areas with high coverage and use of dual-AI ITNs – so as mentioned above, this policy may be reviewed based on evidence generated locally or in other countries.</w:t>
            </w:r>
          </w:p>
          <w:p w14:paraId="6E07D1B5" w14:textId="77777777" w:rsidR="008B729A" w:rsidRDefault="008B729A" w:rsidP="00021BDE">
            <w:pPr>
              <w:pBdr>
                <w:top w:val="nil"/>
                <w:left w:val="nil"/>
                <w:bottom w:val="nil"/>
                <w:right w:val="nil"/>
                <w:between w:val="nil"/>
              </w:pBdr>
              <w:spacing w:afterLines="40" w:after="96" w:line="240" w:lineRule="auto"/>
              <w:rPr>
                <w:rFonts w:eastAsia="Arial" w:cstheme="minorHAnsi"/>
                <w:color w:val="000000"/>
              </w:rPr>
            </w:pPr>
            <w:r w:rsidRPr="006A437D">
              <w:rPr>
                <w:rFonts w:eastAsia="Arial" w:cstheme="minorHAnsi"/>
                <w:color w:val="000000"/>
              </w:rPr>
              <w:t>As LLINs are the primary vector control tool used in Mozambique, the vast majority of the population is targeted for coverage. In order to optimize resources for impact, prioritization of prevention tools was done as part of the stratification exercise with</w:t>
            </w:r>
            <w:r>
              <w:rPr>
                <w:rFonts w:eastAsia="Arial" w:cstheme="minorHAnsi"/>
                <w:color w:val="000000"/>
              </w:rPr>
              <w:t xml:space="preserve"> those</w:t>
            </w:r>
            <w:r w:rsidRPr="006A437D">
              <w:rPr>
                <w:rFonts w:eastAsia="Arial" w:cstheme="minorHAnsi"/>
                <w:color w:val="000000"/>
              </w:rPr>
              <w:t xml:space="preserve"> outputs described in section </w:t>
            </w:r>
            <w:r>
              <w:rPr>
                <w:rFonts w:eastAsia="Arial" w:cstheme="minorHAnsi"/>
                <w:color w:val="000000"/>
              </w:rPr>
              <w:t>1.2</w:t>
            </w:r>
            <w:r w:rsidRPr="006A437D">
              <w:rPr>
                <w:rFonts w:eastAsia="Arial" w:cstheme="minorHAnsi"/>
                <w:color w:val="000000"/>
              </w:rPr>
              <w:t xml:space="preserve">. As described there, targeted LLINs to provincial capitals were placed as a lower priority than higher risk rural areas and </w:t>
            </w:r>
            <w:r w:rsidRPr="00E32824">
              <w:rPr>
                <w:rFonts w:eastAsia="Arial" w:cstheme="minorHAnsi"/>
                <w:color w:val="000000"/>
              </w:rPr>
              <w:t>thus due to budget constraints are included in PAAR</w:t>
            </w:r>
            <w:r>
              <w:rPr>
                <w:rFonts w:eastAsia="Arial" w:cstheme="minorHAnsi"/>
                <w:color w:val="000000"/>
              </w:rPr>
              <w:t xml:space="preserve"> (except for Pemba, which was given special attention due to the number of informally settled IDPs)</w:t>
            </w:r>
            <w:r w:rsidRPr="00E32824">
              <w:rPr>
                <w:rFonts w:eastAsia="Arial" w:cstheme="minorHAnsi"/>
                <w:color w:val="000000"/>
              </w:rPr>
              <w:t>.</w:t>
            </w:r>
            <w:r w:rsidRPr="006A437D">
              <w:rPr>
                <w:rFonts w:eastAsia="Arial" w:cstheme="minorHAnsi"/>
                <w:color w:val="000000"/>
              </w:rPr>
              <w:t xml:space="preserve">  Distribution of LLINs through ANC visits to target pregnant women and infants is done in all areas. </w:t>
            </w:r>
          </w:p>
          <w:p w14:paraId="3D050431" w14:textId="77777777" w:rsidR="008B729A" w:rsidRPr="006A437D" w:rsidRDefault="008B729A" w:rsidP="00021BDE">
            <w:pPr>
              <w:pBdr>
                <w:top w:val="nil"/>
                <w:left w:val="nil"/>
                <w:bottom w:val="nil"/>
                <w:right w:val="nil"/>
                <w:between w:val="nil"/>
              </w:pBdr>
              <w:shd w:val="clear" w:color="auto" w:fill="FFFFFF"/>
              <w:spacing w:afterLines="40" w:after="96" w:line="240" w:lineRule="auto"/>
              <w:ind w:left="58" w:right="58"/>
              <w:rPr>
                <w:rFonts w:eastAsia="Arial" w:cstheme="minorHAnsi"/>
                <w:bCs/>
                <w:color w:val="000000"/>
              </w:rPr>
            </w:pPr>
            <w:r w:rsidRPr="006A437D">
              <w:rPr>
                <w:rFonts w:eastAsia="Arial" w:cstheme="minorHAnsi"/>
                <w:bCs/>
                <w:color w:val="000000"/>
              </w:rPr>
              <w:t>For LLINs barriers and inequities have been categorized into 3 categories, with mitigation measures included below for each:</w:t>
            </w:r>
          </w:p>
          <w:p w14:paraId="047E93F6" w14:textId="77777777" w:rsidR="008B729A" w:rsidRPr="006A437D" w:rsidRDefault="008B729A" w:rsidP="00021BDE">
            <w:pPr>
              <w:keepNext/>
              <w:numPr>
                <w:ilvl w:val="0"/>
                <w:numId w:val="46"/>
              </w:numPr>
              <w:pBdr>
                <w:top w:val="nil"/>
                <w:left w:val="nil"/>
                <w:bottom w:val="nil"/>
                <w:right w:val="nil"/>
                <w:between w:val="nil"/>
              </w:pBdr>
              <w:shd w:val="clear" w:color="auto" w:fill="FFFFFF"/>
              <w:spacing w:afterLines="40" w:after="96" w:line="240" w:lineRule="auto"/>
              <w:ind w:right="58"/>
              <w:contextualSpacing/>
              <w:rPr>
                <w:rFonts w:eastAsia="Arial" w:cstheme="minorHAnsi"/>
                <w:bCs/>
                <w:color w:val="000000"/>
              </w:rPr>
            </w:pPr>
            <w:r w:rsidRPr="006A437D">
              <w:rPr>
                <w:rFonts w:eastAsia="Arial" w:cstheme="minorHAnsi"/>
                <w:bCs/>
                <w:color w:val="000000"/>
              </w:rPr>
              <w:t>Geographical barriers: Some people fail to access ITNs because they reside in hard</w:t>
            </w:r>
            <w:r>
              <w:rPr>
                <w:rFonts w:eastAsia="Arial" w:cstheme="minorHAnsi"/>
                <w:bCs/>
                <w:color w:val="000000"/>
              </w:rPr>
              <w:t>-</w:t>
            </w:r>
            <w:r w:rsidRPr="006A437D">
              <w:rPr>
                <w:rFonts w:eastAsia="Arial" w:cstheme="minorHAnsi"/>
                <w:bCs/>
                <w:color w:val="000000"/>
              </w:rPr>
              <w:t>to</w:t>
            </w:r>
            <w:r>
              <w:rPr>
                <w:rFonts w:eastAsia="Arial" w:cstheme="minorHAnsi"/>
                <w:bCs/>
                <w:color w:val="000000"/>
              </w:rPr>
              <w:t>-</w:t>
            </w:r>
            <w:r w:rsidRPr="006A437D">
              <w:rPr>
                <w:rFonts w:eastAsia="Arial" w:cstheme="minorHAnsi"/>
                <w:bCs/>
                <w:color w:val="000000"/>
              </w:rPr>
              <w:t>reach areas</w:t>
            </w:r>
            <w:r>
              <w:rPr>
                <w:rFonts w:eastAsia="Arial" w:cstheme="minorHAnsi"/>
                <w:bCs/>
                <w:color w:val="000000"/>
              </w:rPr>
              <w:t>,</w:t>
            </w:r>
            <w:r w:rsidRPr="006A437D">
              <w:rPr>
                <w:rFonts w:eastAsia="Arial" w:cstheme="minorHAnsi"/>
                <w:bCs/>
                <w:color w:val="000000"/>
              </w:rPr>
              <w:t xml:space="preserve"> and</w:t>
            </w:r>
            <w:r>
              <w:rPr>
                <w:rFonts w:eastAsia="Arial" w:cstheme="minorHAnsi"/>
                <w:bCs/>
                <w:color w:val="000000"/>
              </w:rPr>
              <w:t xml:space="preserve"> there have been</w:t>
            </w:r>
            <w:r w:rsidRPr="006A437D">
              <w:rPr>
                <w:rFonts w:eastAsia="Arial" w:cstheme="minorHAnsi"/>
                <w:bCs/>
                <w:color w:val="000000"/>
              </w:rPr>
              <w:t xml:space="preserve"> challenges with measurement</w:t>
            </w:r>
            <w:r>
              <w:rPr>
                <w:rFonts w:eastAsia="Arial" w:cstheme="minorHAnsi"/>
                <w:bCs/>
                <w:color w:val="000000"/>
              </w:rPr>
              <w:t xml:space="preserve"> of coverage</w:t>
            </w:r>
            <w:r w:rsidRPr="006A437D">
              <w:rPr>
                <w:rFonts w:eastAsia="Arial" w:cstheme="minorHAnsi"/>
                <w:bCs/>
                <w:color w:val="000000"/>
              </w:rPr>
              <w:t xml:space="preserve"> in the past.</w:t>
            </w:r>
            <w:r>
              <w:rPr>
                <w:rFonts w:eastAsia="Arial" w:cstheme="minorHAnsi"/>
                <w:bCs/>
                <w:color w:val="000000"/>
              </w:rPr>
              <w:t xml:space="preserve"> </w:t>
            </w:r>
            <w:r w:rsidRPr="006A437D">
              <w:rPr>
                <w:rFonts w:eastAsia="Arial" w:cstheme="minorHAnsi"/>
                <w:bCs/>
                <w:color w:val="000000"/>
              </w:rPr>
              <w:t>This will be mitigated by:</w:t>
            </w:r>
          </w:p>
          <w:p w14:paraId="06FEF4C6" w14:textId="77777777" w:rsidR="008B729A" w:rsidRPr="006A437D" w:rsidRDefault="008B729A" w:rsidP="00021BDE">
            <w:pPr>
              <w:keepNext/>
              <w:numPr>
                <w:ilvl w:val="1"/>
                <w:numId w:val="46"/>
              </w:numPr>
              <w:pBdr>
                <w:top w:val="nil"/>
                <w:left w:val="nil"/>
                <w:bottom w:val="nil"/>
                <w:right w:val="nil"/>
                <w:between w:val="nil"/>
              </w:pBdr>
              <w:shd w:val="clear" w:color="auto" w:fill="FFFFFF"/>
              <w:spacing w:afterLines="40" w:after="96" w:line="240" w:lineRule="auto"/>
              <w:ind w:right="58"/>
              <w:contextualSpacing/>
              <w:rPr>
                <w:rFonts w:eastAsia="Arial" w:cstheme="minorHAnsi"/>
                <w:bCs/>
                <w:color w:val="000000"/>
              </w:rPr>
            </w:pPr>
            <w:r w:rsidRPr="006A437D">
              <w:rPr>
                <w:rFonts w:eastAsia="Arial" w:cstheme="minorHAnsi"/>
                <w:bCs/>
                <w:color w:val="000000"/>
              </w:rPr>
              <w:t>Digitization of the ITN campaign, begun in 2022 with support of C19RM funding, to improve the management and measurement of campaign coverage outcomes.</w:t>
            </w:r>
          </w:p>
          <w:p w14:paraId="7E011071" w14:textId="77777777" w:rsidR="008B729A" w:rsidRPr="006A437D" w:rsidRDefault="008B729A" w:rsidP="00021BDE">
            <w:pPr>
              <w:keepNext/>
              <w:numPr>
                <w:ilvl w:val="1"/>
                <w:numId w:val="46"/>
              </w:numPr>
              <w:pBdr>
                <w:top w:val="nil"/>
                <w:left w:val="nil"/>
                <w:bottom w:val="nil"/>
                <w:right w:val="nil"/>
                <w:between w:val="nil"/>
              </w:pBdr>
              <w:shd w:val="clear" w:color="auto" w:fill="FFFFFF"/>
              <w:spacing w:afterLines="40" w:after="96" w:line="240" w:lineRule="auto"/>
              <w:ind w:right="58"/>
              <w:contextualSpacing/>
              <w:rPr>
                <w:rFonts w:eastAsia="Arial" w:cstheme="minorHAnsi"/>
                <w:bCs/>
                <w:color w:val="000000"/>
              </w:rPr>
            </w:pPr>
            <w:r w:rsidRPr="006A437D">
              <w:rPr>
                <w:rFonts w:eastAsia="Arial" w:cstheme="minorHAnsi"/>
                <w:bCs/>
                <w:color w:val="000000"/>
              </w:rPr>
              <w:t>Validation of coverage measurements, and improved management of population geo-registries from the 2022/23 campaign, to improve coverage accuracy and thus reach in hard-to-reach areas.</w:t>
            </w:r>
            <w:r>
              <w:rPr>
                <w:rFonts w:eastAsia="Arial" w:cstheme="minorHAnsi"/>
                <w:bCs/>
                <w:color w:val="000000"/>
              </w:rPr>
              <w:t xml:space="preserve"> These geo-registries will be regularly updated as new data is available (e.g. following a campaign), with the aim of providing a “single source of truth” for all health campaigns in the country. Systems and procedures for these routine updates are under development through collaboration of DIS and DNSP at MISAU, and the Spatial Development Agency (ADE) as the manager of common geo-registries across all government agencies. </w:t>
            </w:r>
          </w:p>
          <w:p w14:paraId="09E0A7F4" w14:textId="77777777" w:rsidR="008B729A" w:rsidRPr="006A437D" w:rsidRDefault="008B729A" w:rsidP="00021BDE">
            <w:pPr>
              <w:keepNext/>
              <w:numPr>
                <w:ilvl w:val="1"/>
                <w:numId w:val="46"/>
              </w:numPr>
              <w:pBdr>
                <w:top w:val="nil"/>
                <w:left w:val="nil"/>
                <w:bottom w:val="nil"/>
                <w:right w:val="nil"/>
                <w:between w:val="nil"/>
              </w:pBdr>
              <w:shd w:val="clear" w:color="auto" w:fill="FFFFFF"/>
              <w:spacing w:afterLines="40" w:after="96" w:line="240" w:lineRule="auto"/>
              <w:ind w:right="58"/>
              <w:contextualSpacing/>
              <w:rPr>
                <w:rFonts w:eastAsia="Arial" w:cstheme="minorHAnsi"/>
                <w:bCs/>
                <w:color w:val="000000"/>
              </w:rPr>
            </w:pPr>
            <w:r w:rsidRPr="006A437D">
              <w:rPr>
                <w:rFonts w:eastAsia="Arial" w:cstheme="minorHAnsi"/>
                <w:bCs/>
                <w:color w:val="000000"/>
              </w:rPr>
              <w:t>More involvement of local leaders in planning and implementation of campaigns.</w:t>
            </w:r>
          </w:p>
          <w:p w14:paraId="0A97FA82" w14:textId="77777777" w:rsidR="008B729A" w:rsidRPr="006A437D" w:rsidRDefault="008B729A" w:rsidP="00021BDE">
            <w:pPr>
              <w:keepNext/>
              <w:numPr>
                <w:ilvl w:val="0"/>
                <w:numId w:val="46"/>
              </w:numPr>
              <w:pBdr>
                <w:top w:val="nil"/>
                <w:left w:val="nil"/>
                <w:bottom w:val="nil"/>
                <w:right w:val="nil"/>
                <w:between w:val="nil"/>
              </w:pBdr>
              <w:shd w:val="clear" w:color="auto" w:fill="FFFFFF"/>
              <w:spacing w:afterLines="40" w:after="96" w:line="240" w:lineRule="auto"/>
              <w:ind w:right="58"/>
              <w:contextualSpacing/>
              <w:rPr>
                <w:rFonts w:eastAsia="Arial" w:cstheme="minorHAnsi"/>
                <w:bCs/>
                <w:color w:val="000000"/>
              </w:rPr>
            </w:pPr>
            <w:r w:rsidRPr="006A437D">
              <w:rPr>
                <w:rFonts w:eastAsia="Arial" w:cstheme="minorHAnsi"/>
                <w:bCs/>
                <w:color w:val="000000"/>
              </w:rPr>
              <w:t>Cultural practices, social norms, and misconceptions with respect to ownership and utilization of nets that will be addressed by:</w:t>
            </w:r>
          </w:p>
          <w:p w14:paraId="03720FEB" w14:textId="77777777" w:rsidR="008B729A" w:rsidRPr="006A437D" w:rsidRDefault="008B729A" w:rsidP="00021BDE">
            <w:pPr>
              <w:keepNext/>
              <w:numPr>
                <w:ilvl w:val="1"/>
                <w:numId w:val="46"/>
              </w:numPr>
              <w:pBdr>
                <w:top w:val="nil"/>
                <w:left w:val="nil"/>
                <w:bottom w:val="nil"/>
                <w:right w:val="nil"/>
                <w:between w:val="nil"/>
              </w:pBdr>
              <w:shd w:val="clear" w:color="auto" w:fill="FFFFFF"/>
              <w:spacing w:afterLines="40" w:after="96" w:line="240" w:lineRule="auto"/>
              <w:ind w:right="58"/>
              <w:contextualSpacing/>
              <w:rPr>
                <w:rFonts w:eastAsia="Arial" w:cstheme="minorHAnsi"/>
                <w:bCs/>
                <w:color w:val="000000"/>
              </w:rPr>
            </w:pPr>
            <w:r w:rsidRPr="006A437D">
              <w:rPr>
                <w:rFonts w:eastAsia="Arial" w:cstheme="minorHAnsi"/>
                <w:bCs/>
                <w:color w:val="000000"/>
              </w:rPr>
              <w:t>Community leaders’ engagement to address and mitigate these misconceptions.</w:t>
            </w:r>
          </w:p>
          <w:p w14:paraId="49D950CF" w14:textId="77777777" w:rsidR="008B729A" w:rsidRPr="006A437D" w:rsidRDefault="008B729A" w:rsidP="00021BDE">
            <w:pPr>
              <w:keepNext/>
              <w:numPr>
                <w:ilvl w:val="1"/>
                <w:numId w:val="46"/>
              </w:numPr>
              <w:pBdr>
                <w:top w:val="nil"/>
                <w:left w:val="nil"/>
                <w:bottom w:val="nil"/>
                <w:right w:val="nil"/>
                <w:between w:val="nil"/>
              </w:pBdr>
              <w:shd w:val="clear" w:color="auto" w:fill="FFFFFF"/>
              <w:spacing w:afterLines="40" w:after="96" w:line="240" w:lineRule="auto"/>
              <w:ind w:right="58"/>
              <w:contextualSpacing/>
              <w:rPr>
                <w:rFonts w:eastAsia="Arial" w:cstheme="minorHAnsi"/>
                <w:bCs/>
                <w:color w:val="000000"/>
              </w:rPr>
            </w:pPr>
            <w:r w:rsidRPr="006A437D">
              <w:rPr>
                <w:rFonts w:eastAsia="Arial" w:cstheme="minorHAnsi"/>
                <w:bCs/>
                <w:color w:val="000000"/>
              </w:rPr>
              <w:t>Intensified community mobilization before, during and after household registration and distribution.</w:t>
            </w:r>
          </w:p>
          <w:p w14:paraId="30FDF602" w14:textId="77777777" w:rsidR="008B729A" w:rsidRPr="006A437D" w:rsidRDefault="008B729A" w:rsidP="00021BDE">
            <w:pPr>
              <w:keepNext/>
              <w:numPr>
                <w:ilvl w:val="1"/>
                <w:numId w:val="46"/>
              </w:numPr>
              <w:pBdr>
                <w:top w:val="nil"/>
                <w:left w:val="nil"/>
                <w:bottom w:val="nil"/>
                <w:right w:val="nil"/>
                <w:between w:val="nil"/>
              </w:pBdr>
              <w:shd w:val="clear" w:color="auto" w:fill="FFFFFF"/>
              <w:spacing w:afterLines="40" w:after="96" w:line="240" w:lineRule="auto"/>
              <w:ind w:right="58"/>
              <w:contextualSpacing/>
              <w:rPr>
                <w:rFonts w:eastAsia="Arial" w:cstheme="minorHAnsi"/>
                <w:bCs/>
                <w:color w:val="000000"/>
              </w:rPr>
            </w:pPr>
            <w:r w:rsidRPr="006A437D">
              <w:rPr>
                <w:rFonts w:eastAsia="Arial" w:cstheme="minorHAnsi"/>
                <w:bCs/>
                <w:color w:val="000000"/>
              </w:rPr>
              <w:t>Engaging civil society and community partners to address gender and cultural inequities (ensuring implementers are thoroughly capacitated with the tools to address these issues)</w:t>
            </w:r>
          </w:p>
          <w:p w14:paraId="19D37848" w14:textId="77777777" w:rsidR="008B729A" w:rsidRPr="006A437D" w:rsidRDefault="008B729A" w:rsidP="00021BDE">
            <w:pPr>
              <w:keepNext/>
              <w:numPr>
                <w:ilvl w:val="1"/>
                <w:numId w:val="46"/>
              </w:numPr>
              <w:pBdr>
                <w:top w:val="nil"/>
                <w:left w:val="nil"/>
                <w:bottom w:val="nil"/>
                <w:right w:val="nil"/>
                <w:between w:val="nil"/>
              </w:pBdr>
              <w:shd w:val="clear" w:color="auto" w:fill="FFFFFF"/>
              <w:spacing w:afterLines="40" w:after="96" w:line="240" w:lineRule="auto"/>
              <w:ind w:right="58"/>
              <w:contextualSpacing/>
              <w:rPr>
                <w:rFonts w:eastAsia="Arial" w:cstheme="minorHAnsi"/>
                <w:bCs/>
                <w:color w:val="000000"/>
              </w:rPr>
            </w:pPr>
            <w:r w:rsidRPr="006A437D">
              <w:rPr>
                <w:rFonts w:eastAsia="Arial" w:cstheme="minorHAnsi"/>
                <w:bCs/>
                <w:color w:val="000000"/>
              </w:rPr>
              <w:t>Continuous distribution of ITNs through ANCs targeting the pregnant women throughout the country</w:t>
            </w:r>
          </w:p>
          <w:p w14:paraId="60BA158E" w14:textId="77777777" w:rsidR="008B729A" w:rsidRPr="006A437D" w:rsidRDefault="008B729A" w:rsidP="00021BDE">
            <w:pPr>
              <w:keepNext/>
              <w:numPr>
                <w:ilvl w:val="0"/>
                <w:numId w:val="46"/>
              </w:numPr>
              <w:pBdr>
                <w:top w:val="nil"/>
                <w:left w:val="nil"/>
                <w:bottom w:val="nil"/>
                <w:right w:val="nil"/>
                <w:between w:val="nil"/>
              </w:pBdr>
              <w:shd w:val="clear" w:color="auto" w:fill="FFFFFF"/>
              <w:spacing w:afterLines="40" w:after="96" w:line="240" w:lineRule="auto"/>
              <w:ind w:right="58"/>
              <w:contextualSpacing/>
              <w:rPr>
                <w:rFonts w:eastAsia="Arial" w:cstheme="minorHAnsi"/>
                <w:bCs/>
                <w:color w:val="000000"/>
              </w:rPr>
            </w:pPr>
            <w:r w:rsidRPr="006A437D">
              <w:rPr>
                <w:rFonts w:eastAsia="Arial" w:cstheme="minorHAnsi"/>
                <w:bCs/>
                <w:color w:val="000000"/>
              </w:rPr>
              <w:t xml:space="preserve">Pyrethroid resistance has been documented in the vast majority of the country, and is a major source of </w:t>
            </w:r>
            <w:r>
              <w:rPr>
                <w:rFonts w:eastAsia="Arial" w:cstheme="minorHAnsi"/>
                <w:bCs/>
                <w:color w:val="000000"/>
              </w:rPr>
              <w:t>ineffectiveness</w:t>
            </w:r>
            <w:r w:rsidRPr="006A437D">
              <w:rPr>
                <w:rFonts w:eastAsia="Arial" w:cstheme="minorHAnsi"/>
                <w:bCs/>
                <w:color w:val="000000"/>
              </w:rPr>
              <w:t xml:space="preserve"> that it limits the community’s protection when using the primary prevention measure deployed in the country. This will be mitigated by:</w:t>
            </w:r>
          </w:p>
          <w:p w14:paraId="5DD9D9A7" w14:textId="77777777" w:rsidR="008B729A" w:rsidRPr="006A437D" w:rsidRDefault="008B729A" w:rsidP="00021BDE">
            <w:pPr>
              <w:keepNext/>
              <w:numPr>
                <w:ilvl w:val="1"/>
                <w:numId w:val="46"/>
              </w:numPr>
              <w:pBdr>
                <w:top w:val="nil"/>
                <w:left w:val="nil"/>
                <w:bottom w:val="nil"/>
                <w:right w:val="nil"/>
                <w:between w:val="nil"/>
              </w:pBdr>
              <w:shd w:val="clear" w:color="auto" w:fill="FFFFFF"/>
              <w:spacing w:afterLines="40" w:after="96" w:line="240" w:lineRule="auto"/>
              <w:ind w:right="58"/>
              <w:contextualSpacing/>
              <w:rPr>
                <w:rFonts w:eastAsia="Arial" w:cstheme="minorHAnsi"/>
                <w:bCs/>
                <w:color w:val="000000"/>
              </w:rPr>
            </w:pPr>
            <w:r w:rsidRPr="006A437D">
              <w:rPr>
                <w:rFonts w:eastAsia="Arial" w:cstheme="minorHAnsi"/>
                <w:bCs/>
                <w:color w:val="000000"/>
              </w:rPr>
              <w:t xml:space="preserve">Deployment of next-generation ITNs, which are shown to be highly impactful </w:t>
            </w:r>
            <w:r>
              <w:rPr>
                <w:rFonts w:eastAsia="Arial" w:cstheme="minorHAnsi"/>
                <w:bCs/>
                <w:color w:val="000000"/>
              </w:rPr>
              <w:t>when</w:t>
            </w:r>
            <w:r w:rsidRPr="006A437D">
              <w:rPr>
                <w:rFonts w:eastAsia="Arial" w:cstheme="minorHAnsi"/>
                <w:bCs/>
                <w:color w:val="000000"/>
              </w:rPr>
              <w:t xml:space="preserve"> challenges with durability are overcome</w:t>
            </w:r>
          </w:p>
          <w:p w14:paraId="097FB92F" w14:textId="77777777" w:rsidR="008B729A" w:rsidRDefault="008B729A" w:rsidP="00021BDE">
            <w:pPr>
              <w:keepNext/>
              <w:numPr>
                <w:ilvl w:val="1"/>
                <w:numId w:val="46"/>
              </w:numPr>
              <w:pBdr>
                <w:top w:val="nil"/>
                <w:left w:val="nil"/>
                <w:bottom w:val="nil"/>
                <w:right w:val="nil"/>
                <w:between w:val="nil"/>
              </w:pBdr>
              <w:shd w:val="clear" w:color="auto" w:fill="FFFFFF"/>
              <w:spacing w:afterLines="40" w:after="96" w:line="240" w:lineRule="auto"/>
              <w:ind w:right="58"/>
              <w:contextualSpacing/>
              <w:rPr>
                <w:rFonts w:eastAsia="Arial" w:cstheme="minorHAnsi"/>
                <w:bCs/>
                <w:color w:val="000000"/>
              </w:rPr>
            </w:pPr>
            <w:r w:rsidRPr="006A437D">
              <w:rPr>
                <w:rFonts w:eastAsia="Arial" w:cstheme="minorHAnsi"/>
                <w:bCs/>
                <w:color w:val="000000"/>
              </w:rPr>
              <w:t>Targeted usage of IRS to manage insecticide resistance</w:t>
            </w:r>
          </w:p>
          <w:p w14:paraId="03EFE791" w14:textId="77777777" w:rsidR="008B729A" w:rsidRPr="00F77DA8" w:rsidRDefault="008B729A" w:rsidP="00021BDE">
            <w:pPr>
              <w:keepNext/>
              <w:numPr>
                <w:ilvl w:val="1"/>
                <w:numId w:val="46"/>
              </w:numPr>
              <w:pBdr>
                <w:top w:val="nil"/>
                <w:left w:val="nil"/>
                <w:bottom w:val="nil"/>
                <w:right w:val="nil"/>
                <w:between w:val="nil"/>
              </w:pBdr>
              <w:shd w:val="clear" w:color="auto" w:fill="FFFFFF"/>
              <w:spacing w:afterLines="40" w:after="96" w:line="240" w:lineRule="auto"/>
              <w:ind w:right="58"/>
              <w:contextualSpacing/>
              <w:rPr>
                <w:rFonts w:eastAsia="Arial" w:cstheme="minorHAnsi"/>
                <w:bCs/>
                <w:color w:val="000000"/>
              </w:rPr>
            </w:pPr>
            <w:r w:rsidRPr="00F77DA8">
              <w:rPr>
                <w:rFonts w:eastAsia="Arial" w:cstheme="minorHAnsi"/>
                <w:bCs/>
                <w:color w:val="000000"/>
              </w:rPr>
              <w:t>Strengthened entomological surveillance to monitor resistance and provide data to drive strategy revision when necessary</w:t>
            </w:r>
          </w:p>
        </w:tc>
      </w:tr>
      <w:tr w:rsidR="008B729A" w:rsidRPr="006A437D" w14:paraId="21961F2A" w14:textId="77777777" w:rsidTr="00021BDE">
        <w:tc>
          <w:tcPr>
            <w:tcW w:w="2580" w:type="dxa"/>
          </w:tcPr>
          <w:p w14:paraId="1F3AB114"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b/>
                <w:bCs/>
                <w:color w:val="000000"/>
              </w:rPr>
            </w:pPr>
            <w:r>
              <w:rPr>
                <w:rFonts w:eastAsia="Arial" w:cstheme="minorHAnsi"/>
                <w:b/>
                <w:bCs/>
                <w:color w:val="000000"/>
              </w:rPr>
              <w:t>List of activities</w:t>
            </w:r>
          </w:p>
        </w:tc>
        <w:tc>
          <w:tcPr>
            <w:tcW w:w="12585" w:type="dxa"/>
          </w:tcPr>
          <w:p w14:paraId="29A804EA"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color w:val="000000"/>
              </w:rPr>
            </w:pPr>
            <w:r w:rsidRPr="006A437D">
              <w:rPr>
                <w:rFonts w:eastAsia="Arial" w:cstheme="minorHAnsi"/>
                <w:b/>
                <w:color w:val="000000"/>
              </w:rPr>
              <w:t xml:space="preserve">Intervention: </w:t>
            </w:r>
            <w:r w:rsidRPr="006A437D">
              <w:rPr>
                <w:rFonts w:eastAsia="Arial" w:cstheme="minorHAnsi"/>
                <w:color w:val="000000"/>
              </w:rPr>
              <w:t>Insecticide treated nets (ITNs) - mass campaign: universal</w:t>
            </w:r>
          </w:p>
          <w:p w14:paraId="2DD144C6" w14:textId="77777777" w:rsidR="008B729A" w:rsidRPr="00127F33" w:rsidRDefault="008B729A" w:rsidP="00021BDE">
            <w:pPr>
              <w:spacing w:afterLines="40" w:after="96" w:line="264" w:lineRule="auto"/>
              <w:rPr>
                <w:rFonts w:eastAsia="Arial" w:cstheme="minorHAnsi"/>
                <w:color w:val="000000"/>
              </w:rPr>
            </w:pPr>
            <w:r w:rsidRPr="006A437D">
              <w:rPr>
                <w:rFonts w:eastAsia="Arial" w:cstheme="minorHAnsi"/>
                <w:color w:val="000000"/>
              </w:rPr>
              <w:t xml:space="preserve">Key activities </w:t>
            </w:r>
            <w:r w:rsidRPr="00127F33">
              <w:rPr>
                <w:rFonts w:eastAsia="Arial" w:cstheme="minorHAnsi"/>
                <w:color w:val="000000"/>
              </w:rPr>
              <w:t>under this intervention include:</w:t>
            </w:r>
          </w:p>
          <w:p w14:paraId="50482982" w14:textId="77777777" w:rsidR="008B729A" w:rsidRPr="00127F33" w:rsidRDefault="008B729A" w:rsidP="00021BDE">
            <w:pPr>
              <w:numPr>
                <w:ilvl w:val="0"/>
                <w:numId w:val="34"/>
              </w:numPr>
              <w:pBdr>
                <w:top w:val="nil"/>
                <w:left w:val="nil"/>
                <w:bottom w:val="nil"/>
                <w:right w:val="nil"/>
                <w:between w:val="nil"/>
              </w:pBdr>
              <w:shd w:val="clear" w:color="auto" w:fill="FFFFFF"/>
              <w:spacing w:afterLines="40" w:after="96" w:line="240" w:lineRule="auto"/>
              <w:rPr>
                <w:rFonts w:eastAsia="Arial" w:cstheme="minorHAnsi"/>
                <w:color w:val="000000"/>
              </w:rPr>
            </w:pPr>
            <w:r w:rsidRPr="00127F33">
              <w:rPr>
                <w:rFonts w:eastAsia="Arial" w:cstheme="minorHAnsi"/>
                <w:color w:val="000000"/>
              </w:rPr>
              <w:t xml:space="preserve">A total of </w:t>
            </w:r>
            <w:r w:rsidRPr="00127F33">
              <w:rPr>
                <w:rFonts w:eastAsia="Arial" w:cstheme="minorHAnsi"/>
                <w:b/>
                <w:bCs/>
                <w:color w:val="000000"/>
              </w:rPr>
              <w:t>1</w:t>
            </w:r>
            <w:r>
              <w:rPr>
                <w:rFonts w:eastAsia="Arial" w:cstheme="minorHAnsi"/>
                <w:b/>
                <w:bCs/>
                <w:color w:val="000000"/>
              </w:rPr>
              <w:t>5,018</w:t>
            </w:r>
            <w:r w:rsidRPr="00127F33">
              <w:rPr>
                <w:rFonts w:eastAsia="Arial" w:cstheme="minorHAnsi"/>
                <w:b/>
                <w:bCs/>
                <w:color w:val="000000"/>
              </w:rPr>
              <w:t>,</w:t>
            </w:r>
            <w:r>
              <w:rPr>
                <w:rFonts w:eastAsia="Arial" w:cstheme="minorHAnsi"/>
                <w:b/>
                <w:bCs/>
                <w:color w:val="000000"/>
              </w:rPr>
              <w:t>935</w:t>
            </w:r>
            <w:r w:rsidRPr="00127F33">
              <w:rPr>
                <w:rFonts w:eastAsia="Arial" w:cstheme="minorHAnsi"/>
                <w:color w:val="000000"/>
              </w:rPr>
              <w:t xml:space="preserve"> ITNs will be procured, shipped and distributed over the grant period. Total 3-year cost is </w:t>
            </w:r>
            <w:r w:rsidRPr="00127F33">
              <w:rPr>
                <w:rFonts w:eastAsia="Arial" w:cstheme="minorHAnsi"/>
                <w:b/>
                <w:bCs/>
                <w:color w:val="000000"/>
              </w:rPr>
              <w:t>$77,</w:t>
            </w:r>
            <w:r>
              <w:rPr>
                <w:rFonts w:eastAsia="Arial" w:cstheme="minorHAnsi"/>
                <w:b/>
                <w:bCs/>
                <w:color w:val="000000"/>
              </w:rPr>
              <w:t>372</w:t>
            </w:r>
            <w:r w:rsidRPr="00127F33">
              <w:rPr>
                <w:rFonts w:eastAsia="Arial" w:cstheme="minorHAnsi"/>
                <w:b/>
                <w:bCs/>
                <w:color w:val="000000"/>
              </w:rPr>
              <w:t>,</w:t>
            </w:r>
            <w:r>
              <w:rPr>
                <w:rFonts w:eastAsia="Arial" w:cstheme="minorHAnsi"/>
                <w:b/>
                <w:bCs/>
                <w:color w:val="000000"/>
              </w:rPr>
              <w:t>941</w:t>
            </w:r>
            <w:r w:rsidRPr="00127F33">
              <w:rPr>
                <w:rFonts w:eastAsia="Arial" w:cstheme="minorHAnsi"/>
                <w:color w:val="000000"/>
              </w:rPr>
              <w:t>.</w:t>
            </w:r>
          </w:p>
          <w:p w14:paraId="7B6D484C" w14:textId="77777777" w:rsidR="008B729A" w:rsidRPr="006A437D" w:rsidRDefault="008B729A" w:rsidP="00021BDE">
            <w:pPr>
              <w:numPr>
                <w:ilvl w:val="1"/>
                <w:numId w:val="34"/>
              </w:numPr>
              <w:pBdr>
                <w:top w:val="nil"/>
                <w:left w:val="nil"/>
                <w:bottom w:val="nil"/>
                <w:right w:val="nil"/>
                <w:between w:val="nil"/>
              </w:pBdr>
              <w:shd w:val="clear" w:color="auto" w:fill="FFFFFF"/>
              <w:spacing w:afterLines="40" w:after="96" w:line="240" w:lineRule="auto"/>
              <w:rPr>
                <w:rFonts w:eastAsia="Arial" w:cstheme="minorHAnsi"/>
                <w:color w:val="000000"/>
              </w:rPr>
            </w:pPr>
            <w:r w:rsidRPr="00127F33">
              <w:rPr>
                <w:rFonts w:eastAsia="Arial" w:cstheme="minorHAnsi"/>
                <w:color w:val="000000"/>
              </w:rPr>
              <w:t>ITN quantification utilized data from the past 3 campaigns to analyze variance from official INE population projections, to ensure challenges with under-quantification were solved. Budget constraints forced this variance amount into PAAR, as detailed in the referenced LLIN quantification worksheet. This variance is essential to be funded prior to 2025/26 distribution – total need in this</w:t>
            </w:r>
            <w:r>
              <w:rPr>
                <w:rFonts w:eastAsia="Arial" w:cstheme="minorHAnsi"/>
                <w:color w:val="000000"/>
              </w:rPr>
              <w:t xml:space="preserve"> highest-risk category equals</w:t>
            </w:r>
            <w:r w:rsidRPr="00FE04E9">
              <w:rPr>
                <w:rFonts w:eastAsia="Arial" w:cstheme="minorHAnsi"/>
                <w:color w:val="000000"/>
              </w:rPr>
              <w:t xml:space="preserve"> </w:t>
            </w:r>
            <w:r>
              <w:rPr>
                <w:rFonts w:eastAsia="Arial" w:cstheme="minorHAnsi"/>
                <w:color w:val="000000"/>
              </w:rPr>
              <w:t>18,001,829 ITNs at a cost of $92,652,751.</w:t>
            </w:r>
          </w:p>
          <w:p w14:paraId="2A7B9747" w14:textId="77777777" w:rsidR="008B729A" w:rsidRDefault="008B729A" w:rsidP="00021BDE">
            <w:pPr>
              <w:numPr>
                <w:ilvl w:val="1"/>
                <w:numId w:val="34"/>
              </w:numPr>
              <w:pBdr>
                <w:top w:val="nil"/>
                <w:left w:val="nil"/>
                <w:bottom w:val="nil"/>
                <w:right w:val="nil"/>
                <w:between w:val="nil"/>
              </w:pBdr>
              <w:shd w:val="clear" w:color="auto" w:fill="FFFFFF"/>
              <w:spacing w:afterLines="40" w:after="96" w:line="240" w:lineRule="auto"/>
              <w:rPr>
                <w:rFonts w:eastAsia="Arial" w:cstheme="minorHAnsi"/>
                <w:color w:val="000000"/>
              </w:rPr>
            </w:pPr>
            <w:r w:rsidRPr="006A437D">
              <w:rPr>
                <w:rFonts w:eastAsia="Arial" w:cstheme="minorHAnsi"/>
                <w:color w:val="000000"/>
              </w:rPr>
              <w:t>Key distribution-related activities to be supported by this funding request will include</w:t>
            </w:r>
            <w:r>
              <w:rPr>
                <w:rFonts w:eastAsia="Arial" w:cstheme="minorHAnsi"/>
                <w:color w:val="000000"/>
              </w:rPr>
              <w:t>:</w:t>
            </w:r>
          </w:p>
          <w:p w14:paraId="62674872" w14:textId="77777777" w:rsidR="008B729A" w:rsidRDefault="008B729A" w:rsidP="00021BDE">
            <w:pPr>
              <w:numPr>
                <w:ilvl w:val="2"/>
                <w:numId w:val="34"/>
              </w:numPr>
              <w:pBdr>
                <w:top w:val="nil"/>
                <w:left w:val="nil"/>
                <w:bottom w:val="nil"/>
                <w:right w:val="nil"/>
                <w:between w:val="nil"/>
              </w:pBdr>
              <w:shd w:val="clear" w:color="auto" w:fill="FFFFFF"/>
              <w:spacing w:afterLines="40" w:after="96" w:line="240" w:lineRule="auto"/>
              <w:rPr>
                <w:rFonts w:eastAsia="Arial" w:cstheme="minorHAnsi"/>
                <w:color w:val="000000"/>
              </w:rPr>
            </w:pPr>
            <w:r>
              <w:rPr>
                <w:rFonts w:eastAsia="Arial" w:cstheme="minorHAnsi"/>
                <w:color w:val="000000"/>
              </w:rPr>
              <w:t>M</w:t>
            </w:r>
            <w:r w:rsidRPr="006A437D">
              <w:rPr>
                <w:rFonts w:eastAsia="Arial" w:cstheme="minorHAnsi"/>
                <w:color w:val="000000"/>
              </w:rPr>
              <w:t>acro and microplanning, coordination and budgeting at both national and district level;</w:t>
            </w:r>
            <w:r>
              <w:rPr>
                <w:rFonts w:eastAsia="Arial" w:cstheme="minorHAnsi"/>
                <w:color w:val="000000"/>
              </w:rPr>
              <w:t xml:space="preserve"> the</w:t>
            </w:r>
            <w:r w:rsidRPr="006A437D">
              <w:rPr>
                <w:rFonts w:eastAsia="Arial" w:cstheme="minorHAnsi"/>
                <w:color w:val="000000"/>
              </w:rPr>
              <w:t xml:space="preserve"> logistics of </w:t>
            </w:r>
            <w:r>
              <w:rPr>
                <w:rFonts w:eastAsia="Arial" w:cstheme="minorHAnsi"/>
                <w:color w:val="000000"/>
              </w:rPr>
              <w:t>ITN</w:t>
            </w:r>
            <w:r w:rsidRPr="006A437D">
              <w:rPr>
                <w:rFonts w:eastAsia="Arial" w:cstheme="minorHAnsi"/>
                <w:color w:val="000000"/>
              </w:rPr>
              <w:t xml:space="preserve"> distribution including warehousing, transportation to distribution sites and waste management. Training at district and community levels will be conducted for the health workers and communities involved in the distribution. Community sensitization and engagement of the community, including the distribution of communication materials will be prioritized. Finally, the program will seek collaboration with the Ministry of Environment and private plastics companies for opportunities to manage packaging waste at no cost to the program - as has been successfully started with</w:t>
            </w:r>
            <w:r>
              <w:rPr>
                <w:rFonts w:eastAsia="Arial" w:cstheme="minorHAnsi"/>
                <w:color w:val="000000"/>
              </w:rPr>
              <w:t xml:space="preserve"> the current</w:t>
            </w:r>
            <w:r w:rsidRPr="006A437D">
              <w:rPr>
                <w:rFonts w:eastAsia="Arial" w:cstheme="minorHAnsi"/>
                <w:color w:val="000000"/>
              </w:rPr>
              <w:t xml:space="preserve"> IRS</w:t>
            </w:r>
            <w:r>
              <w:rPr>
                <w:rFonts w:eastAsia="Arial" w:cstheme="minorHAnsi"/>
                <w:color w:val="000000"/>
              </w:rPr>
              <w:t xml:space="preserve"> program</w:t>
            </w:r>
            <w:r w:rsidRPr="006A437D">
              <w:rPr>
                <w:rFonts w:eastAsia="Arial" w:cstheme="minorHAnsi"/>
                <w:color w:val="000000"/>
              </w:rPr>
              <w:t>.</w:t>
            </w:r>
          </w:p>
          <w:p w14:paraId="2F532C76" w14:textId="77777777" w:rsidR="008B729A" w:rsidRPr="006A437D" w:rsidRDefault="008B729A" w:rsidP="00021BDE">
            <w:pPr>
              <w:numPr>
                <w:ilvl w:val="2"/>
                <w:numId w:val="34"/>
              </w:numPr>
              <w:pBdr>
                <w:top w:val="nil"/>
                <w:left w:val="nil"/>
                <w:bottom w:val="nil"/>
                <w:right w:val="nil"/>
                <w:between w:val="nil"/>
              </w:pBdr>
              <w:shd w:val="clear" w:color="auto" w:fill="FFFFFF"/>
              <w:spacing w:afterLines="40" w:after="96" w:line="240" w:lineRule="auto"/>
              <w:rPr>
                <w:rFonts w:eastAsia="Arial" w:cstheme="minorHAnsi"/>
                <w:color w:val="000000"/>
              </w:rPr>
            </w:pPr>
            <w:r>
              <w:rPr>
                <w:rFonts w:eastAsia="Arial" w:cstheme="minorHAnsi"/>
                <w:color w:val="000000"/>
              </w:rPr>
              <w:t xml:space="preserve">During and following the Covid-19 pandemic, a door-to-door distribution method has been adopted which has been preferred by community members, has not increased budgetary expenditure, and is perceived as achieving superior coverage results (though quantitative attribution is challenging). For these reasons, this door-to-door methodology is planned to continue. During Strategic Planning, alternative distribution methods were considered – including increasing distribution channels e.g. school-based – however cost scenarios adapted using </w:t>
            </w:r>
            <w:hyperlink r:id="rId24" w:history="1">
              <w:r w:rsidRPr="00D9214D">
                <w:rPr>
                  <w:rStyle w:val="Hyperlink"/>
                  <w:rFonts w:eastAsia="Arial" w:cstheme="minorHAnsi"/>
                </w:rPr>
                <w:t>information from previous pilots</w:t>
              </w:r>
            </w:hyperlink>
            <w:r>
              <w:rPr>
                <w:rFonts w:eastAsia="Arial" w:cstheme="minorHAnsi"/>
                <w:color w:val="000000"/>
              </w:rPr>
              <w:t xml:space="preserve"> did not yield any scenario where continuous distribution ($1.81 - $3.89/ net distributed operational cost) was more cost-effective than campaign distribution (average of $1.22/net distributed operational cost). Nonetheless, continued piloting and OR on alternative methodologies to provide more sustained, effective coverage – at comparable costs to campaigns – will be explored to find scalable models. In particular innovations around more demand-driven replacement would be welcome in providing more targeted and efficient methods at tackling the ITN durability challenge. </w:t>
            </w:r>
          </w:p>
          <w:p w14:paraId="24DD65B0" w14:textId="0290A2F4" w:rsidR="008B729A" w:rsidRPr="006A437D" w:rsidRDefault="008B729A" w:rsidP="00021BDE">
            <w:pPr>
              <w:numPr>
                <w:ilvl w:val="1"/>
                <w:numId w:val="34"/>
              </w:numPr>
              <w:pBdr>
                <w:top w:val="nil"/>
                <w:left w:val="nil"/>
                <w:bottom w:val="nil"/>
                <w:right w:val="nil"/>
                <w:between w:val="nil"/>
              </w:pBdr>
              <w:shd w:val="clear" w:color="auto" w:fill="FFFFFF"/>
              <w:spacing w:afterLines="40" w:after="96" w:line="240" w:lineRule="auto"/>
              <w:rPr>
                <w:rFonts w:eastAsia="Arial" w:cstheme="minorHAnsi"/>
                <w:color w:val="000000"/>
              </w:rPr>
            </w:pPr>
            <w:r w:rsidRPr="006A437D">
              <w:rPr>
                <w:rFonts w:eastAsia="Arial" w:cstheme="minorHAnsi"/>
                <w:b/>
                <w:color w:val="000000"/>
              </w:rPr>
              <w:t xml:space="preserve">ITN type: </w:t>
            </w:r>
            <w:r w:rsidRPr="006A437D">
              <w:rPr>
                <w:rFonts w:eastAsia="Arial" w:cstheme="minorHAnsi"/>
                <w:color w:val="000000"/>
              </w:rPr>
              <w:t xml:space="preserve">Because of widespread pyrethroid resistance, the 2022/23 ITNs distributed were either dual-AI or PBO ITNs. </w:t>
            </w:r>
            <w:r>
              <w:rPr>
                <w:rFonts w:eastAsia="Arial" w:cstheme="minorHAnsi"/>
                <w:color w:val="000000"/>
              </w:rPr>
              <w:t>Household prevalence e</w:t>
            </w:r>
            <w:r w:rsidRPr="006A437D">
              <w:rPr>
                <w:rFonts w:eastAsia="Arial" w:cstheme="minorHAnsi"/>
                <w:color w:val="000000"/>
              </w:rPr>
              <w:t>vidence from the New Nets Project (NNP</w:t>
            </w:r>
            <w:r>
              <w:rPr>
                <w:rFonts w:eastAsia="Arial" w:cstheme="minorHAnsi"/>
                <w:color w:val="000000"/>
              </w:rPr>
              <w:t>) and</w:t>
            </w:r>
            <w:r w:rsidRPr="006A437D">
              <w:rPr>
                <w:rFonts w:eastAsia="Arial" w:cstheme="minorHAnsi"/>
                <w:color w:val="000000"/>
              </w:rPr>
              <w:t xml:space="preserve"> analysis of routine HMIS data</w:t>
            </w:r>
            <w:r>
              <w:rPr>
                <w:rFonts w:eastAsia="Arial" w:cstheme="minorHAnsi"/>
                <w:color w:val="000000"/>
              </w:rPr>
              <w:t>, which are</w:t>
            </w:r>
            <w:r w:rsidRPr="006A437D">
              <w:rPr>
                <w:rFonts w:eastAsia="Arial" w:cstheme="minorHAnsi"/>
                <w:color w:val="000000"/>
              </w:rPr>
              <w:t xml:space="preserve"> summarized in the MPR report as well as in section 1.2, show that both dual-AI and PBO-pyrethroid ITNs performed well in year 1 and were responsible for statistically and epidemiologically significant reductions in </w:t>
            </w:r>
            <w:r>
              <w:rPr>
                <w:rFonts w:eastAsia="Arial" w:cstheme="minorHAnsi"/>
                <w:color w:val="000000"/>
              </w:rPr>
              <w:t xml:space="preserve">malaria </w:t>
            </w:r>
            <w:r w:rsidRPr="006A437D">
              <w:rPr>
                <w:rFonts w:eastAsia="Arial" w:cstheme="minorHAnsi"/>
                <w:color w:val="000000"/>
              </w:rPr>
              <w:t xml:space="preserve">prevalence and incidence (Royal Guard being somewhat of an exception with disappointing results).  In year 2 however, the chlorfenapyr-pyrethroid nets began clearly outperforming PBO-pyrethroid nets - with NNP data showing this was largely due to chemical and physical durability issues.  Given the price reductions </w:t>
            </w:r>
            <w:r>
              <w:rPr>
                <w:rFonts w:eastAsia="Arial" w:cstheme="minorHAnsi"/>
                <w:color w:val="000000"/>
              </w:rPr>
              <w:t>of</w:t>
            </w:r>
            <w:r w:rsidRPr="006A437D">
              <w:rPr>
                <w:rFonts w:eastAsia="Arial" w:cstheme="minorHAnsi"/>
                <w:color w:val="000000"/>
              </w:rPr>
              <w:t xml:space="preserve"> dual-AI products</w:t>
            </w:r>
            <w:r>
              <w:rPr>
                <w:rFonts w:eastAsia="Arial" w:cstheme="minorHAnsi"/>
                <w:color w:val="000000"/>
              </w:rPr>
              <w:t>, their</w:t>
            </w:r>
            <w:r w:rsidRPr="006A437D">
              <w:rPr>
                <w:rFonts w:eastAsia="Arial" w:cstheme="minorHAnsi"/>
                <w:color w:val="000000"/>
              </w:rPr>
              <w:t xml:space="preserve"> superior performance in durability, </w:t>
            </w:r>
            <w:r>
              <w:rPr>
                <w:rFonts w:eastAsia="Arial" w:cstheme="minorHAnsi"/>
                <w:color w:val="000000"/>
              </w:rPr>
              <w:t>and</w:t>
            </w:r>
            <w:r w:rsidRPr="006A437D">
              <w:rPr>
                <w:rFonts w:eastAsia="Arial" w:cstheme="minorHAnsi"/>
                <w:color w:val="000000"/>
              </w:rPr>
              <w:t xml:space="preserve"> the </w:t>
            </w:r>
            <w:hyperlink r:id="rId25" w:history="1">
              <w:r w:rsidRPr="00026B7C">
                <w:rPr>
                  <w:rStyle w:val="Hyperlink"/>
                  <w:rFonts w:eastAsia="Arial" w:cstheme="minorHAnsi"/>
                </w:rPr>
                <w:t>WHO recommendation in March 2023</w:t>
              </w:r>
            </w:hyperlink>
            <w:r w:rsidRPr="006A437D">
              <w:rPr>
                <w:rFonts w:eastAsia="Arial" w:cstheme="minorHAnsi"/>
                <w:color w:val="000000"/>
              </w:rPr>
              <w:t xml:space="preserve"> due to these results, Mozambique will procure aim to procure all dual-AI ITNs. If global supply makes this impossible, PBO-pyrethroid ITNs will be procured under a request to GF to jointly review product durability to maximize cost-effectiveness.</w:t>
            </w:r>
            <w:r>
              <w:rPr>
                <w:rFonts w:eastAsia="Arial" w:cstheme="minorHAnsi"/>
                <w:color w:val="000000"/>
              </w:rPr>
              <w:t xml:space="preserve"> These results are summarized in section 1.3</w:t>
            </w:r>
            <w:r w:rsidR="00365D5A">
              <w:rPr>
                <w:rFonts w:eastAsia="Arial" w:cstheme="minorHAnsi"/>
                <w:color w:val="000000"/>
              </w:rPr>
              <w:t>.</w:t>
            </w:r>
            <w:r>
              <w:rPr>
                <w:rFonts w:eastAsia="Arial" w:cstheme="minorHAnsi"/>
                <w:color w:val="000000"/>
              </w:rPr>
              <w:t xml:space="preserve"> </w:t>
            </w:r>
          </w:p>
          <w:p w14:paraId="5C92DAF7" w14:textId="77777777" w:rsidR="008B729A" w:rsidRPr="006A437D" w:rsidRDefault="008B729A" w:rsidP="00021BDE">
            <w:pPr>
              <w:numPr>
                <w:ilvl w:val="1"/>
                <w:numId w:val="34"/>
              </w:numPr>
              <w:pBdr>
                <w:top w:val="nil"/>
                <w:left w:val="nil"/>
                <w:bottom w:val="nil"/>
                <w:right w:val="nil"/>
                <w:between w:val="nil"/>
              </w:pBdr>
              <w:shd w:val="clear" w:color="auto" w:fill="FFFFFF"/>
              <w:spacing w:afterLines="40" w:after="96" w:line="240" w:lineRule="auto"/>
              <w:rPr>
                <w:rFonts w:eastAsia="Arial" w:cstheme="minorHAnsi"/>
                <w:b/>
                <w:color w:val="000000"/>
              </w:rPr>
            </w:pPr>
            <w:r w:rsidRPr="006A437D">
              <w:rPr>
                <w:rFonts w:eastAsia="Arial" w:cstheme="minorHAnsi"/>
                <w:b/>
                <w:color w:val="000000"/>
              </w:rPr>
              <w:t xml:space="preserve">ITN mass distribution frequency: </w:t>
            </w:r>
            <w:r w:rsidRPr="006A437D">
              <w:rPr>
                <w:rFonts w:eastAsia="Arial" w:cstheme="minorHAnsi"/>
                <w:color w:val="000000"/>
              </w:rPr>
              <w:t>Evidence from Mozambique, and many countries around the world, clearly shows that ITNs are not lasting 3 years in real-world conditions, leaving coverage gaps prior to the next distribution. Analysis done by NMCP in collaboration with CHAI and STPH indicated that a reduction to 30</w:t>
            </w:r>
            <w:r>
              <w:rPr>
                <w:rFonts w:eastAsia="Arial" w:cstheme="minorHAnsi"/>
                <w:color w:val="000000"/>
              </w:rPr>
              <w:t>-</w:t>
            </w:r>
            <w:r w:rsidRPr="006A437D">
              <w:rPr>
                <w:rFonts w:eastAsia="Arial" w:cstheme="minorHAnsi"/>
                <w:color w:val="000000"/>
              </w:rPr>
              <w:t xml:space="preserve">month intervals for mass distribution could reduce prevalence by an additional 25% (from the predicted reduction at 3 years). This was discussed and approved by Global Fund in July 2021. </w:t>
            </w:r>
            <w:r>
              <w:rPr>
                <w:rFonts w:eastAsia="Arial" w:cstheme="minorHAnsi"/>
                <w:color w:val="000000"/>
              </w:rPr>
              <w:t>Mozambique uses a phased provincial distribution method, rolling from north to south. T</w:t>
            </w:r>
            <w:r w:rsidRPr="006A437D">
              <w:rPr>
                <w:rFonts w:eastAsia="Arial" w:cstheme="minorHAnsi"/>
                <w:color w:val="000000"/>
              </w:rPr>
              <w:t>his has no implications on the planned number of distributions for any province in the 2024-26 period</w:t>
            </w:r>
            <w:r>
              <w:rPr>
                <w:rFonts w:eastAsia="Arial" w:cstheme="minorHAnsi"/>
                <w:color w:val="000000"/>
              </w:rPr>
              <w:t>.</w:t>
            </w:r>
            <w:r w:rsidRPr="006A437D">
              <w:rPr>
                <w:rFonts w:eastAsia="Arial" w:cstheme="minorHAnsi"/>
                <w:color w:val="000000"/>
              </w:rPr>
              <w:t xml:space="preserve"> </w:t>
            </w:r>
            <w:r>
              <w:rPr>
                <w:rFonts w:eastAsia="Arial" w:cstheme="minorHAnsi"/>
                <w:color w:val="000000"/>
              </w:rPr>
              <w:t>H</w:t>
            </w:r>
            <w:r w:rsidRPr="006A437D">
              <w:rPr>
                <w:rFonts w:eastAsia="Arial" w:cstheme="minorHAnsi"/>
                <w:color w:val="000000"/>
              </w:rPr>
              <w:t>owever</w:t>
            </w:r>
            <w:r>
              <w:rPr>
                <w:rFonts w:eastAsia="Arial" w:cstheme="minorHAnsi"/>
                <w:color w:val="000000"/>
              </w:rPr>
              <w:t>, this decision will</w:t>
            </w:r>
            <w:r w:rsidRPr="006A437D">
              <w:rPr>
                <w:rFonts w:eastAsia="Arial" w:cstheme="minorHAnsi"/>
                <w:color w:val="000000"/>
              </w:rPr>
              <w:t xml:space="preserve"> result in multiple distribution</w:t>
            </w:r>
            <w:r>
              <w:rPr>
                <w:rFonts w:eastAsia="Arial" w:cstheme="minorHAnsi"/>
                <w:color w:val="000000"/>
              </w:rPr>
              <w:t>s</w:t>
            </w:r>
            <w:r w:rsidRPr="006A437D">
              <w:rPr>
                <w:rFonts w:eastAsia="Arial" w:cstheme="minorHAnsi"/>
                <w:color w:val="000000"/>
              </w:rPr>
              <w:t xml:space="preserve"> in the 2027-29 and 2030-32 periods</w:t>
            </w:r>
            <w:r>
              <w:rPr>
                <w:rFonts w:eastAsia="Arial" w:cstheme="minorHAnsi"/>
                <w:color w:val="000000"/>
              </w:rPr>
              <w:t xml:space="preserve"> for some provinces</w:t>
            </w:r>
            <w:r w:rsidRPr="006A437D">
              <w:rPr>
                <w:rFonts w:eastAsia="Arial" w:cstheme="minorHAnsi"/>
                <w:color w:val="000000"/>
              </w:rPr>
              <w:t>.</w:t>
            </w:r>
            <w:r>
              <w:rPr>
                <w:rFonts w:eastAsia="Arial" w:cstheme="minorHAnsi"/>
                <w:color w:val="000000"/>
              </w:rPr>
              <w:t xml:space="preserve"> Details of projected distribution by province are included in the LLIN quantification worksheet, and were used for projecting costs in the MSP.</w:t>
            </w:r>
          </w:p>
          <w:p w14:paraId="08E72142" w14:textId="77777777" w:rsidR="008B729A" w:rsidRDefault="008B729A" w:rsidP="00021BDE">
            <w:pPr>
              <w:numPr>
                <w:ilvl w:val="1"/>
                <w:numId w:val="34"/>
              </w:numPr>
              <w:pBdr>
                <w:top w:val="nil"/>
                <w:left w:val="nil"/>
                <w:bottom w:val="nil"/>
                <w:right w:val="nil"/>
                <w:between w:val="nil"/>
              </w:pBdr>
              <w:shd w:val="clear" w:color="auto" w:fill="FFFFFF"/>
              <w:spacing w:afterLines="40" w:after="96" w:line="240" w:lineRule="auto"/>
              <w:rPr>
                <w:rFonts w:eastAsia="Arial" w:cstheme="minorHAnsi"/>
                <w:b/>
                <w:color w:val="000000"/>
              </w:rPr>
            </w:pPr>
            <w:r w:rsidRPr="006A437D">
              <w:rPr>
                <w:rFonts w:eastAsia="Arial" w:cstheme="minorHAnsi"/>
                <w:b/>
                <w:color w:val="000000"/>
              </w:rPr>
              <w:t xml:space="preserve">Consideration of displaced populations: </w:t>
            </w:r>
            <w:r w:rsidRPr="006A437D">
              <w:rPr>
                <w:rFonts w:eastAsia="Arial" w:cstheme="minorHAnsi"/>
                <w:color w:val="000000"/>
              </w:rPr>
              <w:t>The vast majority of internally displaced people (IDP) in Mozambique are settled informally in communities, and they a</w:t>
            </w:r>
            <w:r>
              <w:rPr>
                <w:rFonts w:eastAsia="Arial" w:cstheme="minorHAnsi"/>
                <w:color w:val="000000"/>
              </w:rPr>
              <w:t>long with</w:t>
            </w:r>
            <w:r w:rsidRPr="006A437D">
              <w:rPr>
                <w:rFonts w:eastAsia="Arial" w:cstheme="minorHAnsi"/>
                <w:color w:val="000000"/>
              </w:rPr>
              <w:t xml:space="preserve"> residents of accommodation camps are covered in all major ITN campaigns - including notably in the successful campaign in Cabo Delgado Province in 2022.</w:t>
            </w:r>
            <w:r>
              <w:rPr>
                <w:rFonts w:eastAsia="Arial" w:cstheme="minorHAnsi"/>
                <w:color w:val="000000"/>
              </w:rPr>
              <w:t xml:space="preserve"> Funding was also reprogrammed in March 2023 following Cyclone Freddy to cover affected areas in Quelimane.</w:t>
            </w:r>
            <w:r w:rsidRPr="006A437D">
              <w:rPr>
                <w:rFonts w:eastAsia="Arial" w:cstheme="minorHAnsi"/>
                <w:color w:val="000000"/>
              </w:rPr>
              <w:t xml:space="preserve"> </w:t>
            </w:r>
            <w:r>
              <w:rPr>
                <w:rFonts w:eastAsia="Arial" w:cstheme="minorHAnsi"/>
                <w:color w:val="000000"/>
              </w:rPr>
              <w:t xml:space="preserve">For the 2025/26 mass distribution, high risk portions of Pemba have been considered in the main allocation quantification due to the high number of IDPs that need to be covered, while higher-risk sections of all other provincial capitals are included in PAAR. </w:t>
            </w:r>
            <w:r w:rsidRPr="006A437D">
              <w:rPr>
                <w:rFonts w:eastAsia="Arial" w:cstheme="minorHAnsi"/>
                <w:color w:val="000000"/>
              </w:rPr>
              <w:t>Should major displacement events take place in future, including due to natural disasters, it is likely that displaced populations will require ITNs to replace lost nets. While it is challenging to predict future episodes, the country realizes the necessity of creating flexible mechanisms for supplementary campaigns</w:t>
            </w:r>
            <w:r>
              <w:rPr>
                <w:rFonts w:eastAsia="Arial" w:cstheme="minorHAnsi"/>
                <w:color w:val="000000"/>
              </w:rPr>
              <w:t>. The NMCP and partners w</w:t>
            </w:r>
            <w:r w:rsidRPr="006A437D">
              <w:rPr>
                <w:rFonts w:eastAsia="Arial" w:cstheme="minorHAnsi"/>
                <w:color w:val="000000"/>
              </w:rPr>
              <w:t xml:space="preserve">ill seek collaboration with humanitarian actors and the GF Emergency Fund to ensure these populations receive </w:t>
            </w:r>
            <w:r w:rsidRPr="006A437D">
              <w:rPr>
                <w:rFonts w:eastAsia="Arial" w:cstheme="minorHAnsi"/>
                <w:color w:val="000000"/>
                <w:u w:val="single"/>
              </w:rPr>
              <w:t>urgent</w:t>
            </w:r>
            <w:r w:rsidRPr="006A437D">
              <w:rPr>
                <w:rFonts w:eastAsia="Arial" w:cstheme="minorHAnsi"/>
                <w:color w:val="000000"/>
              </w:rPr>
              <w:t xml:space="preserve"> and special attention in such crises.</w:t>
            </w:r>
          </w:p>
          <w:p w14:paraId="25F38731" w14:textId="77777777" w:rsidR="008B729A" w:rsidRPr="00F77DA8" w:rsidRDefault="008B729A" w:rsidP="00021BDE">
            <w:pPr>
              <w:numPr>
                <w:ilvl w:val="1"/>
                <w:numId w:val="34"/>
              </w:numPr>
              <w:pBdr>
                <w:top w:val="nil"/>
                <w:left w:val="nil"/>
                <w:bottom w:val="nil"/>
                <w:right w:val="nil"/>
                <w:between w:val="nil"/>
              </w:pBdr>
              <w:shd w:val="clear" w:color="auto" w:fill="FFFFFF"/>
              <w:spacing w:afterLines="40" w:after="96" w:line="240" w:lineRule="auto"/>
              <w:rPr>
                <w:rFonts w:eastAsia="Arial" w:cstheme="minorHAnsi"/>
                <w:b/>
                <w:color w:val="000000"/>
              </w:rPr>
            </w:pPr>
            <w:r w:rsidRPr="00F77DA8">
              <w:rPr>
                <w:rFonts w:eastAsia="Arial" w:cstheme="minorHAnsi"/>
                <w:b/>
                <w:color w:val="000000"/>
              </w:rPr>
              <w:t xml:space="preserve">Digitization of the campaign: </w:t>
            </w:r>
            <w:r w:rsidRPr="00F77DA8">
              <w:rPr>
                <w:rFonts w:eastAsia="Arial" w:cstheme="minorHAnsi"/>
                <w:color w:val="000000"/>
              </w:rPr>
              <w:t>Budget is included under RSSH per modular framework guidance, with investment in digitalization of the campaign proposed to be cost-shared through other donors (i.e. hardware, trainings, and other core operational costs), with technical support from partners. An integrated approach will be taken to use a common platform to digitize all malaria campaigns, with possible expansion in future to other health campaigns (NTDs, PAV) pending good results.</w:t>
            </w:r>
          </w:p>
          <w:p w14:paraId="0A962EB5" w14:textId="77777777" w:rsidR="008B729A" w:rsidRDefault="008B729A" w:rsidP="00021BDE">
            <w:pPr>
              <w:pBdr>
                <w:top w:val="nil"/>
                <w:left w:val="nil"/>
                <w:bottom w:val="nil"/>
                <w:right w:val="nil"/>
                <w:between w:val="nil"/>
              </w:pBdr>
              <w:shd w:val="clear" w:color="auto" w:fill="FFFFFF"/>
              <w:spacing w:afterLines="40" w:after="96" w:line="240" w:lineRule="auto"/>
              <w:rPr>
                <w:rFonts w:eastAsia="Arial" w:cstheme="minorHAnsi"/>
                <w:bCs/>
                <w:color w:val="000000"/>
              </w:rPr>
            </w:pPr>
            <w:r>
              <w:rPr>
                <w:rFonts w:eastAsia="Arial" w:cstheme="minorHAnsi"/>
                <w:b/>
                <w:color w:val="000000"/>
              </w:rPr>
              <w:t xml:space="preserve">PAAR: </w:t>
            </w:r>
            <w:r>
              <w:rPr>
                <w:rFonts w:eastAsia="Arial" w:cstheme="minorHAnsi"/>
                <w:bCs/>
                <w:color w:val="000000"/>
              </w:rPr>
              <w:t>Due to budget constraints at the time of funding request submission, two ITN-related items have been included in PAAR – at different levels of priority:</w:t>
            </w:r>
          </w:p>
          <w:p w14:paraId="3E8A894E" w14:textId="77777777" w:rsidR="008B729A" w:rsidRPr="00612489" w:rsidRDefault="008B729A" w:rsidP="00021BDE">
            <w:pPr>
              <w:pStyle w:val="ListParagraph"/>
              <w:numPr>
                <w:ilvl w:val="0"/>
                <w:numId w:val="60"/>
              </w:numPr>
              <w:pBdr>
                <w:top w:val="nil"/>
                <w:left w:val="nil"/>
                <w:bottom w:val="nil"/>
                <w:right w:val="nil"/>
                <w:between w:val="nil"/>
              </w:pBdr>
              <w:shd w:val="clear" w:color="auto" w:fill="FFFFFF"/>
              <w:spacing w:afterLines="40" w:after="96" w:line="240" w:lineRule="auto"/>
              <w:rPr>
                <w:rFonts w:eastAsia="Arial" w:cstheme="minorHAnsi"/>
                <w:bCs/>
                <w:color w:val="000000"/>
              </w:rPr>
            </w:pPr>
            <w:r w:rsidRPr="00E96B10">
              <w:rPr>
                <w:rFonts w:eastAsia="Arial" w:cstheme="minorHAnsi"/>
                <w:bCs/>
                <w:color w:val="000000"/>
                <w:u w:val="single"/>
              </w:rPr>
              <w:t>“Essential” priority level ITNs</w:t>
            </w:r>
            <w:r>
              <w:rPr>
                <w:rFonts w:eastAsia="Arial" w:cstheme="minorHAnsi"/>
                <w:bCs/>
                <w:color w:val="000000"/>
              </w:rPr>
              <w:t xml:space="preserve"> – </w:t>
            </w:r>
            <w:r w:rsidRPr="00FD38AA">
              <w:rPr>
                <w:rFonts w:eastAsia="Arial" w:cstheme="minorHAnsi"/>
                <w:bCs/>
                <w:color w:val="000000"/>
              </w:rPr>
              <w:t>the ITN quantification utilized data from the past 3 campaigns to analyze variance from official INE population projections, to ensure challenges with under-quantification were solved. Unfortunately budget constraints forced this variance amount into PAAR</w:t>
            </w:r>
            <w:r>
              <w:rPr>
                <w:rFonts w:eastAsia="Arial" w:cstheme="minorHAnsi"/>
                <w:bCs/>
                <w:color w:val="000000"/>
              </w:rPr>
              <w:t xml:space="preserve">, with quantification based on INE projections in the main allocation. This gap </w:t>
            </w:r>
            <w:r w:rsidRPr="00FD38AA">
              <w:rPr>
                <w:rFonts w:eastAsia="Arial" w:cstheme="minorHAnsi"/>
                <w:bCs/>
                <w:color w:val="000000"/>
                <w:u w:val="single"/>
              </w:rPr>
              <w:t>must</w:t>
            </w:r>
            <w:r w:rsidRPr="00FD38AA">
              <w:rPr>
                <w:rFonts w:eastAsia="Arial" w:cstheme="minorHAnsi"/>
                <w:bCs/>
                <w:color w:val="000000"/>
              </w:rPr>
              <w:t xml:space="preserve"> be filled prior to 2025/26 distribution to ensure high coverage in highest-risk areas</w:t>
            </w:r>
            <w:r>
              <w:rPr>
                <w:rFonts w:eastAsia="Arial" w:cstheme="minorHAnsi"/>
                <w:bCs/>
                <w:color w:val="000000"/>
              </w:rPr>
              <w:t xml:space="preserve">, and will be the subject of intense resource mobilization – but </w:t>
            </w:r>
            <w:r w:rsidRPr="00127F33">
              <w:rPr>
                <w:rFonts w:eastAsia="Arial" w:cstheme="minorHAnsi"/>
                <w:bCs/>
                <w:color w:val="000000"/>
              </w:rPr>
              <w:t xml:space="preserve">if those efforts are unsuccessful will revert to discussion with GF as the highest priority gap. Needs for 2025/26 equal </w:t>
            </w:r>
            <w:r>
              <w:rPr>
                <w:rFonts w:eastAsia="Arial" w:cstheme="minorHAnsi"/>
                <w:b/>
                <w:color w:val="000000"/>
              </w:rPr>
              <w:t>2</w:t>
            </w:r>
            <w:r w:rsidRPr="00127F33">
              <w:rPr>
                <w:rFonts w:eastAsia="Arial" w:cstheme="minorHAnsi"/>
                <w:b/>
                <w:color w:val="000000"/>
              </w:rPr>
              <w:t>,</w:t>
            </w:r>
            <w:r>
              <w:rPr>
                <w:rFonts w:eastAsia="Arial" w:cstheme="minorHAnsi"/>
                <w:b/>
                <w:color w:val="000000"/>
              </w:rPr>
              <w:t>982</w:t>
            </w:r>
            <w:r w:rsidRPr="00127F33">
              <w:rPr>
                <w:rFonts w:eastAsia="Arial" w:cstheme="minorHAnsi"/>
                <w:b/>
                <w:color w:val="000000"/>
              </w:rPr>
              <w:t>,</w:t>
            </w:r>
            <w:r>
              <w:rPr>
                <w:rFonts w:eastAsia="Arial" w:cstheme="minorHAnsi"/>
                <w:b/>
                <w:color w:val="000000"/>
              </w:rPr>
              <w:t>894</w:t>
            </w:r>
            <w:r w:rsidRPr="00127F33">
              <w:rPr>
                <w:rFonts w:eastAsia="Arial" w:cstheme="minorHAnsi"/>
                <w:b/>
                <w:color w:val="000000"/>
              </w:rPr>
              <w:t xml:space="preserve"> ITNs</w:t>
            </w:r>
            <w:r w:rsidRPr="00127F33">
              <w:rPr>
                <w:rFonts w:eastAsia="Arial" w:cstheme="minorHAnsi"/>
                <w:bCs/>
                <w:color w:val="000000"/>
              </w:rPr>
              <w:t xml:space="preserve"> at a cost of </w:t>
            </w:r>
            <w:r w:rsidRPr="00127F33">
              <w:rPr>
                <w:rFonts w:eastAsia="Arial" w:cstheme="minorHAnsi"/>
                <w:b/>
                <w:color w:val="000000"/>
              </w:rPr>
              <w:t>$15,</w:t>
            </w:r>
            <w:r>
              <w:rPr>
                <w:rFonts w:eastAsia="Arial" w:cstheme="minorHAnsi"/>
                <w:b/>
                <w:color w:val="000000"/>
              </w:rPr>
              <w:t>279</w:t>
            </w:r>
            <w:r w:rsidRPr="00127F33">
              <w:rPr>
                <w:rFonts w:eastAsia="Arial" w:cstheme="minorHAnsi"/>
                <w:b/>
                <w:color w:val="000000"/>
              </w:rPr>
              <w:t>,</w:t>
            </w:r>
            <w:r>
              <w:rPr>
                <w:rFonts w:eastAsia="Arial" w:cstheme="minorHAnsi"/>
                <w:b/>
                <w:color w:val="000000"/>
              </w:rPr>
              <w:t>810</w:t>
            </w:r>
            <w:r w:rsidRPr="00127F33">
              <w:rPr>
                <w:rFonts w:eastAsia="Arial" w:cstheme="minorHAnsi"/>
                <w:b/>
                <w:color w:val="000000"/>
              </w:rPr>
              <w:t>.</w:t>
            </w:r>
          </w:p>
          <w:p w14:paraId="09E49789" w14:textId="02FEFAD8" w:rsidR="008B729A" w:rsidRPr="00365D5A" w:rsidRDefault="008B729A" w:rsidP="00021BDE">
            <w:pPr>
              <w:pStyle w:val="ListParagraph"/>
              <w:numPr>
                <w:ilvl w:val="0"/>
                <w:numId w:val="60"/>
              </w:numPr>
              <w:pBdr>
                <w:top w:val="nil"/>
                <w:left w:val="nil"/>
                <w:bottom w:val="nil"/>
                <w:right w:val="nil"/>
                <w:between w:val="nil"/>
              </w:pBdr>
              <w:shd w:val="clear" w:color="auto" w:fill="FFFFFF"/>
              <w:spacing w:afterLines="40" w:after="96" w:line="240" w:lineRule="auto"/>
              <w:rPr>
                <w:rFonts w:eastAsia="Arial" w:cstheme="minorHAnsi"/>
                <w:bCs/>
                <w:color w:val="000000"/>
              </w:rPr>
            </w:pPr>
            <w:r w:rsidRPr="00612489">
              <w:rPr>
                <w:rFonts w:eastAsia="Arial" w:cstheme="minorHAnsi"/>
                <w:bCs/>
                <w:color w:val="000000"/>
                <w:u w:val="single"/>
              </w:rPr>
              <w:t>Provincial capital ITNs (“Moderate” priority level)</w:t>
            </w:r>
            <w:r w:rsidRPr="00612489">
              <w:rPr>
                <w:rFonts w:eastAsia="Arial" w:cstheme="minorHAnsi"/>
                <w:bCs/>
                <w:color w:val="000000"/>
              </w:rPr>
              <w:t xml:space="preserve"> - As described later, the intervention stratification identified ITNs for provincial capitals as a relatively lower priority than other preventive measures – except for the city of Pemba given the high quantity of IDPs. Given funding constraints a targeted ITN distribution to certain portions of these capitals has been placed in PAAR. This lower priority is supported by </w:t>
            </w:r>
            <w:hyperlink r:id="rId26" w:history="1">
              <w:r w:rsidRPr="00612489">
                <w:rPr>
                  <w:rStyle w:val="Hyperlink"/>
                  <w:rFonts w:eastAsia="Arial" w:cstheme="minorHAnsi"/>
                  <w:bCs/>
                </w:rPr>
                <w:t>WHO Global framework for the response to malaria in urban areas</w:t>
              </w:r>
            </w:hyperlink>
            <w:r w:rsidRPr="00612489">
              <w:rPr>
                <w:rFonts w:eastAsia="Arial" w:cstheme="minorHAnsi"/>
                <w:bCs/>
                <w:color w:val="000000"/>
              </w:rPr>
              <w:t xml:space="preserve">, as well as the </w:t>
            </w:r>
            <w:hyperlink r:id="rId27" w:history="1">
              <w:r w:rsidRPr="00612489">
                <w:rPr>
                  <w:rStyle w:val="Hyperlink"/>
                  <w:rFonts w:eastAsia="Arial" w:cstheme="minorHAnsi"/>
                  <w:bCs/>
                </w:rPr>
                <w:t>WHO Guidance on the prioritization of insecticide-treated nets in situations where resources are limited</w:t>
              </w:r>
            </w:hyperlink>
            <w:r w:rsidRPr="00612489">
              <w:rPr>
                <w:rFonts w:eastAsia="Arial" w:cstheme="minorHAnsi"/>
                <w:bCs/>
                <w:color w:val="000000"/>
              </w:rPr>
              <w:t xml:space="preserve">. Total needs for 2025/26 equal </w:t>
            </w:r>
            <w:r w:rsidRPr="00612489">
              <w:rPr>
                <w:rFonts w:eastAsia="Arial" w:cstheme="minorHAnsi"/>
                <w:b/>
                <w:color w:val="000000"/>
              </w:rPr>
              <w:t xml:space="preserve">993,021 ITNs </w:t>
            </w:r>
            <w:r w:rsidRPr="00612489">
              <w:rPr>
                <w:rFonts w:eastAsia="Arial" w:cstheme="minorHAnsi"/>
                <w:bCs/>
                <w:color w:val="000000"/>
              </w:rPr>
              <w:t xml:space="preserve">at a cost of </w:t>
            </w:r>
            <w:r w:rsidRPr="00612489">
              <w:rPr>
                <w:rFonts w:eastAsia="Arial" w:cstheme="minorHAnsi"/>
                <w:b/>
                <w:color w:val="000000"/>
              </w:rPr>
              <w:t>$5,092,944.</w:t>
            </w:r>
          </w:p>
        </w:tc>
      </w:tr>
      <w:tr w:rsidR="008B729A" w:rsidRPr="006A437D" w14:paraId="06E6D36D" w14:textId="77777777" w:rsidTr="00021BDE">
        <w:tc>
          <w:tcPr>
            <w:tcW w:w="2580" w:type="dxa"/>
            <w:vMerge w:val="restart"/>
          </w:tcPr>
          <w:p w14:paraId="1736512C" w14:textId="77777777" w:rsidR="008B729A" w:rsidRDefault="008B729A" w:rsidP="00021BDE">
            <w:pPr>
              <w:pBdr>
                <w:top w:val="nil"/>
                <w:left w:val="nil"/>
                <w:bottom w:val="nil"/>
                <w:right w:val="nil"/>
                <w:between w:val="nil"/>
              </w:pBdr>
              <w:spacing w:afterLines="40" w:after="96" w:line="264" w:lineRule="auto"/>
              <w:rPr>
                <w:rFonts w:eastAsia="Arial" w:cstheme="minorHAnsi"/>
                <w:b/>
                <w:bCs/>
                <w:color w:val="000000"/>
              </w:rPr>
            </w:pPr>
          </w:p>
        </w:tc>
        <w:tc>
          <w:tcPr>
            <w:tcW w:w="12585" w:type="dxa"/>
          </w:tcPr>
          <w:p w14:paraId="19D4C055"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color w:val="000000"/>
              </w:rPr>
            </w:pPr>
            <w:r w:rsidRPr="006A437D">
              <w:rPr>
                <w:rFonts w:eastAsia="Arial" w:cstheme="minorHAnsi"/>
                <w:b/>
                <w:color w:val="000000"/>
              </w:rPr>
              <w:t xml:space="preserve">Intervention: </w:t>
            </w:r>
            <w:r w:rsidRPr="006A437D">
              <w:rPr>
                <w:rFonts w:eastAsia="Arial" w:cstheme="minorHAnsi"/>
                <w:color w:val="000000"/>
              </w:rPr>
              <w:t>Insecticide treated nets (ITNs) - continuous distribution: ANC</w:t>
            </w:r>
          </w:p>
          <w:p w14:paraId="11E32AF7" w14:textId="77777777" w:rsidR="008B729A" w:rsidRPr="00127F33" w:rsidRDefault="008B729A" w:rsidP="00021BDE">
            <w:pPr>
              <w:spacing w:afterLines="40" w:after="96" w:line="264" w:lineRule="auto"/>
              <w:rPr>
                <w:rFonts w:eastAsia="Arial" w:cstheme="minorHAnsi"/>
                <w:color w:val="000000"/>
              </w:rPr>
            </w:pPr>
            <w:r w:rsidRPr="006A437D">
              <w:rPr>
                <w:rFonts w:eastAsia="Arial" w:cstheme="minorHAnsi"/>
                <w:color w:val="000000"/>
              </w:rPr>
              <w:t xml:space="preserve">Key </w:t>
            </w:r>
            <w:r w:rsidRPr="00127F33">
              <w:rPr>
                <w:rFonts w:eastAsia="Arial" w:cstheme="minorHAnsi"/>
                <w:color w:val="000000"/>
              </w:rPr>
              <w:t>activities under this intervention include:</w:t>
            </w:r>
          </w:p>
          <w:p w14:paraId="52F3EE0B" w14:textId="77777777" w:rsidR="008B729A" w:rsidRPr="00127F33" w:rsidRDefault="008B729A" w:rsidP="00021BDE">
            <w:pPr>
              <w:numPr>
                <w:ilvl w:val="0"/>
                <w:numId w:val="34"/>
              </w:numPr>
              <w:shd w:val="clear" w:color="auto" w:fill="FFFFFF"/>
              <w:spacing w:afterLines="40" w:after="96" w:line="240" w:lineRule="auto"/>
              <w:rPr>
                <w:rFonts w:eastAsia="Arial" w:cstheme="minorHAnsi"/>
                <w:color w:val="000000"/>
              </w:rPr>
            </w:pPr>
            <w:r w:rsidRPr="00127F33">
              <w:rPr>
                <w:rFonts w:eastAsia="Arial" w:cstheme="minorHAnsi"/>
                <w:color w:val="000000"/>
              </w:rPr>
              <w:t xml:space="preserve">A total of </w:t>
            </w:r>
            <w:r w:rsidRPr="00127F33">
              <w:rPr>
                <w:rFonts w:eastAsia="Arial" w:cstheme="minorHAnsi"/>
                <w:b/>
                <w:bCs/>
                <w:color w:val="000000"/>
              </w:rPr>
              <w:t>5,49</w:t>
            </w:r>
            <w:r>
              <w:rPr>
                <w:rFonts w:eastAsia="Arial" w:cstheme="minorHAnsi"/>
                <w:b/>
                <w:bCs/>
                <w:color w:val="000000"/>
              </w:rPr>
              <w:t>1</w:t>
            </w:r>
            <w:r w:rsidRPr="00127F33">
              <w:rPr>
                <w:rFonts w:eastAsia="Arial" w:cstheme="minorHAnsi"/>
                <w:b/>
                <w:bCs/>
                <w:color w:val="000000"/>
              </w:rPr>
              <w:t>,</w:t>
            </w:r>
            <w:r>
              <w:rPr>
                <w:rFonts w:eastAsia="Arial" w:cstheme="minorHAnsi"/>
                <w:b/>
                <w:bCs/>
                <w:color w:val="000000"/>
              </w:rPr>
              <w:t>982</w:t>
            </w:r>
            <w:r w:rsidRPr="00127F33">
              <w:rPr>
                <w:rFonts w:eastAsia="Arial" w:cstheme="minorHAnsi"/>
                <w:color w:val="000000"/>
              </w:rPr>
              <w:t xml:space="preserve"> ITNs will be procured for ANC distribution across the country over the grant period at a total 3-year cost of </w:t>
            </w:r>
            <w:r w:rsidRPr="00127F33">
              <w:rPr>
                <w:rFonts w:eastAsia="Arial" w:cstheme="minorHAnsi"/>
                <w:b/>
                <w:bCs/>
                <w:color w:val="000000"/>
              </w:rPr>
              <w:t>$21,2</w:t>
            </w:r>
            <w:r>
              <w:rPr>
                <w:rFonts w:eastAsia="Arial" w:cstheme="minorHAnsi"/>
                <w:b/>
                <w:bCs/>
                <w:color w:val="000000"/>
              </w:rPr>
              <w:t>53</w:t>
            </w:r>
            <w:r w:rsidRPr="00127F33">
              <w:rPr>
                <w:rFonts w:eastAsia="Arial" w:cstheme="minorHAnsi"/>
                <w:b/>
                <w:bCs/>
                <w:color w:val="000000"/>
              </w:rPr>
              <w:t>,</w:t>
            </w:r>
            <w:r>
              <w:rPr>
                <w:rFonts w:eastAsia="Arial" w:cstheme="minorHAnsi"/>
                <w:b/>
                <w:bCs/>
                <w:color w:val="000000"/>
              </w:rPr>
              <w:t>970</w:t>
            </w:r>
            <w:r w:rsidRPr="00127F33">
              <w:rPr>
                <w:rFonts w:eastAsia="Arial" w:cstheme="minorHAnsi"/>
                <w:color w:val="000000"/>
              </w:rPr>
              <w:t xml:space="preserve">. </w:t>
            </w:r>
          </w:p>
          <w:p w14:paraId="72FFEB31" w14:textId="77777777" w:rsidR="008B729A" w:rsidRDefault="008B729A" w:rsidP="00021BDE">
            <w:pPr>
              <w:numPr>
                <w:ilvl w:val="0"/>
                <w:numId w:val="34"/>
              </w:numPr>
              <w:shd w:val="clear" w:color="auto" w:fill="FFFFFF"/>
              <w:spacing w:afterLines="40" w:after="96" w:line="240" w:lineRule="auto"/>
              <w:rPr>
                <w:rFonts w:eastAsia="Arial" w:cstheme="minorHAnsi"/>
                <w:color w:val="000000"/>
              </w:rPr>
            </w:pPr>
            <w:r w:rsidRPr="00127F33">
              <w:rPr>
                <w:rFonts w:eastAsia="Arial" w:cstheme="minorHAnsi"/>
                <w:color w:val="000000"/>
              </w:rPr>
              <w:t>All supply chain-related transportation and distribution costs will be covered by the government through the NMCP’s collaboration with the Maternal and Child</w:t>
            </w:r>
            <w:r w:rsidRPr="006A437D">
              <w:rPr>
                <w:rFonts w:eastAsia="Arial" w:cstheme="minorHAnsi"/>
                <w:color w:val="000000"/>
              </w:rPr>
              <w:t xml:space="preserve"> Health Department. </w:t>
            </w:r>
          </w:p>
          <w:p w14:paraId="5EEEB6C7" w14:textId="77777777" w:rsidR="008B729A" w:rsidRPr="00A501D5" w:rsidRDefault="008B729A" w:rsidP="00021BDE">
            <w:pPr>
              <w:numPr>
                <w:ilvl w:val="0"/>
                <w:numId w:val="34"/>
              </w:numPr>
              <w:shd w:val="clear" w:color="auto" w:fill="FFFFFF"/>
              <w:spacing w:afterLines="40" w:after="96" w:line="240" w:lineRule="auto"/>
              <w:rPr>
                <w:rFonts w:eastAsia="Arial" w:cstheme="minorHAnsi"/>
                <w:color w:val="000000"/>
              </w:rPr>
            </w:pPr>
            <w:r w:rsidRPr="00A501D5">
              <w:rPr>
                <w:rFonts w:eastAsia="Arial" w:cstheme="minorHAnsi"/>
                <w:b/>
                <w:bCs/>
                <w:color w:val="000000"/>
              </w:rPr>
              <w:t>ITN type</w:t>
            </w:r>
            <w:r w:rsidRPr="00A501D5">
              <w:rPr>
                <w:rFonts w:eastAsia="Arial" w:cstheme="minorHAnsi"/>
                <w:color w:val="000000"/>
              </w:rPr>
              <w:t>: ITNs procured for ANC distribution will match those distributed through mass campaigns in each province, with plans for all nets to be dual-AI ITNs unless global supply constraints dictate the need to procure PBO ITNs.</w:t>
            </w:r>
          </w:p>
        </w:tc>
      </w:tr>
      <w:tr w:rsidR="008B729A" w:rsidRPr="006A437D" w14:paraId="14E55E39" w14:textId="77777777" w:rsidTr="00021BDE">
        <w:tc>
          <w:tcPr>
            <w:tcW w:w="2580" w:type="dxa"/>
            <w:vMerge/>
          </w:tcPr>
          <w:p w14:paraId="6049BBFC" w14:textId="77777777" w:rsidR="008B729A" w:rsidRDefault="008B729A" w:rsidP="00021BDE">
            <w:pPr>
              <w:pBdr>
                <w:top w:val="nil"/>
                <w:left w:val="nil"/>
                <w:bottom w:val="nil"/>
                <w:right w:val="nil"/>
                <w:between w:val="nil"/>
              </w:pBdr>
              <w:spacing w:afterLines="40" w:after="96" w:line="264" w:lineRule="auto"/>
              <w:rPr>
                <w:rFonts w:eastAsia="Arial" w:cstheme="minorHAnsi"/>
                <w:b/>
                <w:bCs/>
                <w:color w:val="000000"/>
              </w:rPr>
            </w:pPr>
          </w:p>
        </w:tc>
        <w:tc>
          <w:tcPr>
            <w:tcW w:w="12585" w:type="dxa"/>
          </w:tcPr>
          <w:p w14:paraId="07BDA604"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color w:val="000000"/>
              </w:rPr>
            </w:pPr>
            <w:r w:rsidRPr="006A437D">
              <w:rPr>
                <w:rFonts w:eastAsia="Arial" w:cstheme="minorHAnsi"/>
                <w:b/>
                <w:color w:val="000000"/>
              </w:rPr>
              <w:t xml:space="preserve">Intervention: </w:t>
            </w:r>
            <w:r w:rsidRPr="006A437D">
              <w:rPr>
                <w:rFonts w:eastAsia="Arial" w:cstheme="minorHAnsi"/>
                <w:color w:val="000000"/>
              </w:rPr>
              <w:t>Indoor residual spraying (IRS)</w:t>
            </w:r>
          </w:p>
          <w:p w14:paraId="11969769" w14:textId="77777777" w:rsidR="008B729A" w:rsidRPr="006A437D" w:rsidRDefault="008B729A" w:rsidP="00021BDE">
            <w:pPr>
              <w:spacing w:afterLines="40" w:after="96" w:line="264" w:lineRule="auto"/>
              <w:rPr>
                <w:rFonts w:eastAsia="Arial" w:cstheme="minorHAnsi"/>
                <w:color w:val="000000"/>
              </w:rPr>
            </w:pPr>
            <w:r>
              <w:rPr>
                <w:rFonts w:eastAsia="Arial" w:cstheme="minorHAnsi"/>
                <w:b/>
                <w:bCs/>
                <w:color w:val="000000"/>
              </w:rPr>
              <w:t xml:space="preserve">PAAR: </w:t>
            </w:r>
            <w:r>
              <w:rPr>
                <w:rFonts w:eastAsia="Arial" w:cstheme="minorHAnsi"/>
                <w:color w:val="000000"/>
              </w:rPr>
              <w:t xml:space="preserve">Due to budgetary constraints, the full cost of this current activity was deprioritized to PAAR. </w:t>
            </w:r>
            <w:r w:rsidRPr="006A437D">
              <w:rPr>
                <w:rFonts w:eastAsia="Arial" w:cstheme="minorHAnsi"/>
                <w:color w:val="000000"/>
              </w:rPr>
              <w:t xml:space="preserve">Key activities under this intervention </w:t>
            </w:r>
            <w:r>
              <w:rPr>
                <w:rFonts w:eastAsia="Arial" w:cstheme="minorHAnsi"/>
                <w:color w:val="000000"/>
              </w:rPr>
              <w:t xml:space="preserve">in PAAR </w:t>
            </w:r>
            <w:r w:rsidRPr="006A437D">
              <w:rPr>
                <w:rFonts w:eastAsia="Arial" w:cstheme="minorHAnsi"/>
                <w:color w:val="000000"/>
              </w:rPr>
              <w:t>include:</w:t>
            </w:r>
          </w:p>
          <w:p w14:paraId="593B5436" w14:textId="77777777" w:rsidR="008B729A" w:rsidRDefault="008B729A" w:rsidP="00021BDE">
            <w:pPr>
              <w:numPr>
                <w:ilvl w:val="0"/>
                <w:numId w:val="30"/>
              </w:numPr>
              <w:shd w:val="clear" w:color="auto" w:fill="FFFFFF"/>
              <w:spacing w:afterLines="40" w:after="96" w:line="240" w:lineRule="auto"/>
              <w:rPr>
                <w:rFonts w:eastAsia="ArialMT" w:cstheme="minorHAnsi"/>
                <w:color w:val="000000"/>
              </w:rPr>
            </w:pPr>
            <w:r w:rsidRPr="006C47C8">
              <w:rPr>
                <w:rFonts w:eastAsia="ArialMT" w:cstheme="minorHAnsi"/>
                <w:color w:val="000000"/>
              </w:rPr>
              <w:t xml:space="preserve">Within this funding request, the full cost of IRS insecticide for the currently targeted districts in Nampula and Zambezia has been placed in PAAR.  Operational costs for IRS in these provinces, including IEC/BCC to drive uptake, have traditionally been covered by PMI and the Government of Mozambique. </w:t>
            </w:r>
          </w:p>
          <w:p w14:paraId="541A76E1" w14:textId="77777777" w:rsidR="008B729A" w:rsidRDefault="008B729A" w:rsidP="00021BDE">
            <w:pPr>
              <w:numPr>
                <w:ilvl w:val="0"/>
                <w:numId w:val="30"/>
              </w:numPr>
              <w:shd w:val="clear" w:color="auto" w:fill="FFFFFF"/>
              <w:spacing w:afterLines="40" w:after="96" w:line="240" w:lineRule="auto"/>
              <w:rPr>
                <w:rFonts w:eastAsia="ArialMT" w:cstheme="minorHAnsi"/>
                <w:color w:val="000000"/>
              </w:rPr>
            </w:pPr>
            <w:r>
              <w:rPr>
                <w:rFonts w:eastAsia="ArialMT" w:cstheme="minorHAnsi"/>
                <w:color w:val="000000"/>
              </w:rPr>
              <w:t>The NMCP recognizes the risks of scaling back IRS from districts, such as those experienced in Uganda</w:t>
            </w:r>
            <w:r>
              <w:rPr>
                <w:rStyle w:val="FootnoteReference"/>
                <w:rFonts w:eastAsia="ArialMT" w:cstheme="minorHAnsi"/>
                <w:color w:val="000000"/>
              </w:rPr>
              <w:footnoteReference w:id="4"/>
            </w:r>
            <w:r>
              <w:rPr>
                <w:rFonts w:eastAsia="ArialMT" w:cstheme="minorHAnsi"/>
                <w:color w:val="000000"/>
              </w:rPr>
              <w:t xml:space="preserve">, particularly with the immediate speed indicated here. It hopes that with strong coverage of dual-AI ITNs it will be possible to manage these risks. If this necessity comes to pass, a robust study (perhaps an adaption of the valuable </w:t>
            </w:r>
            <w:r w:rsidRPr="00385CE5">
              <w:rPr>
                <w:rFonts w:eastAsia="ArialMT" w:cstheme="minorHAnsi"/>
                <w:color w:val="000000"/>
              </w:rPr>
              <w:t xml:space="preserve">Mopeia </w:t>
            </w:r>
            <w:r>
              <w:rPr>
                <w:rFonts w:eastAsia="ArialMT" w:cstheme="minorHAnsi"/>
                <w:color w:val="000000"/>
              </w:rPr>
              <w:t xml:space="preserve">IRS incremental effectiveness </w:t>
            </w:r>
            <w:r w:rsidRPr="00385CE5">
              <w:rPr>
                <w:rFonts w:eastAsia="ArialMT" w:cstheme="minorHAnsi"/>
                <w:color w:val="000000"/>
              </w:rPr>
              <w:t>study</w:t>
            </w:r>
            <w:r>
              <w:rPr>
                <w:rStyle w:val="FootnoteReference"/>
                <w:rFonts w:eastAsia="ArialMT" w:cstheme="minorHAnsi"/>
                <w:color w:val="000000"/>
              </w:rPr>
              <w:footnoteReference w:id="5"/>
            </w:r>
            <w:r>
              <w:rPr>
                <w:rFonts w:eastAsia="ArialMT" w:cstheme="minorHAnsi"/>
                <w:color w:val="000000"/>
              </w:rPr>
              <w:t>) will be designed to closely monitor the results, serving both as vigilance against resurgence as well as providing new evidence of the effects of such withdrawal.</w:t>
            </w:r>
          </w:p>
          <w:p w14:paraId="164F78B9" w14:textId="77777777" w:rsidR="008B729A" w:rsidRDefault="008B729A" w:rsidP="00021BDE">
            <w:pPr>
              <w:numPr>
                <w:ilvl w:val="0"/>
                <w:numId w:val="30"/>
              </w:numPr>
              <w:shd w:val="clear" w:color="auto" w:fill="FFFFFF"/>
              <w:spacing w:afterLines="40" w:after="96" w:line="240" w:lineRule="auto"/>
              <w:rPr>
                <w:rFonts w:eastAsia="ArialMT" w:cstheme="minorHAnsi"/>
                <w:color w:val="000000"/>
              </w:rPr>
            </w:pPr>
            <w:r w:rsidRPr="009523FE">
              <w:rPr>
                <w:rFonts w:eastAsia="ArialMT" w:cstheme="minorHAnsi"/>
                <w:color w:val="000000"/>
              </w:rPr>
              <w:t>Challenges have been experienced in recent years with securing Government funding for IRS in Nampula Province. While this is hoped to be resolved in future, it is a reality that the NMCP is facing an increasingly constrained fiscal space. As such, if this insecticide gap is unable to be filled and/or there are shortfalls in Government or PMI budgets for operations</w:t>
            </w:r>
            <w:r>
              <w:rPr>
                <w:rFonts w:eastAsia="ArialMT" w:cstheme="minorHAnsi"/>
                <w:color w:val="000000"/>
              </w:rPr>
              <w:t xml:space="preserve"> – IRS will unfortunately be withdrawn from these provinces. </w:t>
            </w:r>
          </w:p>
          <w:p w14:paraId="01D702AA" w14:textId="77777777" w:rsidR="008B729A" w:rsidRDefault="008B729A" w:rsidP="00021BDE">
            <w:pPr>
              <w:numPr>
                <w:ilvl w:val="1"/>
                <w:numId w:val="30"/>
              </w:numPr>
              <w:shd w:val="clear" w:color="auto" w:fill="FFFFFF"/>
              <w:spacing w:afterLines="40" w:after="96" w:line="240" w:lineRule="auto"/>
              <w:rPr>
                <w:rFonts w:eastAsia="ArialMT" w:cstheme="minorHAnsi"/>
                <w:color w:val="000000"/>
              </w:rPr>
            </w:pPr>
            <w:r>
              <w:rPr>
                <w:rFonts w:eastAsia="ArialMT" w:cstheme="minorHAnsi"/>
                <w:color w:val="000000"/>
              </w:rPr>
              <w:t xml:space="preserve">In addition to reducing the insecticide costs in this funding request, this has the additional effect of freeing up PMI resources previously spent on IRS operations in Zambezia – which will be spent on increasing allocation to case management commodities and the operational research mentioned below on vigilant study of the effects of IRS withdrawal. These assumptions are built into this budget. </w:t>
            </w:r>
          </w:p>
          <w:p w14:paraId="308DE2BD" w14:textId="77777777" w:rsidR="008B729A" w:rsidRPr="009523FE" w:rsidRDefault="008B729A" w:rsidP="00021BDE">
            <w:pPr>
              <w:numPr>
                <w:ilvl w:val="0"/>
                <w:numId w:val="30"/>
              </w:numPr>
              <w:shd w:val="clear" w:color="auto" w:fill="FFFFFF"/>
              <w:spacing w:afterLines="40" w:after="96" w:line="240" w:lineRule="auto"/>
              <w:rPr>
                <w:rFonts w:eastAsia="ArialMT" w:cstheme="minorHAnsi"/>
                <w:color w:val="000000"/>
              </w:rPr>
            </w:pPr>
            <w:r>
              <w:rPr>
                <w:rFonts w:eastAsia="ArialMT" w:cstheme="minorHAnsi"/>
                <w:color w:val="000000"/>
              </w:rPr>
              <w:t>Complementing initiatives:</w:t>
            </w:r>
          </w:p>
          <w:p w14:paraId="4E40423B" w14:textId="77777777" w:rsidR="008B729A" w:rsidRPr="006A437D" w:rsidRDefault="008B729A" w:rsidP="00021BDE">
            <w:pPr>
              <w:numPr>
                <w:ilvl w:val="1"/>
                <w:numId w:val="30"/>
              </w:numPr>
              <w:shd w:val="clear" w:color="auto" w:fill="FFFFFF"/>
              <w:spacing w:afterLines="40" w:after="96" w:line="240" w:lineRule="auto"/>
              <w:rPr>
                <w:rFonts w:eastAsia="ArialMT" w:cstheme="minorHAnsi"/>
                <w:color w:val="000000"/>
              </w:rPr>
            </w:pPr>
            <w:r>
              <w:rPr>
                <w:rFonts w:eastAsia="ArialMT" w:cstheme="minorHAnsi"/>
                <w:b/>
                <w:bCs/>
                <w:color w:val="000000"/>
              </w:rPr>
              <w:t xml:space="preserve">MOSASWA: </w:t>
            </w:r>
            <w:r w:rsidRPr="006A437D">
              <w:rPr>
                <w:rFonts w:eastAsia="ArialMT" w:cstheme="minorHAnsi"/>
                <w:color w:val="000000"/>
              </w:rPr>
              <w:t xml:space="preserve">Complementary IRS activities, including insecticide procurement, for 22 districts </w:t>
            </w:r>
            <w:r>
              <w:rPr>
                <w:rFonts w:eastAsia="ArialMT" w:cstheme="minorHAnsi"/>
                <w:color w:val="000000"/>
              </w:rPr>
              <w:t>in</w:t>
            </w:r>
            <w:r w:rsidRPr="006A437D">
              <w:rPr>
                <w:rFonts w:eastAsia="ArialMT" w:cstheme="minorHAnsi"/>
                <w:color w:val="000000"/>
              </w:rPr>
              <w:t xml:space="preserve"> Inhambane, Gaza, and Maputo </w:t>
            </w:r>
            <w:r>
              <w:rPr>
                <w:rFonts w:eastAsia="ArialMT" w:cstheme="minorHAnsi"/>
                <w:color w:val="000000"/>
              </w:rPr>
              <w:t>p</w:t>
            </w:r>
            <w:r w:rsidRPr="006A437D">
              <w:rPr>
                <w:rFonts w:eastAsia="ArialMT" w:cstheme="minorHAnsi"/>
                <w:color w:val="000000"/>
              </w:rPr>
              <w:t>rovince</w:t>
            </w:r>
            <w:r>
              <w:rPr>
                <w:rFonts w:eastAsia="ArialMT" w:cstheme="minorHAnsi"/>
                <w:color w:val="000000"/>
              </w:rPr>
              <w:t>s</w:t>
            </w:r>
            <w:r w:rsidRPr="006A437D">
              <w:rPr>
                <w:rFonts w:eastAsia="ArialMT" w:cstheme="minorHAnsi"/>
                <w:color w:val="000000"/>
              </w:rPr>
              <w:t xml:space="preserve"> will continue to be supported by the MOSASWA regional GF grant and the South Africa government, in order to contribute to the regional elimination goals of South Africa, Eswatini, and southern Mozambique. </w:t>
            </w:r>
          </w:p>
          <w:p w14:paraId="1239AC8D" w14:textId="77777777" w:rsidR="008B729A" w:rsidRPr="006A437D" w:rsidRDefault="008B729A" w:rsidP="00021BDE">
            <w:pPr>
              <w:numPr>
                <w:ilvl w:val="1"/>
                <w:numId w:val="30"/>
              </w:numPr>
              <w:shd w:val="clear" w:color="auto" w:fill="FFFFFF"/>
              <w:spacing w:afterLines="40" w:after="96" w:line="240" w:lineRule="auto"/>
              <w:rPr>
                <w:rFonts w:eastAsia="ArialMT" w:cstheme="minorHAnsi"/>
                <w:color w:val="000000"/>
              </w:rPr>
            </w:pPr>
            <w:r>
              <w:rPr>
                <w:rFonts w:eastAsia="ArialMT" w:cstheme="minorHAnsi"/>
                <w:b/>
                <w:bCs/>
                <w:color w:val="000000"/>
              </w:rPr>
              <w:t xml:space="preserve">Emergency funding in Cabo Delgado: </w:t>
            </w:r>
            <w:r w:rsidRPr="006A437D">
              <w:rPr>
                <w:rFonts w:eastAsia="ArialMT" w:cstheme="minorHAnsi"/>
                <w:color w:val="000000"/>
              </w:rPr>
              <w:t>Complementary IRS activities in humanitarian emergencies, such as those implemented by the MENTOR Initiative and funded by the USAID Bureau for Humanitarian Assistance in Cabo Delgado, will continue to be explored as required</w:t>
            </w:r>
            <w:r>
              <w:rPr>
                <w:rFonts w:eastAsia="ArialMT" w:cstheme="minorHAnsi"/>
                <w:color w:val="000000"/>
              </w:rPr>
              <w:t xml:space="preserve"> through those humanitarian channels</w:t>
            </w:r>
            <w:r w:rsidRPr="006A437D">
              <w:rPr>
                <w:rFonts w:eastAsia="ArialMT" w:cstheme="minorHAnsi"/>
                <w:color w:val="000000"/>
              </w:rPr>
              <w:t>.</w:t>
            </w:r>
          </w:p>
          <w:p w14:paraId="499D4BE7" w14:textId="77777777" w:rsidR="008B729A" w:rsidRPr="006A437D" w:rsidRDefault="008B729A" w:rsidP="00021BDE">
            <w:pPr>
              <w:numPr>
                <w:ilvl w:val="1"/>
                <w:numId w:val="30"/>
              </w:numPr>
              <w:shd w:val="clear" w:color="auto" w:fill="FFFFFF"/>
              <w:spacing w:afterLines="40" w:after="96" w:line="240" w:lineRule="auto"/>
              <w:rPr>
                <w:rFonts w:eastAsia="ArialMT" w:cstheme="minorHAnsi"/>
                <w:color w:val="000000"/>
              </w:rPr>
            </w:pPr>
            <w:r w:rsidRPr="006A437D">
              <w:rPr>
                <w:rFonts w:eastAsia="Arial" w:cstheme="minorHAnsi"/>
                <w:b/>
                <w:color w:val="000000"/>
              </w:rPr>
              <w:t xml:space="preserve">Digitization of the campaign: </w:t>
            </w:r>
            <w:r w:rsidRPr="006A437D">
              <w:rPr>
                <w:rFonts w:eastAsia="Arial" w:cstheme="minorHAnsi"/>
                <w:color w:val="000000"/>
              </w:rPr>
              <w:t xml:space="preserve">Budget </w:t>
            </w:r>
            <w:r>
              <w:rPr>
                <w:rFonts w:eastAsia="Arial" w:cstheme="minorHAnsi"/>
                <w:color w:val="000000"/>
              </w:rPr>
              <w:t xml:space="preserve">for campaign digitization </w:t>
            </w:r>
            <w:r w:rsidRPr="006A437D">
              <w:rPr>
                <w:rFonts w:eastAsia="Arial" w:cstheme="minorHAnsi"/>
                <w:color w:val="000000"/>
              </w:rPr>
              <w:t>is included under RSSH per</w:t>
            </w:r>
            <w:r>
              <w:rPr>
                <w:rFonts w:eastAsia="Arial" w:cstheme="minorHAnsi"/>
                <w:color w:val="000000"/>
              </w:rPr>
              <w:t xml:space="preserve"> the</w:t>
            </w:r>
            <w:r w:rsidRPr="006A437D">
              <w:rPr>
                <w:rFonts w:eastAsia="Arial" w:cstheme="minorHAnsi"/>
                <w:color w:val="000000"/>
              </w:rPr>
              <w:t xml:space="preserve"> modular framework guidance, however IRS campaigns will be digitized. An integrated approach will be taken to use a common platform to digitize all malaria campaigns, allowing for resource efficiency (e.g. device re-use) as well as operational improvement through sharing of granular population/household geo-registries</w:t>
            </w:r>
            <w:r>
              <w:rPr>
                <w:rFonts w:eastAsia="Arial" w:cstheme="minorHAnsi"/>
                <w:color w:val="000000"/>
              </w:rPr>
              <w:t xml:space="preserve">. </w:t>
            </w:r>
            <w:r w:rsidRPr="006A437D">
              <w:rPr>
                <w:rFonts w:eastAsia="Arial" w:cstheme="minorHAnsi"/>
                <w:color w:val="000000"/>
              </w:rPr>
              <w:t xml:space="preserve">The 2022/23 ITN campaign is the first to be digitized in this way, utilizing C19RM resources, with IRS and SMC to come onboard in </w:t>
            </w:r>
            <w:r>
              <w:rPr>
                <w:rFonts w:eastAsia="Arial" w:cstheme="minorHAnsi"/>
                <w:color w:val="000000"/>
              </w:rPr>
              <w:t xml:space="preserve">the </w:t>
            </w:r>
            <w:r w:rsidRPr="006A437D">
              <w:rPr>
                <w:rFonts w:eastAsia="Arial" w:cstheme="minorHAnsi"/>
                <w:color w:val="000000"/>
              </w:rPr>
              <w:t xml:space="preserve">future through this investment and complementary partner support.  </w:t>
            </w:r>
          </w:p>
          <w:p w14:paraId="3275BCFA" w14:textId="77777777" w:rsidR="008B729A" w:rsidRPr="006341D5" w:rsidRDefault="008B729A" w:rsidP="00021BDE">
            <w:pPr>
              <w:numPr>
                <w:ilvl w:val="0"/>
                <w:numId w:val="30"/>
              </w:numPr>
              <w:spacing w:afterLines="40" w:after="96" w:line="240" w:lineRule="auto"/>
              <w:rPr>
                <w:rFonts w:eastAsia="Arial" w:cstheme="minorHAnsi"/>
                <w:b/>
                <w:color w:val="000000"/>
              </w:rPr>
            </w:pPr>
            <w:r w:rsidRPr="006A437D">
              <w:rPr>
                <w:rFonts w:eastAsia="Arial" w:cstheme="minorHAnsi"/>
                <w:b/>
                <w:color w:val="000000"/>
              </w:rPr>
              <w:t xml:space="preserve">PAAR: </w:t>
            </w:r>
            <w:r>
              <w:rPr>
                <w:rFonts w:eastAsia="Arial" w:cstheme="minorHAnsi"/>
                <w:bCs/>
                <w:color w:val="000000"/>
              </w:rPr>
              <w:t xml:space="preserve">As described in the “prevention prioritization matrix” in Section 1.2, two IRS-related activities are included in PAAR at different priority levels. </w:t>
            </w:r>
          </w:p>
          <w:p w14:paraId="69DF976A" w14:textId="77777777" w:rsidR="008B729A" w:rsidRDefault="008B729A" w:rsidP="00021BDE">
            <w:pPr>
              <w:numPr>
                <w:ilvl w:val="1"/>
                <w:numId w:val="30"/>
              </w:numPr>
              <w:spacing w:afterLines="40" w:after="96" w:line="240" w:lineRule="auto"/>
              <w:rPr>
                <w:rFonts w:eastAsia="Arial" w:cstheme="minorHAnsi"/>
                <w:b/>
                <w:color w:val="000000"/>
              </w:rPr>
            </w:pPr>
            <w:r>
              <w:rPr>
                <w:rFonts w:eastAsia="Arial" w:cstheme="minorHAnsi"/>
                <w:bCs/>
                <w:color w:val="000000"/>
              </w:rPr>
              <w:t xml:space="preserve">Maintenance of the same scale of IRS in existing 13 high burden districts of Zambezia and Nampula provinces. In particular 2024 is a potentially risky year, considering it will be 2 years post PBO-pyrethroid ITN distribution and prior to the next </w:t>
            </w:r>
            <w:r w:rsidRPr="00127F33">
              <w:rPr>
                <w:rFonts w:eastAsia="Arial" w:cstheme="minorHAnsi"/>
                <w:bCs/>
                <w:color w:val="000000"/>
              </w:rPr>
              <w:t xml:space="preserve">dual-AI ITN distribution, and as such a slower withdrawal is preferrable if funding allows. As described above, due to budget constraints this full amount has been included in PAAR. The total 3-year cost included in PAAR is </w:t>
            </w:r>
            <w:r>
              <w:rPr>
                <w:rFonts w:eastAsia="Arial" w:cstheme="minorHAnsi"/>
                <w:bCs/>
                <w:color w:val="000000"/>
              </w:rPr>
              <w:t>$</w:t>
            </w:r>
            <w:r w:rsidRPr="00475986">
              <w:rPr>
                <w:rFonts w:eastAsia="Arial" w:cstheme="minorHAnsi"/>
                <w:b/>
                <w:color w:val="000000"/>
              </w:rPr>
              <w:t>2</w:t>
            </w:r>
            <w:r>
              <w:rPr>
                <w:rFonts w:eastAsia="Arial" w:cstheme="minorHAnsi"/>
                <w:b/>
                <w:color w:val="000000"/>
              </w:rPr>
              <w:t>3</w:t>
            </w:r>
            <w:r w:rsidRPr="00475986">
              <w:rPr>
                <w:rFonts w:eastAsia="Arial" w:cstheme="minorHAnsi"/>
                <w:b/>
                <w:color w:val="000000"/>
              </w:rPr>
              <w:t>,</w:t>
            </w:r>
            <w:r>
              <w:rPr>
                <w:rFonts w:eastAsia="Arial" w:cstheme="minorHAnsi"/>
                <w:b/>
                <w:color w:val="000000"/>
              </w:rPr>
              <w:t>178</w:t>
            </w:r>
            <w:r w:rsidRPr="00475986">
              <w:rPr>
                <w:rFonts w:eastAsia="Arial" w:cstheme="minorHAnsi"/>
                <w:b/>
                <w:color w:val="000000"/>
              </w:rPr>
              <w:t>,</w:t>
            </w:r>
            <w:r>
              <w:rPr>
                <w:rFonts w:eastAsia="Arial" w:cstheme="minorHAnsi"/>
                <w:b/>
                <w:color w:val="000000"/>
              </w:rPr>
              <w:t>67</w:t>
            </w:r>
            <w:r w:rsidRPr="00475986">
              <w:rPr>
                <w:rFonts w:eastAsia="Arial" w:cstheme="minorHAnsi"/>
                <w:b/>
                <w:color w:val="000000"/>
              </w:rPr>
              <w:t>3.</w:t>
            </w:r>
          </w:p>
          <w:p w14:paraId="41C09A1F" w14:textId="77777777" w:rsidR="008B729A" w:rsidRPr="00A501D5" w:rsidRDefault="008B729A" w:rsidP="00021BDE">
            <w:pPr>
              <w:numPr>
                <w:ilvl w:val="1"/>
                <w:numId w:val="30"/>
              </w:numPr>
              <w:spacing w:afterLines="40" w:after="96" w:line="240" w:lineRule="auto"/>
              <w:rPr>
                <w:rFonts w:eastAsia="Arial" w:cstheme="minorHAnsi"/>
                <w:b/>
                <w:color w:val="000000"/>
              </w:rPr>
            </w:pPr>
            <w:r w:rsidRPr="00A501D5">
              <w:rPr>
                <w:rFonts w:eastAsia="Arial" w:cstheme="minorHAnsi"/>
                <w:color w:val="000000"/>
              </w:rPr>
              <w:t xml:space="preserve">An expansion of IRS to an additional 20 districts is included in PAAR - 6 districts in Zambezia, 4 in Nampula, 4 in Cabo Delgado, 2 in Niassa, 2 in Manica, and 2 in Sofala. This expansion would only be feasible if funding were dramatically increased, and would begin in 2025 at total cost of </w:t>
            </w:r>
            <w:r w:rsidRPr="00A501D5">
              <w:rPr>
                <w:rFonts w:eastAsia="Arial" w:cstheme="minorHAnsi"/>
                <w:b/>
                <w:bCs/>
                <w:color w:val="000000"/>
              </w:rPr>
              <w:t>$28,096,444</w:t>
            </w:r>
            <w:r w:rsidRPr="00A501D5">
              <w:rPr>
                <w:rFonts w:eastAsia="Arial" w:cstheme="minorHAnsi"/>
                <w:color w:val="000000"/>
              </w:rPr>
              <w:t>.</w:t>
            </w:r>
          </w:p>
        </w:tc>
      </w:tr>
      <w:tr w:rsidR="008B729A" w:rsidRPr="006A437D" w14:paraId="4AF06E28" w14:textId="77777777" w:rsidTr="00021BDE">
        <w:tc>
          <w:tcPr>
            <w:tcW w:w="2580" w:type="dxa"/>
            <w:vMerge/>
          </w:tcPr>
          <w:p w14:paraId="3E5C64B5" w14:textId="77777777" w:rsidR="008B729A" w:rsidRDefault="008B729A" w:rsidP="00021BDE">
            <w:pPr>
              <w:pBdr>
                <w:top w:val="nil"/>
                <w:left w:val="nil"/>
                <w:bottom w:val="nil"/>
                <w:right w:val="nil"/>
                <w:between w:val="nil"/>
              </w:pBdr>
              <w:spacing w:afterLines="40" w:after="96" w:line="264" w:lineRule="auto"/>
              <w:rPr>
                <w:rFonts w:eastAsia="Arial" w:cstheme="minorHAnsi"/>
                <w:b/>
                <w:bCs/>
                <w:color w:val="000000"/>
              </w:rPr>
            </w:pPr>
          </w:p>
        </w:tc>
        <w:tc>
          <w:tcPr>
            <w:tcW w:w="12585" w:type="dxa"/>
          </w:tcPr>
          <w:p w14:paraId="79904FD6" w14:textId="77777777" w:rsidR="008B729A" w:rsidRDefault="008B729A" w:rsidP="00021BDE">
            <w:pPr>
              <w:pBdr>
                <w:top w:val="nil"/>
                <w:left w:val="nil"/>
                <w:bottom w:val="nil"/>
                <w:right w:val="nil"/>
                <w:between w:val="nil"/>
              </w:pBdr>
              <w:spacing w:afterLines="40" w:after="96" w:line="264" w:lineRule="auto"/>
              <w:rPr>
                <w:rFonts w:eastAsia="Arial" w:cstheme="minorHAnsi"/>
                <w:color w:val="000000"/>
              </w:rPr>
            </w:pPr>
            <w:r w:rsidRPr="006A437D">
              <w:rPr>
                <w:rFonts w:eastAsia="Arial" w:cstheme="minorHAnsi"/>
                <w:b/>
                <w:color w:val="000000"/>
              </w:rPr>
              <w:t xml:space="preserve">Intervention: </w:t>
            </w:r>
            <w:r w:rsidRPr="006A437D">
              <w:rPr>
                <w:rFonts w:eastAsia="Arial" w:cstheme="minorHAnsi"/>
                <w:color w:val="000000"/>
              </w:rPr>
              <w:t>Entomological monitoring</w:t>
            </w:r>
          </w:p>
          <w:p w14:paraId="3053CE03" w14:textId="77777777" w:rsidR="008B729A" w:rsidRPr="006A437D" w:rsidRDefault="008B729A" w:rsidP="00021BDE">
            <w:pPr>
              <w:spacing w:afterLines="40" w:after="96" w:line="264" w:lineRule="auto"/>
              <w:rPr>
                <w:rFonts w:eastAsia="Arial" w:cstheme="minorHAnsi"/>
                <w:color w:val="000000"/>
              </w:rPr>
            </w:pPr>
            <w:r w:rsidRPr="006A437D">
              <w:rPr>
                <w:rFonts w:eastAsia="Arial" w:cstheme="minorHAnsi"/>
                <w:color w:val="000000"/>
              </w:rPr>
              <w:t>Key activities under this intervention include:</w:t>
            </w:r>
          </w:p>
          <w:p w14:paraId="1A1319F1" w14:textId="77777777" w:rsidR="008B729A" w:rsidRDefault="008B729A" w:rsidP="00021BDE">
            <w:pPr>
              <w:numPr>
                <w:ilvl w:val="0"/>
                <w:numId w:val="31"/>
              </w:numPr>
              <w:pBdr>
                <w:top w:val="nil"/>
                <w:left w:val="nil"/>
                <w:bottom w:val="nil"/>
                <w:right w:val="nil"/>
                <w:between w:val="nil"/>
              </w:pBdr>
              <w:shd w:val="clear" w:color="auto" w:fill="FFFFFF"/>
              <w:spacing w:after="0" w:line="240" w:lineRule="auto"/>
              <w:rPr>
                <w:rFonts w:eastAsia="Arial" w:cstheme="minorHAnsi"/>
                <w:color w:val="000000"/>
              </w:rPr>
            </w:pPr>
            <w:r w:rsidRPr="006A437D">
              <w:rPr>
                <w:rFonts w:eastAsia="Arial" w:cstheme="minorHAnsi"/>
                <w:color w:val="000000"/>
              </w:rPr>
              <w:t xml:space="preserve">Monitoring of vector density and resistance is </w:t>
            </w:r>
            <w:r>
              <w:rPr>
                <w:rFonts w:eastAsia="Arial" w:cstheme="minorHAnsi"/>
                <w:color w:val="000000"/>
              </w:rPr>
              <w:t xml:space="preserve">to </w:t>
            </w:r>
            <w:r w:rsidRPr="006A437D">
              <w:rPr>
                <w:rFonts w:eastAsia="Arial" w:cstheme="minorHAnsi"/>
                <w:color w:val="000000"/>
              </w:rPr>
              <w:t xml:space="preserve">be done in </w:t>
            </w:r>
            <w:r>
              <w:rPr>
                <w:rFonts w:eastAsia="Arial" w:cstheme="minorHAnsi"/>
                <w:color w:val="000000"/>
              </w:rPr>
              <w:t>44</w:t>
            </w:r>
            <w:r w:rsidRPr="006A437D">
              <w:rPr>
                <w:rFonts w:eastAsia="Arial" w:cstheme="minorHAnsi"/>
                <w:color w:val="000000"/>
              </w:rPr>
              <w:t xml:space="preserve"> sentinel sites, with a subset of these sites monitoring vector bionomics</w:t>
            </w:r>
            <w:r>
              <w:rPr>
                <w:rFonts w:eastAsia="Arial" w:cstheme="minorHAnsi"/>
                <w:color w:val="000000"/>
              </w:rPr>
              <w:t>,</w:t>
            </w:r>
            <w:r w:rsidRPr="006A437D">
              <w:rPr>
                <w:rFonts w:eastAsia="Arial" w:cstheme="minorHAnsi"/>
                <w:color w:val="000000"/>
              </w:rPr>
              <w:t xml:space="preserve"> feeding and resting behavior of vector species, and bioassay tests to measure IRS quality. </w:t>
            </w:r>
            <w:r>
              <w:rPr>
                <w:rFonts w:eastAsia="Arial" w:cstheme="minorHAnsi"/>
                <w:color w:val="000000"/>
              </w:rPr>
              <w:t>This requires funding for:</w:t>
            </w:r>
          </w:p>
          <w:p w14:paraId="69D6E5A6" w14:textId="77777777" w:rsidR="008B729A" w:rsidRPr="006A437D" w:rsidRDefault="008B729A" w:rsidP="00021BDE">
            <w:pPr>
              <w:numPr>
                <w:ilvl w:val="1"/>
                <w:numId w:val="31"/>
              </w:numPr>
              <w:pBdr>
                <w:top w:val="nil"/>
                <w:left w:val="nil"/>
                <w:bottom w:val="nil"/>
                <w:right w:val="nil"/>
                <w:between w:val="nil"/>
              </w:pBdr>
              <w:shd w:val="clear" w:color="auto" w:fill="FFFFFF"/>
              <w:spacing w:after="0" w:line="240" w:lineRule="auto"/>
              <w:rPr>
                <w:rFonts w:eastAsia="Arial" w:cstheme="minorHAnsi"/>
                <w:color w:val="000000"/>
              </w:rPr>
            </w:pPr>
            <w:r w:rsidRPr="006A437D">
              <w:rPr>
                <w:rFonts w:eastAsia="Arial" w:cstheme="minorHAnsi"/>
                <w:color w:val="000000"/>
              </w:rPr>
              <w:t>Supply of entomological equipment and consumables to 6 insectaries and 4 entomology laboratories</w:t>
            </w:r>
          </w:p>
          <w:p w14:paraId="74350CDC" w14:textId="77777777" w:rsidR="008B729A" w:rsidRDefault="008B729A" w:rsidP="00021BDE">
            <w:pPr>
              <w:numPr>
                <w:ilvl w:val="1"/>
                <w:numId w:val="31"/>
              </w:numPr>
              <w:pBdr>
                <w:top w:val="nil"/>
                <w:left w:val="nil"/>
                <w:bottom w:val="nil"/>
                <w:right w:val="nil"/>
                <w:between w:val="nil"/>
              </w:pBdr>
              <w:shd w:val="clear" w:color="auto" w:fill="FFFFFF"/>
              <w:spacing w:after="0" w:line="240" w:lineRule="auto"/>
              <w:rPr>
                <w:rFonts w:eastAsia="Arial" w:cstheme="minorHAnsi"/>
                <w:color w:val="000000"/>
              </w:rPr>
            </w:pPr>
            <w:r w:rsidRPr="006A437D">
              <w:rPr>
                <w:rFonts w:eastAsia="Arial" w:cstheme="minorHAnsi"/>
                <w:color w:val="000000"/>
              </w:rPr>
              <w:t>Refresher training of entomology technicians</w:t>
            </w:r>
          </w:p>
          <w:p w14:paraId="323B41EB" w14:textId="77777777" w:rsidR="008B729A" w:rsidRPr="00127F33" w:rsidRDefault="008B729A" w:rsidP="00021BDE">
            <w:pPr>
              <w:numPr>
                <w:ilvl w:val="1"/>
                <w:numId w:val="31"/>
              </w:numPr>
              <w:pBdr>
                <w:top w:val="nil"/>
                <w:left w:val="nil"/>
                <w:bottom w:val="nil"/>
                <w:right w:val="nil"/>
                <w:between w:val="nil"/>
              </w:pBdr>
              <w:shd w:val="clear" w:color="auto" w:fill="FFFFFF"/>
              <w:spacing w:after="0" w:line="240" w:lineRule="auto"/>
              <w:rPr>
                <w:rFonts w:eastAsia="Arial" w:cstheme="minorHAnsi"/>
                <w:color w:val="000000"/>
              </w:rPr>
            </w:pPr>
            <w:r w:rsidRPr="00EB22D5">
              <w:rPr>
                <w:rFonts w:eastAsia="Arial" w:cstheme="minorHAnsi"/>
                <w:color w:val="000000"/>
              </w:rPr>
              <w:t xml:space="preserve">Increased urban entomological surveillance due to the threat of </w:t>
            </w:r>
            <w:r w:rsidRPr="00EB22D5">
              <w:rPr>
                <w:rFonts w:eastAsia="Arial" w:cstheme="minorHAnsi"/>
                <w:i/>
                <w:iCs/>
                <w:color w:val="000000"/>
              </w:rPr>
              <w:t>A. stephensi</w:t>
            </w:r>
            <w:r>
              <w:rPr>
                <w:rFonts w:eastAsia="Arial" w:cstheme="minorHAnsi"/>
                <w:i/>
                <w:iCs/>
                <w:color w:val="000000"/>
              </w:rPr>
              <w:t xml:space="preserve">. </w:t>
            </w:r>
            <w:r>
              <w:rPr>
                <w:rFonts w:eastAsia="Arial" w:cstheme="minorHAnsi"/>
                <w:color w:val="000000"/>
              </w:rPr>
              <w:t xml:space="preserve">A large-scale survey to gather a baseline is planned </w:t>
            </w:r>
            <w:r w:rsidRPr="00127F33">
              <w:rPr>
                <w:rFonts w:eastAsia="Arial" w:cstheme="minorHAnsi"/>
                <w:color w:val="000000"/>
              </w:rPr>
              <w:t>and funded by the E8 Initiative, and this supplement will serve to routinize this surveillance through the grant period in 6 urban sites.</w:t>
            </w:r>
          </w:p>
          <w:p w14:paraId="265CA0BA" w14:textId="77777777" w:rsidR="008B729A" w:rsidRPr="00127F33" w:rsidRDefault="008B729A" w:rsidP="00021BDE">
            <w:pPr>
              <w:numPr>
                <w:ilvl w:val="1"/>
                <w:numId w:val="31"/>
              </w:numPr>
              <w:pBdr>
                <w:top w:val="nil"/>
                <w:left w:val="nil"/>
                <w:bottom w:val="nil"/>
                <w:right w:val="nil"/>
                <w:between w:val="nil"/>
              </w:pBdr>
              <w:shd w:val="clear" w:color="auto" w:fill="FFFFFF"/>
              <w:spacing w:after="0" w:line="240" w:lineRule="auto"/>
              <w:rPr>
                <w:rFonts w:eastAsia="Arial" w:cstheme="minorHAnsi"/>
                <w:color w:val="000000"/>
              </w:rPr>
            </w:pPr>
            <w:r w:rsidRPr="00127F33">
              <w:rPr>
                <w:rFonts w:eastAsia="Arial" w:cstheme="minorHAnsi"/>
                <w:color w:val="000000"/>
              </w:rPr>
              <w:t>Entomological surveillance costs are cost-shared between the country Global Fund grant, PMI, and the MOSASWA regional GF grant.</w:t>
            </w:r>
          </w:p>
          <w:p w14:paraId="4A8EB691" w14:textId="77777777" w:rsidR="008B729A" w:rsidRDefault="008B729A" w:rsidP="00021BDE">
            <w:pPr>
              <w:numPr>
                <w:ilvl w:val="1"/>
                <w:numId w:val="31"/>
              </w:numPr>
              <w:pBdr>
                <w:top w:val="nil"/>
                <w:left w:val="nil"/>
                <w:bottom w:val="nil"/>
                <w:right w:val="nil"/>
                <w:between w:val="nil"/>
              </w:pBdr>
              <w:shd w:val="clear" w:color="auto" w:fill="FFFFFF"/>
              <w:spacing w:afterLines="40" w:after="96" w:line="240" w:lineRule="auto"/>
              <w:rPr>
                <w:rFonts w:eastAsia="Arial" w:cstheme="minorHAnsi"/>
                <w:color w:val="000000"/>
              </w:rPr>
            </w:pPr>
            <w:r w:rsidRPr="00127F33">
              <w:rPr>
                <w:rFonts w:eastAsia="Arial" w:cstheme="minorHAnsi"/>
                <w:color w:val="000000"/>
              </w:rPr>
              <w:t xml:space="preserve">Total 3-year cost = </w:t>
            </w:r>
            <w:r w:rsidRPr="00127F33">
              <w:rPr>
                <w:rFonts w:eastAsia="Arial" w:cstheme="minorHAnsi"/>
                <w:b/>
                <w:bCs/>
                <w:color w:val="000000"/>
              </w:rPr>
              <w:t>$1,596,504</w:t>
            </w:r>
          </w:p>
          <w:p w14:paraId="5FFEBEF4" w14:textId="77777777" w:rsidR="008B729A" w:rsidRPr="00A501D5" w:rsidRDefault="008B729A" w:rsidP="00021BDE">
            <w:pPr>
              <w:numPr>
                <w:ilvl w:val="0"/>
                <w:numId w:val="31"/>
              </w:numPr>
              <w:pBdr>
                <w:top w:val="nil"/>
                <w:left w:val="nil"/>
                <w:bottom w:val="nil"/>
                <w:right w:val="nil"/>
                <w:between w:val="nil"/>
              </w:pBdr>
              <w:shd w:val="clear" w:color="auto" w:fill="FFFFFF"/>
              <w:spacing w:afterLines="40" w:after="96" w:line="240" w:lineRule="auto"/>
              <w:rPr>
                <w:rFonts w:eastAsia="Arial" w:cstheme="minorHAnsi"/>
                <w:color w:val="000000"/>
              </w:rPr>
            </w:pPr>
            <w:r w:rsidRPr="00A501D5">
              <w:rPr>
                <w:rFonts w:eastAsia="Arial" w:cstheme="minorHAnsi"/>
                <w:b/>
                <w:bCs/>
                <w:color w:val="000000"/>
              </w:rPr>
              <w:t xml:space="preserve">PAAR: </w:t>
            </w:r>
            <w:r w:rsidRPr="00A501D5">
              <w:rPr>
                <w:rFonts w:eastAsia="Arial" w:cstheme="minorHAnsi"/>
                <w:color w:val="000000"/>
              </w:rPr>
              <w:t xml:space="preserve">Procurement of additional containers to expand provincial insectaries in 9 provinces are included in PAAR, at a total cost of </w:t>
            </w:r>
            <w:r w:rsidRPr="00A501D5">
              <w:rPr>
                <w:rFonts w:eastAsia="Arial" w:cstheme="minorHAnsi"/>
                <w:b/>
                <w:bCs/>
                <w:color w:val="000000"/>
              </w:rPr>
              <w:t>$659,671.</w:t>
            </w:r>
          </w:p>
        </w:tc>
      </w:tr>
      <w:tr w:rsidR="008B729A" w:rsidRPr="006A437D" w14:paraId="6515AF78" w14:textId="77777777" w:rsidTr="00021BDE">
        <w:tc>
          <w:tcPr>
            <w:tcW w:w="2580" w:type="dxa"/>
            <w:vMerge/>
          </w:tcPr>
          <w:p w14:paraId="04BED45E" w14:textId="77777777" w:rsidR="008B729A" w:rsidRDefault="008B729A" w:rsidP="00021BDE">
            <w:pPr>
              <w:pBdr>
                <w:top w:val="nil"/>
                <w:left w:val="nil"/>
                <w:bottom w:val="nil"/>
                <w:right w:val="nil"/>
                <w:between w:val="nil"/>
              </w:pBdr>
              <w:spacing w:afterLines="40" w:after="96" w:line="264" w:lineRule="auto"/>
              <w:rPr>
                <w:rFonts w:eastAsia="Arial" w:cstheme="minorHAnsi"/>
                <w:b/>
                <w:bCs/>
                <w:color w:val="000000"/>
              </w:rPr>
            </w:pPr>
          </w:p>
        </w:tc>
        <w:tc>
          <w:tcPr>
            <w:tcW w:w="12585" w:type="dxa"/>
          </w:tcPr>
          <w:p w14:paraId="27E5D9D7" w14:textId="77777777" w:rsidR="008B729A" w:rsidRDefault="008B729A" w:rsidP="00021BDE">
            <w:pPr>
              <w:pBdr>
                <w:top w:val="nil"/>
                <w:left w:val="nil"/>
                <w:bottom w:val="nil"/>
                <w:right w:val="nil"/>
                <w:between w:val="nil"/>
              </w:pBdr>
              <w:spacing w:afterLines="40" w:after="96" w:line="264" w:lineRule="auto"/>
              <w:rPr>
                <w:rFonts w:eastAsia="Arial" w:cstheme="minorHAnsi"/>
                <w:color w:val="000000"/>
              </w:rPr>
            </w:pPr>
            <w:r w:rsidRPr="006A437D">
              <w:rPr>
                <w:rFonts w:eastAsia="Arial" w:cstheme="minorHAnsi"/>
                <w:b/>
                <w:color w:val="000000"/>
              </w:rPr>
              <w:t xml:space="preserve">Intervention: </w:t>
            </w:r>
            <w:r w:rsidRPr="006A437D">
              <w:rPr>
                <w:rFonts w:eastAsia="Arial" w:cstheme="minorHAnsi"/>
                <w:color w:val="000000"/>
              </w:rPr>
              <w:t>Other vector control measures</w:t>
            </w:r>
          </w:p>
          <w:p w14:paraId="37E2CFB8" w14:textId="77777777" w:rsidR="008B729A" w:rsidRPr="00127F33" w:rsidRDefault="008B729A" w:rsidP="00021BDE">
            <w:pPr>
              <w:spacing w:afterLines="40" w:after="96" w:line="264" w:lineRule="auto"/>
              <w:rPr>
                <w:rFonts w:eastAsia="Arial" w:cstheme="minorHAnsi"/>
                <w:color w:val="000000"/>
              </w:rPr>
            </w:pPr>
            <w:r w:rsidRPr="00127F33">
              <w:rPr>
                <w:rFonts w:eastAsia="Arial" w:cstheme="minorHAnsi"/>
                <w:b/>
                <w:bCs/>
                <w:color w:val="000000"/>
              </w:rPr>
              <w:t xml:space="preserve">PAAR: </w:t>
            </w:r>
            <w:r w:rsidRPr="00127F33">
              <w:rPr>
                <w:rFonts w:eastAsia="Arial" w:cstheme="minorHAnsi"/>
                <w:b/>
                <w:color w:val="000000"/>
              </w:rPr>
              <w:t xml:space="preserve">Larval source management (LSM) </w:t>
            </w:r>
            <w:r w:rsidRPr="00127F33">
              <w:rPr>
                <w:rFonts w:eastAsia="Arial" w:cstheme="minorHAnsi"/>
                <w:color w:val="000000"/>
              </w:rPr>
              <w:t xml:space="preserve">- </w:t>
            </w:r>
            <w:r w:rsidRPr="00127F33">
              <w:rPr>
                <w:rFonts w:eastAsia="Arial" w:cstheme="minorHAnsi"/>
                <w:b/>
                <w:bCs/>
                <w:color w:val="000000"/>
              </w:rPr>
              <w:t xml:space="preserve"> </w:t>
            </w:r>
            <w:r w:rsidRPr="00127F33">
              <w:rPr>
                <w:rFonts w:eastAsia="Arial" w:cstheme="minorHAnsi"/>
                <w:color w:val="000000"/>
              </w:rPr>
              <w:t xml:space="preserve">The allocated budget was inadequate to accommodate this activity, however it is included in PAAR as a moderate priority activity as described in section 1.2, with the priority potentially increasing greatly in response to further surveillance on </w:t>
            </w:r>
            <w:r w:rsidRPr="00127F33">
              <w:rPr>
                <w:rFonts w:eastAsia="Arial" w:cstheme="minorHAnsi"/>
                <w:i/>
                <w:iCs/>
                <w:color w:val="000000"/>
              </w:rPr>
              <w:t xml:space="preserve">A. stephensi. </w:t>
            </w:r>
            <w:r w:rsidRPr="00127F33">
              <w:rPr>
                <w:rFonts w:eastAsia="Arial" w:cstheme="minorHAnsi"/>
                <w:color w:val="000000"/>
              </w:rPr>
              <w:t>Key activities under this intervention include:</w:t>
            </w:r>
          </w:p>
          <w:p w14:paraId="13478BAE" w14:textId="77777777" w:rsidR="008B729A" w:rsidRDefault="008B729A" w:rsidP="00021BDE">
            <w:pPr>
              <w:numPr>
                <w:ilvl w:val="0"/>
                <w:numId w:val="39"/>
              </w:numPr>
              <w:shd w:val="clear" w:color="auto" w:fill="FFFFFF"/>
              <w:spacing w:afterLines="40" w:after="96" w:line="240" w:lineRule="auto"/>
              <w:rPr>
                <w:rFonts w:eastAsia="Arial" w:cstheme="minorHAnsi"/>
                <w:color w:val="000000"/>
              </w:rPr>
            </w:pPr>
            <w:r w:rsidRPr="00127F33">
              <w:rPr>
                <w:rFonts w:eastAsia="Arial" w:cstheme="minorHAnsi"/>
                <w:color w:val="000000"/>
              </w:rPr>
              <w:t>LSM (specifically, bio-larvaciding) is currently being trialed in Matola through the support of Goodbye Malaria, and if successful it is a potential addition to the urban malaria control strategy, particularly important should an invasive urban vector species gain a foothold in Mozambique (</w:t>
            </w:r>
            <w:r w:rsidRPr="00127F33">
              <w:rPr>
                <w:rFonts w:eastAsia="Arial" w:cstheme="minorHAnsi"/>
                <w:i/>
                <w:color w:val="000000"/>
              </w:rPr>
              <w:t>A. stephensi)</w:t>
            </w:r>
            <w:r w:rsidRPr="00127F33">
              <w:rPr>
                <w:rFonts w:eastAsia="Arial" w:cstheme="minorHAnsi"/>
                <w:color w:val="000000"/>
              </w:rPr>
              <w:t xml:space="preserve">.  </w:t>
            </w:r>
          </w:p>
          <w:p w14:paraId="3AC650C7" w14:textId="77777777" w:rsidR="008B729A" w:rsidRPr="00A501D5" w:rsidRDefault="008B729A" w:rsidP="00021BDE">
            <w:pPr>
              <w:numPr>
                <w:ilvl w:val="0"/>
                <w:numId w:val="39"/>
              </w:numPr>
              <w:shd w:val="clear" w:color="auto" w:fill="FFFFFF"/>
              <w:spacing w:afterLines="40" w:after="96" w:line="240" w:lineRule="auto"/>
              <w:rPr>
                <w:rFonts w:eastAsia="Arial" w:cstheme="minorHAnsi"/>
                <w:color w:val="000000"/>
              </w:rPr>
            </w:pPr>
            <w:r w:rsidRPr="00A501D5">
              <w:rPr>
                <w:rFonts w:eastAsia="Arial" w:cstheme="minorHAnsi"/>
                <w:color w:val="000000"/>
              </w:rPr>
              <w:t xml:space="preserve">Larviciding in 11 provincial capitals: 3-year PAAR budget = </w:t>
            </w:r>
            <w:r w:rsidRPr="00A501D5">
              <w:rPr>
                <w:rFonts w:eastAsia="Arial" w:cstheme="minorHAnsi"/>
                <w:b/>
                <w:bCs/>
                <w:color w:val="000000"/>
              </w:rPr>
              <w:t>$6,964,062</w:t>
            </w:r>
          </w:p>
        </w:tc>
      </w:tr>
      <w:tr w:rsidR="008B729A" w:rsidRPr="006A437D" w14:paraId="4AD6672C" w14:textId="77777777" w:rsidTr="00021BDE">
        <w:tc>
          <w:tcPr>
            <w:tcW w:w="2580" w:type="dxa"/>
          </w:tcPr>
          <w:p w14:paraId="0BF96BE2" w14:textId="77777777" w:rsidR="008B729A" w:rsidRPr="006A437D" w:rsidRDefault="008B729A" w:rsidP="00021BDE">
            <w:pPr>
              <w:spacing w:afterLines="40" w:after="96" w:line="264" w:lineRule="auto"/>
              <w:rPr>
                <w:rFonts w:eastAsia="Arial" w:cstheme="minorHAnsi"/>
                <w:b/>
                <w:bCs/>
                <w:color w:val="000000"/>
              </w:rPr>
            </w:pPr>
            <w:r>
              <w:rPr>
                <w:rFonts w:eastAsia="Arial" w:cstheme="minorHAnsi"/>
                <w:b/>
                <w:bCs/>
                <w:color w:val="000000"/>
              </w:rPr>
              <w:t>Amount requested</w:t>
            </w:r>
          </w:p>
        </w:tc>
        <w:tc>
          <w:tcPr>
            <w:tcW w:w="12585" w:type="dxa"/>
          </w:tcPr>
          <w:p w14:paraId="7AAC760B" w14:textId="77777777" w:rsidR="008B729A" w:rsidRPr="00127F33" w:rsidRDefault="008B729A" w:rsidP="00021BDE">
            <w:pPr>
              <w:shd w:val="clear" w:color="auto" w:fill="FFFFFF"/>
              <w:spacing w:afterLines="40" w:after="96" w:line="264" w:lineRule="auto"/>
              <w:rPr>
                <w:rFonts w:eastAsia="Arial" w:cstheme="minorHAnsi"/>
                <w:b/>
                <w:bCs/>
              </w:rPr>
            </w:pPr>
            <w:r w:rsidRPr="00127F33">
              <w:rPr>
                <w:rFonts w:eastAsia="Arial" w:cstheme="minorHAnsi"/>
                <w:b/>
                <w:bCs/>
              </w:rPr>
              <w:t>Within allocation: $100,</w:t>
            </w:r>
            <w:r>
              <w:rPr>
                <w:rFonts w:eastAsia="Arial" w:cstheme="minorHAnsi"/>
                <w:b/>
                <w:bCs/>
              </w:rPr>
              <w:t>223</w:t>
            </w:r>
            <w:r w:rsidRPr="00127F33">
              <w:rPr>
                <w:rFonts w:eastAsia="Arial" w:cstheme="minorHAnsi"/>
                <w:b/>
                <w:bCs/>
              </w:rPr>
              <w:t>,</w:t>
            </w:r>
            <w:r>
              <w:rPr>
                <w:rFonts w:eastAsia="Arial" w:cstheme="minorHAnsi"/>
                <w:b/>
                <w:bCs/>
              </w:rPr>
              <w:t>415</w:t>
            </w:r>
          </w:p>
          <w:p w14:paraId="453985FF" w14:textId="77777777" w:rsidR="008B729A" w:rsidRPr="00127F33" w:rsidRDefault="008B729A" w:rsidP="00021BDE">
            <w:pPr>
              <w:shd w:val="clear" w:color="auto" w:fill="FFFFFF"/>
              <w:spacing w:afterLines="40" w:after="96" w:line="264" w:lineRule="auto"/>
              <w:rPr>
                <w:rFonts w:eastAsia="Arial" w:cstheme="minorHAnsi"/>
                <w:b/>
                <w:bCs/>
              </w:rPr>
            </w:pPr>
            <w:r w:rsidRPr="00127F33">
              <w:rPr>
                <w:rFonts w:eastAsia="Arial" w:cstheme="minorHAnsi"/>
                <w:b/>
                <w:bCs/>
              </w:rPr>
              <w:t>PAAR: $</w:t>
            </w:r>
            <w:r>
              <w:rPr>
                <w:rFonts w:eastAsia="Arial" w:cstheme="minorHAnsi"/>
                <w:b/>
                <w:bCs/>
              </w:rPr>
              <w:t>79</w:t>
            </w:r>
            <w:r w:rsidRPr="00294793">
              <w:rPr>
                <w:rFonts w:eastAsia="Arial" w:cstheme="minorHAnsi"/>
                <w:b/>
                <w:bCs/>
              </w:rPr>
              <w:t>,</w:t>
            </w:r>
            <w:r>
              <w:rPr>
                <w:rFonts w:eastAsia="Arial" w:cstheme="minorHAnsi"/>
                <w:b/>
                <w:bCs/>
              </w:rPr>
              <w:t>271</w:t>
            </w:r>
            <w:r w:rsidRPr="00294793">
              <w:rPr>
                <w:rFonts w:eastAsia="Arial" w:cstheme="minorHAnsi"/>
                <w:b/>
                <w:bCs/>
              </w:rPr>
              <w:t>,</w:t>
            </w:r>
            <w:r>
              <w:rPr>
                <w:rFonts w:eastAsia="Arial" w:cstheme="minorHAnsi"/>
                <w:b/>
                <w:bCs/>
              </w:rPr>
              <w:t>605</w:t>
            </w:r>
          </w:p>
        </w:tc>
      </w:tr>
      <w:tr w:rsidR="008B729A" w:rsidRPr="006A437D" w14:paraId="46C68058" w14:textId="77777777" w:rsidTr="00021BDE">
        <w:tc>
          <w:tcPr>
            <w:tcW w:w="2580" w:type="dxa"/>
          </w:tcPr>
          <w:p w14:paraId="1E40CD2A" w14:textId="77777777" w:rsidR="008B729A" w:rsidRDefault="008B729A" w:rsidP="00021BDE">
            <w:pPr>
              <w:spacing w:afterLines="40" w:after="96" w:line="264" w:lineRule="auto"/>
              <w:rPr>
                <w:rFonts w:eastAsia="Arial" w:cstheme="minorHAnsi"/>
                <w:b/>
                <w:bCs/>
                <w:color w:val="000000"/>
              </w:rPr>
            </w:pPr>
          </w:p>
          <w:p w14:paraId="370B975B" w14:textId="77777777" w:rsidR="008B729A" w:rsidRDefault="008B729A" w:rsidP="00021BDE">
            <w:pPr>
              <w:spacing w:afterLines="40" w:after="96" w:line="264" w:lineRule="auto"/>
              <w:rPr>
                <w:rFonts w:eastAsia="Arial" w:cstheme="minorHAnsi"/>
                <w:b/>
                <w:bCs/>
                <w:color w:val="000000"/>
              </w:rPr>
            </w:pPr>
          </w:p>
          <w:p w14:paraId="52BA4264" w14:textId="77777777" w:rsidR="008B729A" w:rsidRDefault="008B729A" w:rsidP="00021BDE">
            <w:pPr>
              <w:spacing w:afterLines="40" w:after="96" w:line="264" w:lineRule="auto"/>
              <w:rPr>
                <w:rFonts w:eastAsia="Arial" w:cstheme="minorHAnsi"/>
                <w:b/>
                <w:bCs/>
                <w:color w:val="000000"/>
              </w:rPr>
            </w:pPr>
          </w:p>
          <w:p w14:paraId="4E91E958" w14:textId="77777777" w:rsidR="008B729A" w:rsidRDefault="008B729A" w:rsidP="00021BDE">
            <w:pPr>
              <w:spacing w:afterLines="40" w:after="96" w:line="264" w:lineRule="auto"/>
              <w:rPr>
                <w:rFonts w:eastAsia="Arial" w:cstheme="minorHAnsi"/>
                <w:b/>
                <w:bCs/>
                <w:color w:val="000000"/>
              </w:rPr>
            </w:pPr>
          </w:p>
          <w:p w14:paraId="4EB1A7D7" w14:textId="77777777" w:rsidR="008B729A" w:rsidRPr="006A437D" w:rsidRDefault="008B729A" w:rsidP="00021BDE">
            <w:pPr>
              <w:spacing w:afterLines="40" w:after="96" w:line="264" w:lineRule="auto"/>
              <w:rPr>
                <w:rFonts w:eastAsia="Arial" w:cstheme="minorHAnsi"/>
                <w:b/>
                <w:bCs/>
                <w:color w:val="000000"/>
              </w:rPr>
            </w:pPr>
            <w:r w:rsidRPr="006A437D">
              <w:rPr>
                <w:rFonts w:eastAsia="Arial" w:cstheme="minorHAnsi"/>
                <w:b/>
                <w:bCs/>
                <w:color w:val="000000"/>
              </w:rPr>
              <w:t>Complementary funding and partner support</w:t>
            </w:r>
          </w:p>
        </w:tc>
        <w:tc>
          <w:tcPr>
            <w:tcW w:w="12585" w:type="dxa"/>
          </w:tcPr>
          <w:p w14:paraId="1080B8E7" w14:textId="77777777" w:rsidR="008B729A" w:rsidRPr="00D26B15" w:rsidRDefault="008B729A" w:rsidP="00021BDE">
            <w:pPr>
              <w:shd w:val="clear" w:color="auto" w:fill="FFFFFF"/>
              <w:spacing w:afterLines="40" w:after="96" w:line="264" w:lineRule="auto"/>
              <w:rPr>
                <w:rFonts w:eastAsia="Arial" w:cstheme="minorHAnsi"/>
                <w:color w:val="000000"/>
              </w:rPr>
            </w:pPr>
            <w:r w:rsidRPr="006A437D">
              <w:rPr>
                <w:rFonts w:eastAsia="Arial" w:cstheme="minorHAnsi"/>
                <w:color w:val="000000"/>
              </w:rPr>
              <w:t>Vector control commodity needs by funding source are summarized in Tab</w:t>
            </w:r>
            <w:r w:rsidRPr="00D26B15">
              <w:rPr>
                <w:rFonts w:eastAsia="Arial" w:cstheme="minorHAnsi"/>
                <w:color w:val="000000"/>
              </w:rPr>
              <w:t>le 3 below.</w:t>
            </w:r>
          </w:p>
          <w:p w14:paraId="35422892" w14:textId="77777777" w:rsidR="008B729A" w:rsidRPr="00127F33" w:rsidRDefault="008B729A" w:rsidP="00021BDE">
            <w:pPr>
              <w:shd w:val="clear" w:color="auto" w:fill="FFFFFF"/>
              <w:spacing w:afterLines="40" w:after="96" w:line="264" w:lineRule="auto"/>
              <w:rPr>
                <w:rFonts w:eastAsia="Arial" w:cstheme="minorHAnsi"/>
                <w:color w:val="000000"/>
              </w:rPr>
            </w:pPr>
            <w:r w:rsidRPr="00D26B15">
              <w:rPr>
                <w:rFonts w:eastAsia="Arial" w:cstheme="minorHAnsi"/>
                <w:color w:val="000000"/>
              </w:rPr>
              <w:t>Table 3: Vector control needs and funding by source</w:t>
            </w:r>
            <w:r>
              <w:rPr>
                <w:rFonts w:eastAsia="Arial" w:cstheme="minorHAnsi"/>
                <w:color w:val="000000"/>
              </w:rPr>
              <w:t xml:space="preserve"> </w:t>
            </w:r>
          </w:p>
          <w:p w14:paraId="461B3AC9" w14:textId="77777777" w:rsidR="008B729A" w:rsidRPr="00127F33" w:rsidRDefault="008B729A" w:rsidP="00021BDE">
            <w:pPr>
              <w:shd w:val="clear" w:color="auto" w:fill="FFFFFF"/>
              <w:spacing w:afterLines="40" w:after="96" w:line="264" w:lineRule="auto"/>
              <w:rPr>
                <w:rFonts w:eastAsia="Arial" w:cstheme="minorHAnsi"/>
                <w:color w:val="000000"/>
              </w:rPr>
            </w:pPr>
            <w:r>
              <w:rPr>
                <w:noProof/>
              </w:rPr>
              <w:drawing>
                <wp:inline distT="0" distB="0" distL="0" distR="0" wp14:anchorId="168AFD3D" wp14:editId="6D21D9E2">
                  <wp:extent cx="5475514" cy="1650242"/>
                  <wp:effectExtent l="0" t="0" r="0" b="7620"/>
                  <wp:docPr id="18" name="Picture 4">
                    <a:extLst xmlns:a="http://schemas.openxmlformats.org/drawingml/2006/main">
                      <a:ext uri="{FF2B5EF4-FFF2-40B4-BE49-F238E27FC236}">
                        <a16:creationId xmlns:a16="http://schemas.microsoft.com/office/drawing/2014/main" id="{7AB878A5-1640-D78B-B493-BFA8268DED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AB878A5-1640-D78B-B493-BFA8268DED95}"/>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0440" cy="1657754"/>
                          </a:xfrm>
                          <a:prstGeom prst="rect">
                            <a:avLst/>
                          </a:prstGeom>
                          <a:noFill/>
                        </pic:spPr>
                      </pic:pic>
                    </a:graphicData>
                  </a:graphic>
                </wp:inline>
              </w:drawing>
            </w:r>
          </w:p>
          <w:p w14:paraId="1DAB1161" w14:textId="77777777" w:rsidR="008B729A" w:rsidRPr="006A437D" w:rsidRDefault="008B729A" w:rsidP="00021BDE">
            <w:pPr>
              <w:shd w:val="clear" w:color="auto" w:fill="FFFFFF"/>
              <w:spacing w:afterLines="40" w:after="96" w:line="264" w:lineRule="auto"/>
              <w:rPr>
                <w:rFonts w:eastAsia="Arial" w:cstheme="minorHAnsi"/>
                <w:color w:val="000000"/>
                <w:highlight w:val="yellow"/>
              </w:rPr>
            </w:pPr>
            <w:r w:rsidRPr="006A437D">
              <w:rPr>
                <w:rFonts w:eastAsia="Arial" w:cstheme="minorHAnsi"/>
                <w:color w:val="000000"/>
              </w:rPr>
              <w:t xml:space="preserve">In addition to the commodity support described above, </w:t>
            </w:r>
            <w:r w:rsidRPr="00CF4827">
              <w:rPr>
                <w:rFonts w:eastAsia="Arial" w:cstheme="minorHAnsi"/>
                <w:color w:val="000000"/>
              </w:rPr>
              <w:t xml:space="preserve">additional </w:t>
            </w:r>
            <w:r>
              <w:rPr>
                <w:rFonts w:eastAsia="Arial" w:cstheme="minorHAnsi"/>
                <w:color w:val="000000"/>
              </w:rPr>
              <w:t xml:space="preserve">financial </w:t>
            </w:r>
            <w:r w:rsidRPr="00CF4827">
              <w:rPr>
                <w:rFonts w:eastAsia="Arial" w:cstheme="minorHAnsi"/>
                <w:color w:val="000000"/>
              </w:rPr>
              <w:t xml:space="preserve">support for the operational costs of IRS </w:t>
            </w:r>
            <w:r>
              <w:rPr>
                <w:rFonts w:eastAsia="Arial" w:cstheme="minorHAnsi"/>
                <w:color w:val="000000"/>
              </w:rPr>
              <w:t>comes</w:t>
            </w:r>
            <w:r w:rsidRPr="00CF4827">
              <w:rPr>
                <w:rFonts w:eastAsia="Arial" w:cstheme="minorHAnsi"/>
                <w:color w:val="000000"/>
              </w:rPr>
              <w:t xml:space="preserve"> from MOSASWA GF and the South African government in Inhambane, Gaza, and Maputo provinces.  Additionally cost-shared support for</w:t>
            </w:r>
            <w:r w:rsidRPr="006A437D">
              <w:rPr>
                <w:rFonts w:eastAsia="Arial" w:cstheme="minorHAnsi"/>
                <w:color w:val="000000"/>
              </w:rPr>
              <w:t xml:space="preserve"> entomological surveillance comes from PMI and the MOSASWA regional GF grant – with the amount requested in this funding request representing the </w:t>
            </w:r>
            <w:r>
              <w:rPr>
                <w:rFonts w:eastAsia="Arial" w:cstheme="minorHAnsi"/>
                <w:color w:val="000000"/>
              </w:rPr>
              <w:t xml:space="preserve">current </w:t>
            </w:r>
            <w:r w:rsidRPr="006A437D">
              <w:rPr>
                <w:rFonts w:eastAsia="Arial" w:cstheme="minorHAnsi"/>
                <w:color w:val="000000"/>
              </w:rPr>
              <w:t xml:space="preserve">gap </w:t>
            </w:r>
            <w:r>
              <w:rPr>
                <w:rFonts w:eastAsia="Arial" w:cstheme="minorHAnsi"/>
                <w:color w:val="000000"/>
              </w:rPr>
              <w:t>of</w:t>
            </w:r>
            <w:r w:rsidRPr="006A437D">
              <w:rPr>
                <w:rFonts w:eastAsia="Arial" w:cstheme="minorHAnsi"/>
                <w:color w:val="000000"/>
              </w:rPr>
              <w:t xml:space="preserve"> the total need. </w:t>
            </w:r>
          </w:p>
        </w:tc>
      </w:tr>
      <w:tr w:rsidR="008B729A" w:rsidRPr="006A437D" w14:paraId="48F74FB0" w14:textId="77777777" w:rsidTr="00021BDE">
        <w:tc>
          <w:tcPr>
            <w:tcW w:w="2580" w:type="dxa"/>
            <w:tcBorders>
              <w:bottom w:val="single" w:sz="4" w:space="0" w:color="auto"/>
            </w:tcBorders>
          </w:tcPr>
          <w:p w14:paraId="48367C19" w14:textId="77777777" w:rsidR="008B729A" w:rsidRDefault="008B729A" w:rsidP="00021BDE">
            <w:pPr>
              <w:spacing w:afterLines="40" w:after="96" w:line="264" w:lineRule="auto"/>
              <w:rPr>
                <w:rFonts w:eastAsia="Arial" w:cstheme="minorHAnsi"/>
                <w:b/>
                <w:bCs/>
                <w:color w:val="000000"/>
              </w:rPr>
            </w:pPr>
            <w:r w:rsidRPr="006A437D">
              <w:rPr>
                <w:rFonts w:eastAsia="Arial" w:cstheme="minorHAnsi"/>
                <w:b/>
                <w:bCs/>
                <w:color w:val="000000"/>
              </w:rPr>
              <w:t>Expected outcome</w:t>
            </w:r>
          </w:p>
        </w:tc>
        <w:tc>
          <w:tcPr>
            <w:tcW w:w="12585" w:type="dxa"/>
            <w:tcBorders>
              <w:bottom w:val="single" w:sz="4" w:space="0" w:color="auto"/>
            </w:tcBorders>
          </w:tcPr>
          <w:p w14:paraId="6D439389" w14:textId="77777777" w:rsidR="008B729A" w:rsidRPr="00127F33" w:rsidRDefault="008B729A" w:rsidP="00021BDE">
            <w:pPr>
              <w:pBdr>
                <w:top w:val="nil"/>
                <w:left w:val="nil"/>
                <w:bottom w:val="nil"/>
                <w:right w:val="nil"/>
                <w:between w:val="nil"/>
              </w:pBdr>
              <w:shd w:val="clear" w:color="auto" w:fill="FFFFFF"/>
              <w:spacing w:afterLines="40" w:after="96" w:line="240" w:lineRule="auto"/>
              <w:rPr>
                <w:rFonts w:eastAsia="ArialMT" w:cstheme="minorHAnsi"/>
                <w:color w:val="000000"/>
              </w:rPr>
            </w:pPr>
            <w:r w:rsidRPr="00127F33">
              <w:rPr>
                <w:rFonts w:eastAsia="ArialMT" w:cstheme="minorHAnsi"/>
                <w:color w:val="000000"/>
              </w:rPr>
              <w:t>It is expected that improved access to effective ITNs will contribute significantly to high utilization among the population, and when combined with targeted quality coverage of IRS in southern Mozambique to reduce vector density and manage insecticide resistance, will contribute to reduction of malaria cases by at least 45% from a 2022 baseline of 392 per 1000 population to 216 per 1000 population by 2030 (MSP 2023-2030).</w:t>
            </w:r>
          </w:p>
          <w:p w14:paraId="547FE169" w14:textId="77777777" w:rsidR="008B729A" w:rsidRDefault="008B729A" w:rsidP="00021BDE">
            <w:pPr>
              <w:shd w:val="clear" w:color="auto" w:fill="FFFFFF"/>
              <w:spacing w:afterLines="40" w:after="96" w:line="264" w:lineRule="auto"/>
              <w:rPr>
                <w:rFonts w:eastAsia="Arial" w:cstheme="minorHAnsi"/>
                <w:color w:val="000000"/>
              </w:rPr>
            </w:pPr>
            <w:r w:rsidRPr="00127F33">
              <w:rPr>
                <w:rFonts w:eastAsia="ArialMT" w:cstheme="minorHAnsi"/>
                <w:color w:val="000000"/>
              </w:rPr>
              <w:t>The stratified intervention mix presented in this funding request are expected to achieve a significant reduction in burden when strong vector control is combined with other strategies.</w:t>
            </w:r>
          </w:p>
        </w:tc>
      </w:tr>
    </w:tbl>
    <w:p w14:paraId="52B8E4E9" w14:textId="77777777" w:rsidR="008B729A" w:rsidRDefault="008B729A" w:rsidP="008B729A">
      <w:r>
        <w:br w:type="page"/>
      </w:r>
    </w:p>
    <w:tbl>
      <w:tblPr>
        <w:tblW w:w="151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0"/>
        <w:gridCol w:w="12585"/>
      </w:tblGrid>
      <w:tr w:rsidR="008B729A" w:rsidRPr="006A437D" w14:paraId="0E7D6E33" w14:textId="77777777" w:rsidTr="00021BDE">
        <w:tc>
          <w:tcPr>
            <w:tcW w:w="2580" w:type="dxa"/>
          </w:tcPr>
          <w:p w14:paraId="1A328D8C" w14:textId="77777777" w:rsidR="008B729A" w:rsidRPr="006A437D" w:rsidRDefault="008B729A" w:rsidP="00021BDE">
            <w:pPr>
              <w:spacing w:afterLines="40" w:after="96" w:line="264" w:lineRule="auto"/>
              <w:rPr>
                <w:rFonts w:eastAsia="Arial" w:cstheme="minorHAnsi"/>
                <w:b/>
                <w:bCs/>
                <w:color w:val="000000"/>
              </w:rPr>
            </w:pPr>
            <w:r w:rsidRPr="006A437D">
              <w:rPr>
                <w:rFonts w:eastAsia="Arial" w:cstheme="minorHAnsi"/>
                <w:b/>
                <w:bCs/>
                <w:color w:val="000000"/>
              </w:rPr>
              <w:t>MODULE 3</w:t>
            </w:r>
          </w:p>
        </w:tc>
        <w:tc>
          <w:tcPr>
            <w:tcW w:w="12585" w:type="dxa"/>
          </w:tcPr>
          <w:p w14:paraId="206CF19A" w14:textId="77777777" w:rsidR="008B729A" w:rsidRPr="006A437D" w:rsidRDefault="008B729A" w:rsidP="00021BDE">
            <w:pPr>
              <w:shd w:val="clear" w:color="auto" w:fill="FFFFFF"/>
              <w:spacing w:afterLines="40" w:after="96" w:line="264" w:lineRule="auto"/>
              <w:rPr>
                <w:rFonts w:eastAsia="Arial" w:cstheme="minorHAnsi"/>
                <w:color w:val="000000"/>
              </w:rPr>
            </w:pPr>
            <w:r w:rsidRPr="006A437D">
              <w:rPr>
                <w:rFonts w:eastAsia="Arial" w:cstheme="minorHAnsi"/>
                <w:b/>
                <w:color w:val="000000"/>
              </w:rPr>
              <w:t>SPECIFIC PREVENTION INTERVENTIONS (SPI)</w:t>
            </w:r>
          </w:p>
        </w:tc>
      </w:tr>
      <w:tr w:rsidR="008B729A" w:rsidRPr="006A437D" w14:paraId="2D41F5AD" w14:textId="77777777" w:rsidTr="00021BDE">
        <w:trPr>
          <w:trHeight w:val="858"/>
        </w:trPr>
        <w:tc>
          <w:tcPr>
            <w:tcW w:w="2580" w:type="dxa"/>
            <w:vMerge w:val="restart"/>
          </w:tcPr>
          <w:p w14:paraId="7CF9586A" w14:textId="77777777" w:rsidR="008B729A" w:rsidRPr="006A437D" w:rsidRDefault="008B729A" w:rsidP="00021BDE">
            <w:pPr>
              <w:spacing w:afterLines="40" w:after="96" w:line="264" w:lineRule="auto"/>
              <w:rPr>
                <w:rFonts w:eastAsia="Arial" w:cstheme="minorHAnsi"/>
                <w:b/>
                <w:bCs/>
                <w:color w:val="000000"/>
              </w:rPr>
            </w:pPr>
            <w:r w:rsidRPr="006A437D">
              <w:rPr>
                <w:rFonts w:eastAsia="Arial" w:cstheme="minorHAnsi"/>
                <w:b/>
                <w:bCs/>
                <w:color w:val="000000"/>
              </w:rPr>
              <w:t xml:space="preserve">Intervention(s) </w:t>
            </w:r>
          </w:p>
        </w:tc>
        <w:tc>
          <w:tcPr>
            <w:tcW w:w="12585" w:type="dxa"/>
          </w:tcPr>
          <w:p w14:paraId="04C1DC10" w14:textId="77777777" w:rsidR="008B729A" w:rsidRPr="006A437D" w:rsidRDefault="008B729A" w:rsidP="00021BDE">
            <w:pPr>
              <w:spacing w:afterLines="40" w:after="96" w:line="264" w:lineRule="auto"/>
              <w:rPr>
                <w:rFonts w:eastAsia="Arial" w:cstheme="minorHAnsi"/>
                <w:color w:val="000000"/>
              </w:rPr>
            </w:pPr>
            <w:r w:rsidRPr="006A437D">
              <w:rPr>
                <w:rFonts w:eastAsia="Arial" w:cstheme="minorHAnsi"/>
                <w:b/>
                <w:color w:val="000000"/>
              </w:rPr>
              <w:t xml:space="preserve">Intervention: </w:t>
            </w:r>
            <w:r w:rsidRPr="006A437D">
              <w:rPr>
                <w:rFonts w:eastAsia="Arial" w:cstheme="minorHAnsi"/>
                <w:color w:val="000000"/>
              </w:rPr>
              <w:t>Seasonal malaria chemoprevention (SMC)</w:t>
            </w:r>
          </w:p>
          <w:p w14:paraId="1C24078A" w14:textId="77777777" w:rsidR="008B729A" w:rsidRPr="004A4481" w:rsidRDefault="008B729A" w:rsidP="00021BDE">
            <w:pPr>
              <w:spacing w:afterLines="40" w:after="96" w:line="264" w:lineRule="auto"/>
              <w:rPr>
                <w:rFonts w:eastAsia="Arial" w:cstheme="minorHAnsi"/>
                <w:color w:val="000000"/>
              </w:rPr>
            </w:pPr>
            <w:r w:rsidRPr="006A437D">
              <w:rPr>
                <w:rFonts w:eastAsia="Arial" w:cstheme="minorHAnsi"/>
                <w:color w:val="000000"/>
              </w:rPr>
              <w:t xml:space="preserve">Change in Programming from current grant: </w:t>
            </w:r>
            <w:r w:rsidRPr="006A437D">
              <w:rPr>
                <w:rFonts w:ascii="Segoe UI Symbol" w:eastAsia="MS Gothic" w:hAnsi="Segoe UI Symbol" w:cs="Segoe UI Symbol"/>
                <w:color w:val="000000"/>
              </w:rPr>
              <w:t>☐</w:t>
            </w:r>
            <w:r w:rsidRPr="006A437D">
              <w:rPr>
                <w:rFonts w:eastAsia="Arial" w:cstheme="minorHAnsi"/>
                <w:color w:val="000000"/>
              </w:rPr>
              <w:t xml:space="preserve"> New, </w:t>
            </w:r>
            <w:r w:rsidRPr="006A437D">
              <w:rPr>
                <w:rFonts w:ascii="Segoe UI Symbol" w:eastAsia="MS Gothic" w:hAnsi="Segoe UI Symbol" w:cs="Segoe UI Symbol"/>
                <w:color w:val="000000"/>
              </w:rPr>
              <w:t>☒</w:t>
            </w:r>
            <w:r w:rsidRPr="006A437D">
              <w:rPr>
                <w:rFonts w:eastAsia="Arial" w:cstheme="minorHAnsi"/>
                <w:color w:val="000000"/>
              </w:rPr>
              <w:t xml:space="preserve"> Scale-up, </w:t>
            </w:r>
            <w:r w:rsidRPr="006A437D">
              <w:rPr>
                <w:rFonts w:ascii="Segoe UI Symbol" w:eastAsia="MS Gothic" w:hAnsi="Segoe UI Symbol" w:cs="Segoe UI Symbol"/>
                <w:color w:val="000000"/>
              </w:rPr>
              <w:t>☐</w:t>
            </w:r>
            <w:r w:rsidRPr="006A437D">
              <w:rPr>
                <w:rFonts w:eastAsia="Arial" w:cstheme="minorHAnsi"/>
                <w:color w:val="000000"/>
              </w:rPr>
              <w:t xml:space="preserve"> Continuation, or </w:t>
            </w:r>
            <w:r w:rsidRPr="006A437D">
              <w:rPr>
                <w:rFonts w:ascii="Segoe UI Symbol" w:eastAsia="MS Gothic" w:hAnsi="Segoe UI Symbol" w:cs="Segoe UI Symbol"/>
                <w:color w:val="000000"/>
              </w:rPr>
              <w:t>☐</w:t>
            </w:r>
            <w:r w:rsidRPr="006A437D">
              <w:rPr>
                <w:rFonts w:eastAsia="Arial" w:cstheme="minorHAnsi"/>
                <w:color w:val="000000"/>
              </w:rPr>
              <w:t xml:space="preserve"> Scale-down</w:t>
            </w:r>
          </w:p>
        </w:tc>
      </w:tr>
      <w:tr w:rsidR="008B729A" w:rsidRPr="006A437D" w14:paraId="3CDF09B5" w14:textId="77777777" w:rsidTr="00021BDE">
        <w:tc>
          <w:tcPr>
            <w:tcW w:w="2580" w:type="dxa"/>
            <w:vMerge/>
          </w:tcPr>
          <w:p w14:paraId="567ABEB2" w14:textId="77777777" w:rsidR="008B729A" w:rsidRPr="006A437D" w:rsidRDefault="008B729A" w:rsidP="00021BDE">
            <w:pPr>
              <w:spacing w:afterLines="40" w:after="96" w:line="264" w:lineRule="auto"/>
              <w:rPr>
                <w:rFonts w:eastAsia="Arial" w:cstheme="minorHAnsi"/>
                <w:color w:val="000000"/>
              </w:rPr>
            </w:pPr>
          </w:p>
        </w:tc>
        <w:tc>
          <w:tcPr>
            <w:tcW w:w="12585" w:type="dxa"/>
          </w:tcPr>
          <w:p w14:paraId="3DF28C21" w14:textId="77777777" w:rsidR="008B729A" w:rsidRPr="00127F33" w:rsidRDefault="008B729A" w:rsidP="00021BDE">
            <w:pPr>
              <w:spacing w:afterLines="40" w:after="96" w:line="264" w:lineRule="auto"/>
              <w:rPr>
                <w:rFonts w:eastAsia="Arial" w:cstheme="minorHAnsi"/>
                <w:color w:val="000000"/>
              </w:rPr>
            </w:pPr>
            <w:r w:rsidRPr="006A437D">
              <w:rPr>
                <w:rFonts w:eastAsia="Arial" w:cstheme="minorHAnsi"/>
                <w:b/>
                <w:color w:val="000000"/>
              </w:rPr>
              <w:t xml:space="preserve">Intervention: </w:t>
            </w:r>
            <w:r w:rsidRPr="006A437D">
              <w:rPr>
                <w:rFonts w:eastAsia="Arial" w:cstheme="minorHAnsi"/>
                <w:color w:val="000000"/>
              </w:rPr>
              <w:t xml:space="preserve">Perennial malaria </w:t>
            </w:r>
            <w:r w:rsidRPr="00127F33">
              <w:rPr>
                <w:rFonts w:eastAsia="Arial" w:cstheme="minorHAnsi"/>
                <w:color w:val="000000"/>
              </w:rPr>
              <w:t xml:space="preserve">chemoprevention (PMC) </w:t>
            </w:r>
          </w:p>
          <w:p w14:paraId="1CF6A32F" w14:textId="77777777" w:rsidR="008B729A" w:rsidRPr="004A4481" w:rsidRDefault="008B729A" w:rsidP="00021BDE">
            <w:pPr>
              <w:spacing w:afterLines="40" w:after="96" w:line="264" w:lineRule="auto"/>
              <w:rPr>
                <w:rFonts w:eastAsia="Arial" w:cstheme="minorHAnsi"/>
                <w:color w:val="000000"/>
              </w:rPr>
            </w:pPr>
            <w:r w:rsidRPr="00127F33">
              <w:rPr>
                <w:rFonts w:eastAsia="Arial" w:cstheme="minorHAnsi"/>
                <w:color w:val="000000"/>
              </w:rPr>
              <w:t xml:space="preserve">Change in Programming from current grant: </w:t>
            </w:r>
            <w:r w:rsidRPr="00127F33">
              <w:rPr>
                <w:rFonts w:ascii="Segoe UI Symbol" w:eastAsia="MS Gothic" w:hAnsi="Segoe UI Symbol" w:cs="Segoe UI Symbol"/>
                <w:color w:val="000000"/>
              </w:rPr>
              <w:t>☐</w:t>
            </w:r>
            <w:r w:rsidRPr="00127F33">
              <w:rPr>
                <w:rFonts w:eastAsia="Arial" w:cstheme="minorHAnsi"/>
                <w:color w:val="000000"/>
              </w:rPr>
              <w:t xml:space="preserve"> New, </w:t>
            </w:r>
            <w:r w:rsidRPr="00127F33">
              <w:rPr>
                <w:rFonts w:ascii="Segoe UI Symbol" w:eastAsia="MS Gothic" w:hAnsi="Segoe UI Symbol" w:cs="Segoe UI Symbol"/>
                <w:color w:val="000000"/>
              </w:rPr>
              <w:t>☒</w:t>
            </w:r>
            <w:r w:rsidRPr="00127F33">
              <w:rPr>
                <w:rFonts w:eastAsia="Arial" w:cstheme="minorHAnsi"/>
                <w:color w:val="000000"/>
              </w:rPr>
              <w:t xml:space="preserve"> Scale-up, </w:t>
            </w:r>
            <w:r w:rsidRPr="00127F33">
              <w:rPr>
                <w:rFonts w:ascii="Segoe UI Symbol" w:eastAsia="MS Gothic" w:hAnsi="Segoe UI Symbol" w:cs="Segoe UI Symbol"/>
                <w:color w:val="000000"/>
              </w:rPr>
              <w:t>☐</w:t>
            </w:r>
            <w:r w:rsidRPr="00127F33">
              <w:rPr>
                <w:rFonts w:eastAsia="Arial" w:cstheme="minorHAnsi"/>
                <w:color w:val="000000"/>
              </w:rPr>
              <w:t xml:space="preserve"> Continuation, or </w:t>
            </w:r>
            <w:r w:rsidRPr="00127F33">
              <w:rPr>
                <w:rFonts w:ascii="Segoe UI Symbol" w:eastAsia="MS Gothic" w:hAnsi="Segoe UI Symbol" w:cs="Segoe UI Symbol"/>
                <w:color w:val="000000"/>
              </w:rPr>
              <w:t>☐</w:t>
            </w:r>
            <w:r w:rsidRPr="00127F33">
              <w:rPr>
                <w:rFonts w:eastAsia="Arial" w:cstheme="minorHAnsi"/>
                <w:color w:val="000000"/>
              </w:rPr>
              <w:t xml:space="preserve"> Scale-down</w:t>
            </w:r>
          </w:p>
        </w:tc>
      </w:tr>
      <w:tr w:rsidR="008B729A" w:rsidRPr="006A437D" w14:paraId="2E48D013" w14:textId="77777777" w:rsidTr="00021BDE">
        <w:tc>
          <w:tcPr>
            <w:tcW w:w="2580" w:type="dxa"/>
          </w:tcPr>
          <w:p w14:paraId="5384311B" w14:textId="77777777" w:rsidR="008B729A" w:rsidRPr="006A437D" w:rsidRDefault="008B729A" w:rsidP="00021BDE">
            <w:pPr>
              <w:spacing w:afterLines="40" w:after="96" w:line="264" w:lineRule="auto"/>
              <w:rPr>
                <w:rFonts w:eastAsia="Arial" w:cstheme="minorHAnsi"/>
                <w:b/>
                <w:bCs/>
                <w:color w:val="000000"/>
              </w:rPr>
            </w:pPr>
            <w:r w:rsidRPr="006A437D">
              <w:rPr>
                <w:rFonts w:eastAsia="Arial" w:cstheme="minorHAnsi"/>
                <w:b/>
                <w:bCs/>
                <w:color w:val="000000"/>
              </w:rPr>
              <w:t>Population</w:t>
            </w:r>
            <w:r>
              <w:rPr>
                <w:rFonts w:eastAsia="Arial" w:cstheme="minorHAnsi"/>
                <w:b/>
                <w:bCs/>
                <w:color w:val="000000"/>
              </w:rPr>
              <w:t>, geographies and/or barriers addressed</w:t>
            </w:r>
          </w:p>
        </w:tc>
        <w:tc>
          <w:tcPr>
            <w:tcW w:w="12585" w:type="dxa"/>
          </w:tcPr>
          <w:p w14:paraId="115CB62C" w14:textId="77777777" w:rsidR="008B729A" w:rsidRDefault="008B729A" w:rsidP="00021BDE">
            <w:pPr>
              <w:shd w:val="clear" w:color="auto" w:fill="FFFFFF"/>
              <w:spacing w:afterLines="40" w:after="96" w:line="264" w:lineRule="auto"/>
              <w:rPr>
                <w:rFonts w:eastAsia="Arial" w:cstheme="minorHAnsi"/>
                <w:color w:val="000000"/>
              </w:rPr>
            </w:pPr>
            <w:r w:rsidRPr="006A437D">
              <w:rPr>
                <w:rFonts w:eastAsia="Arial" w:cstheme="minorHAnsi"/>
                <w:color w:val="000000"/>
              </w:rPr>
              <w:t xml:space="preserve">Specific interventions financed in this investment (or in PAAR) will target children under 2 years (PMC) and children between 6 and 59 months (SMC), </w:t>
            </w:r>
            <w:r>
              <w:rPr>
                <w:rFonts w:eastAsia="Arial" w:cstheme="minorHAnsi"/>
                <w:color w:val="000000"/>
              </w:rPr>
              <w:t xml:space="preserve">with districts prioritized based on the stratification exercise described in Section 1.2.  </w:t>
            </w:r>
            <w:r w:rsidRPr="006A437D">
              <w:rPr>
                <w:rFonts w:eastAsia="Arial" w:cstheme="minorHAnsi"/>
                <w:color w:val="000000"/>
              </w:rPr>
              <w:t xml:space="preserve">IPTp for pregnant women </w:t>
            </w:r>
            <w:r>
              <w:rPr>
                <w:rFonts w:eastAsia="Arial" w:cstheme="minorHAnsi"/>
                <w:color w:val="000000"/>
              </w:rPr>
              <w:t xml:space="preserve">is </w:t>
            </w:r>
            <w:r w:rsidRPr="006A437D">
              <w:rPr>
                <w:rFonts w:eastAsia="Arial" w:cstheme="minorHAnsi"/>
                <w:color w:val="000000"/>
              </w:rPr>
              <w:t>funded through complementary funding</w:t>
            </w:r>
            <w:r>
              <w:rPr>
                <w:rFonts w:eastAsia="Arial" w:cstheme="minorHAnsi"/>
                <w:color w:val="000000"/>
              </w:rPr>
              <w:t>, however targets all pregnant women in the country</w:t>
            </w:r>
            <w:r w:rsidRPr="006A437D">
              <w:rPr>
                <w:rFonts w:eastAsia="Arial" w:cstheme="minorHAnsi"/>
                <w:color w:val="000000"/>
              </w:rPr>
              <w:t>.</w:t>
            </w:r>
          </w:p>
          <w:p w14:paraId="2CC575E6" w14:textId="77777777" w:rsidR="008B729A" w:rsidRPr="006A437D" w:rsidRDefault="008B729A" w:rsidP="00021BDE">
            <w:pPr>
              <w:shd w:val="clear" w:color="auto" w:fill="FFFFFF"/>
              <w:spacing w:afterLines="40" w:after="96" w:line="264" w:lineRule="auto"/>
              <w:rPr>
                <w:rFonts w:eastAsia="Arial" w:cstheme="minorHAnsi"/>
                <w:color w:val="000000"/>
              </w:rPr>
            </w:pPr>
            <w:r w:rsidRPr="006A437D">
              <w:rPr>
                <w:rFonts w:eastAsia="Arial" w:cstheme="minorHAnsi"/>
                <w:color w:val="000000"/>
              </w:rPr>
              <w:t>Similar to the barriers described in the vector control module, chemoprevention strategies must overcome challenges with geographic access</w:t>
            </w:r>
            <w:r>
              <w:rPr>
                <w:rFonts w:eastAsia="Arial" w:cstheme="minorHAnsi"/>
                <w:color w:val="000000"/>
              </w:rPr>
              <w:t>. S</w:t>
            </w:r>
            <w:r w:rsidRPr="006A437D">
              <w:rPr>
                <w:rFonts w:eastAsia="Arial" w:cstheme="minorHAnsi"/>
                <w:color w:val="000000"/>
              </w:rPr>
              <w:t xml:space="preserve">MC </w:t>
            </w:r>
            <w:r>
              <w:rPr>
                <w:rFonts w:eastAsia="Arial" w:cstheme="minorHAnsi"/>
                <w:color w:val="000000"/>
              </w:rPr>
              <w:t xml:space="preserve">campaigns will </w:t>
            </w:r>
            <w:r w:rsidRPr="006A437D">
              <w:rPr>
                <w:rFonts w:eastAsia="Arial" w:cstheme="minorHAnsi"/>
                <w:color w:val="000000"/>
              </w:rPr>
              <w:t>adopt similar strategies to ITNs by digitizing the campaigns to improve access to coverage data that can trigger response to maximize coverage in hard</w:t>
            </w:r>
            <w:r>
              <w:rPr>
                <w:rFonts w:eastAsia="Arial" w:cstheme="minorHAnsi"/>
                <w:color w:val="000000"/>
              </w:rPr>
              <w:t>-</w:t>
            </w:r>
            <w:r w:rsidRPr="006A437D">
              <w:rPr>
                <w:rFonts w:eastAsia="Arial" w:cstheme="minorHAnsi"/>
                <w:color w:val="000000"/>
              </w:rPr>
              <w:t>to</w:t>
            </w:r>
            <w:r>
              <w:rPr>
                <w:rFonts w:eastAsia="Arial" w:cstheme="minorHAnsi"/>
                <w:color w:val="000000"/>
              </w:rPr>
              <w:t>-</w:t>
            </w:r>
            <w:r w:rsidRPr="006A437D">
              <w:rPr>
                <w:rFonts w:eastAsia="Arial" w:cstheme="minorHAnsi"/>
                <w:color w:val="000000"/>
              </w:rPr>
              <w:t>reach places. PMC will require consistent outreach to mothers to maximize coverage through their attendance for immunization, w</w:t>
            </w:r>
            <w:r>
              <w:rPr>
                <w:rFonts w:eastAsia="Arial" w:cstheme="minorHAnsi"/>
                <w:color w:val="000000"/>
              </w:rPr>
              <w:t>ith</w:t>
            </w:r>
            <w:r w:rsidRPr="006A437D">
              <w:rPr>
                <w:rFonts w:eastAsia="Arial" w:cstheme="minorHAnsi"/>
                <w:color w:val="000000"/>
              </w:rPr>
              <w:t xml:space="preserve"> hopes to capitalize on the behavior change communication </w:t>
            </w:r>
            <w:r>
              <w:rPr>
                <w:rFonts w:eastAsia="Arial" w:cstheme="minorHAnsi"/>
                <w:color w:val="000000"/>
              </w:rPr>
              <w:t>conducted</w:t>
            </w:r>
            <w:r w:rsidRPr="006A437D">
              <w:rPr>
                <w:rFonts w:eastAsia="Arial" w:cstheme="minorHAnsi"/>
                <w:color w:val="000000"/>
              </w:rPr>
              <w:t xml:space="preserve"> through the immunization program.  In addition to this, SMC and PMC are still new interventions in Mozambique – and as they expand to new geographies there </w:t>
            </w:r>
            <w:r>
              <w:rPr>
                <w:rFonts w:eastAsia="Arial" w:cstheme="minorHAnsi"/>
                <w:color w:val="000000"/>
              </w:rPr>
              <w:t>will be</w:t>
            </w:r>
            <w:r w:rsidRPr="006A437D">
              <w:rPr>
                <w:rFonts w:eastAsia="Arial" w:cstheme="minorHAnsi"/>
                <w:color w:val="000000"/>
              </w:rPr>
              <w:t xml:space="preserve"> a need to do strong M&amp;E on the impact as well as the operational hurdles encountered in order to adjust deployment strategies.  </w:t>
            </w:r>
            <w:r>
              <w:rPr>
                <w:rFonts w:eastAsia="Arial" w:cstheme="minorHAnsi"/>
                <w:color w:val="000000"/>
              </w:rPr>
              <w:t>Some</w:t>
            </w:r>
            <w:r w:rsidRPr="006A437D">
              <w:rPr>
                <w:rFonts w:eastAsia="Arial" w:cstheme="minorHAnsi"/>
                <w:color w:val="000000"/>
              </w:rPr>
              <w:t xml:space="preserve"> research is </w:t>
            </w:r>
            <w:r>
              <w:rPr>
                <w:rFonts w:eastAsia="Arial" w:cstheme="minorHAnsi"/>
                <w:color w:val="000000"/>
              </w:rPr>
              <w:t xml:space="preserve">already </w:t>
            </w:r>
            <w:r w:rsidRPr="006A437D">
              <w:rPr>
                <w:rFonts w:eastAsia="Arial" w:cstheme="minorHAnsi"/>
                <w:color w:val="000000"/>
              </w:rPr>
              <w:t>planned, and additional research is budgeted under the RSSH module in this funding request.</w:t>
            </w:r>
          </w:p>
        </w:tc>
      </w:tr>
      <w:tr w:rsidR="008B729A" w:rsidRPr="006A437D" w14:paraId="53DDD21D" w14:textId="77777777" w:rsidTr="00021BDE">
        <w:tc>
          <w:tcPr>
            <w:tcW w:w="2580" w:type="dxa"/>
            <w:vMerge w:val="restart"/>
          </w:tcPr>
          <w:p w14:paraId="3A63225F" w14:textId="77777777" w:rsidR="008B729A" w:rsidRPr="006A437D" w:rsidRDefault="008B729A" w:rsidP="00021BDE">
            <w:pPr>
              <w:spacing w:afterLines="40" w:after="96" w:line="264" w:lineRule="auto"/>
              <w:rPr>
                <w:rFonts w:eastAsia="Arial" w:cstheme="minorHAnsi"/>
                <w:b/>
                <w:bCs/>
                <w:color w:val="000000"/>
              </w:rPr>
            </w:pPr>
            <w:r>
              <w:rPr>
                <w:rFonts w:eastAsia="Arial" w:cstheme="minorHAnsi"/>
                <w:b/>
                <w:bCs/>
                <w:color w:val="000000"/>
              </w:rPr>
              <w:t>List of activities</w:t>
            </w:r>
          </w:p>
        </w:tc>
        <w:tc>
          <w:tcPr>
            <w:tcW w:w="12585" w:type="dxa"/>
          </w:tcPr>
          <w:p w14:paraId="082A7C91" w14:textId="77777777" w:rsidR="008B729A" w:rsidRPr="006A437D" w:rsidRDefault="008B729A" w:rsidP="00021BDE">
            <w:pPr>
              <w:spacing w:afterLines="40" w:after="96" w:line="264" w:lineRule="auto"/>
              <w:rPr>
                <w:rFonts w:eastAsia="Arial" w:cstheme="minorHAnsi"/>
                <w:color w:val="000000"/>
              </w:rPr>
            </w:pPr>
            <w:r w:rsidRPr="006A437D">
              <w:rPr>
                <w:rFonts w:eastAsia="Arial" w:cstheme="minorHAnsi"/>
                <w:b/>
                <w:color w:val="000000"/>
              </w:rPr>
              <w:t xml:space="preserve">Intervention: </w:t>
            </w:r>
            <w:r w:rsidRPr="006A437D">
              <w:rPr>
                <w:rFonts w:eastAsia="Arial" w:cstheme="minorHAnsi"/>
                <w:color w:val="000000"/>
              </w:rPr>
              <w:t>Seasonal malaria chemoprevention (SMC)</w:t>
            </w:r>
          </w:p>
          <w:p w14:paraId="60F98949" w14:textId="77777777" w:rsidR="008B729A" w:rsidRPr="00127F33" w:rsidRDefault="008B729A" w:rsidP="00021BDE">
            <w:pPr>
              <w:spacing w:after="0" w:line="264" w:lineRule="auto"/>
              <w:rPr>
                <w:rFonts w:eastAsia="Arial" w:cstheme="minorHAnsi"/>
                <w:color w:val="000000"/>
              </w:rPr>
            </w:pPr>
            <w:r w:rsidRPr="00127F33">
              <w:rPr>
                <w:rFonts w:eastAsia="Arial" w:cstheme="minorHAnsi"/>
                <w:color w:val="000000"/>
              </w:rPr>
              <w:t>Key activities under this intervention include:</w:t>
            </w:r>
          </w:p>
          <w:p w14:paraId="6014A1B7" w14:textId="77777777" w:rsidR="008B729A" w:rsidRPr="00F95FEF" w:rsidRDefault="008B729A" w:rsidP="00021BDE">
            <w:pPr>
              <w:numPr>
                <w:ilvl w:val="0"/>
                <w:numId w:val="42"/>
              </w:numPr>
              <w:spacing w:after="0" w:line="264" w:lineRule="auto"/>
              <w:rPr>
                <w:rFonts w:eastAsia="Arial" w:cstheme="minorHAnsi"/>
                <w:b/>
                <w:bCs/>
                <w:color w:val="000000"/>
              </w:rPr>
            </w:pPr>
            <w:r w:rsidRPr="00127F33">
              <w:rPr>
                <w:rFonts w:eastAsia="Arial" w:cstheme="minorHAnsi"/>
                <w:color w:val="000000"/>
              </w:rPr>
              <w:t>Procurement of sulfadoxine-pyrimethamine + amodiaquine (SPAQ) as well as campaign costs for SMC in Niassa Province. Total 3-year cost =</w:t>
            </w:r>
            <w:r>
              <w:rPr>
                <w:rFonts w:eastAsia="Arial" w:cstheme="minorHAnsi"/>
                <w:color w:val="000000"/>
              </w:rPr>
              <w:t xml:space="preserve"> </w:t>
            </w:r>
            <w:r w:rsidRPr="00F95FEF">
              <w:rPr>
                <w:rFonts w:eastAsia="Arial" w:cstheme="minorHAnsi"/>
                <w:b/>
                <w:bCs/>
                <w:color w:val="000000"/>
              </w:rPr>
              <w:t>$1</w:t>
            </w:r>
            <w:r>
              <w:rPr>
                <w:rFonts w:eastAsia="Arial" w:cstheme="minorHAnsi"/>
                <w:b/>
                <w:bCs/>
                <w:color w:val="000000"/>
              </w:rPr>
              <w:t>0</w:t>
            </w:r>
            <w:r w:rsidRPr="00F95FEF">
              <w:rPr>
                <w:rFonts w:eastAsia="Arial" w:cstheme="minorHAnsi"/>
                <w:b/>
                <w:bCs/>
                <w:color w:val="000000"/>
              </w:rPr>
              <w:t>,</w:t>
            </w:r>
            <w:r>
              <w:rPr>
                <w:rFonts w:eastAsia="Arial" w:cstheme="minorHAnsi"/>
                <w:b/>
                <w:bCs/>
                <w:color w:val="000000"/>
              </w:rPr>
              <w:t>940</w:t>
            </w:r>
            <w:r w:rsidRPr="00F95FEF">
              <w:rPr>
                <w:rFonts w:eastAsia="Arial" w:cstheme="minorHAnsi"/>
                <w:b/>
                <w:bCs/>
                <w:color w:val="000000"/>
              </w:rPr>
              <w:t>,</w:t>
            </w:r>
            <w:r>
              <w:rPr>
                <w:rFonts w:eastAsia="Arial" w:cstheme="minorHAnsi"/>
                <w:b/>
                <w:bCs/>
                <w:color w:val="000000"/>
              </w:rPr>
              <w:t>641</w:t>
            </w:r>
          </w:p>
          <w:p w14:paraId="128CCE69" w14:textId="77777777" w:rsidR="008B729A" w:rsidRPr="00127F33" w:rsidRDefault="008B729A" w:rsidP="00021BDE">
            <w:pPr>
              <w:numPr>
                <w:ilvl w:val="0"/>
                <w:numId w:val="42"/>
              </w:numPr>
              <w:spacing w:afterLines="40" w:after="96" w:line="264" w:lineRule="auto"/>
              <w:rPr>
                <w:rFonts w:eastAsia="Arial" w:cstheme="minorHAnsi"/>
                <w:color w:val="000000"/>
              </w:rPr>
            </w:pPr>
            <w:r w:rsidRPr="00127F33">
              <w:rPr>
                <w:rFonts w:eastAsia="Arial" w:cstheme="minorHAnsi"/>
                <w:color w:val="000000"/>
              </w:rPr>
              <w:t xml:space="preserve">Following its identification as an intervention to explore in Mozambique during the 2020 MTR, SMC was introduced as a pilot in selected districts of Nampula Province. Nampula SMC is financed by Malaria Consortium via Givewell. Following success and apparent impact, it was expanded to all of Nampula Province in 2022/23. Following identification of Niassa as the top expansion priority during the 2022 stratification, it underwent an </w:t>
            </w:r>
            <w:r>
              <w:rPr>
                <w:rFonts w:eastAsia="Arial" w:cstheme="minorHAnsi"/>
                <w:color w:val="000000"/>
              </w:rPr>
              <w:t xml:space="preserve">operational </w:t>
            </w:r>
            <w:r w:rsidRPr="00127F33">
              <w:rPr>
                <w:rFonts w:eastAsia="Arial" w:cstheme="minorHAnsi"/>
                <w:color w:val="000000"/>
              </w:rPr>
              <w:t xml:space="preserve">expansion assessment in 2022/23. </w:t>
            </w:r>
          </w:p>
          <w:p w14:paraId="3ED75F52" w14:textId="77777777" w:rsidR="008B729A" w:rsidRPr="00127F33" w:rsidRDefault="008B729A" w:rsidP="00021BDE">
            <w:pPr>
              <w:numPr>
                <w:ilvl w:val="0"/>
                <w:numId w:val="42"/>
              </w:numPr>
              <w:shd w:val="clear" w:color="auto" w:fill="FFFFFF"/>
              <w:spacing w:afterLines="40" w:after="96" w:line="240" w:lineRule="auto"/>
              <w:rPr>
                <w:rFonts w:eastAsia="ArialMT" w:cstheme="minorHAnsi"/>
                <w:color w:val="000000"/>
              </w:rPr>
            </w:pPr>
            <w:r w:rsidRPr="00127F33">
              <w:rPr>
                <w:rFonts w:eastAsia="Arial" w:cstheme="minorHAnsi"/>
                <w:b/>
                <w:color w:val="000000"/>
              </w:rPr>
              <w:t xml:space="preserve">Digitization of the campaign: </w:t>
            </w:r>
            <w:r w:rsidRPr="00127F33">
              <w:rPr>
                <w:rFonts w:eastAsia="Arial" w:cstheme="minorHAnsi"/>
                <w:color w:val="000000"/>
              </w:rPr>
              <w:t xml:space="preserve">Budget for campaign digitization is included under RSSH per the modular framework guidance, however SMC campaigns will be digitized. An integrated approach will be taken to use a common platform to digitize all malaria campaigns, allowing for resource efficiency (e.g. device re-use and shared resources across donors) as well as operational improvement through sharing of granular population/household geo-registries. The 2022/23 ITN campaign is the first to be digitized in this way, utilizing C19RM resources, with IRS and SMC to come onboard in the future through this investment and complementary partner support. </w:t>
            </w:r>
          </w:p>
          <w:p w14:paraId="6770AA13" w14:textId="77777777" w:rsidR="008B729A" w:rsidRPr="00127F33" w:rsidRDefault="008B729A" w:rsidP="00021BDE">
            <w:pPr>
              <w:spacing w:after="0" w:line="264" w:lineRule="auto"/>
              <w:rPr>
                <w:rFonts w:eastAsia="Arial" w:cstheme="minorHAnsi"/>
                <w:color w:val="000000"/>
              </w:rPr>
            </w:pPr>
            <w:r w:rsidRPr="00127F33">
              <w:rPr>
                <w:rFonts w:eastAsia="Arial" w:cstheme="minorHAnsi"/>
                <w:b/>
                <w:bCs/>
                <w:color w:val="000000"/>
              </w:rPr>
              <w:t xml:space="preserve">PAAR: </w:t>
            </w:r>
            <w:r w:rsidRPr="00127F33">
              <w:rPr>
                <w:rFonts w:eastAsia="Arial" w:cstheme="minorHAnsi"/>
                <w:color w:val="000000"/>
              </w:rPr>
              <w:t>Expansion of SMC is a priority in the following areas of high burden and high seasonality, as informed by the intervention stratification, and would begin in 2025 if funded as above allocation requests:</w:t>
            </w:r>
          </w:p>
          <w:p w14:paraId="68397A36" w14:textId="77777777" w:rsidR="008B729A" w:rsidRPr="00127F33" w:rsidRDefault="008B729A" w:rsidP="00021BDE">
            <w:pPr>
              <w:numPr>
                <w:ilvl w:val="0"/>
                <w:numId w:val="42"/>
              </w:numPr>
              <w:spacing w:after="0" w:line="264" w:lineRule="auto"/>
              <w:rPr>
                <w:rFonts w:eastAsia="Arial" w:cstheme="minorHAnsi"/>
                <w:color w:val="000000"/>
              </w:rPr>
            </w:pPr>
            <w:r w:rsidRPr="00127F33">
              <w:rPr>
                <w:rFonts w:eastAsia="Arial" w:cstheme="minorHAnsi"/>
                <w:color w:val="000000"/>
              </w:rPr>
              <w:t xml:space="preserve">6 districts of Cabo Delgado </w:t>
            </w:r>
          </w:p>
          <w:p w14:paraId="00124542" w14:textId="77777777" w:rsidR="008B729A" w:rsidRPr="00127F33" w:rsidRDefault="008B729A" w:rsidP="00021BDE">
            <w:pPr>
              <w:numPr>
                <w:ilvl w:val="0"/>
                <w:numId w:val="42"/>
              </w:numPr>
              <w:spacing w:after="0" w:line="264" w:lineRule="auto"/>
              <w:rPr>
                <w:rFonts w:eastAsia="Arial" w:cstheme="minorHAnsi"/>
                <w:color w:val="000000"/>
              </w:rPr>
            </w:pPr>
            <w:r w:rsidRPr="00127F33">
              <w:rPr>
                <w:rFonts w:eastAsia="Arial" w:cstheme="minorHAnsi"/>
                <w:color w:val="000000"/>
              </w:rPr>
              <w:t>All districts in Manica</w:t>
            </w:r>
          </w:p>
          <w:p w14:paraId="57F7AE12" w14:textId="77777777" w:rsidR="008B729A" w:rsidRPr="006A437D" w:rsidRDefault="008B729A" w:rsidP="00021BDE">
            <w:pPr>
              <w:shd w:val="clear" w:color="auto" w:fill="FFFFFF"/>
              <w:spacing w:afterLines="40" w:after="96" w:line="264" w:lineRule="auto"/>
              <w:rPr>
                <w:rFonts w:eastAsia="Arial" w:cstheme="minorHAnsi"/>
                <w:color w:val="000000"/>
              </w:rPr>
            </w:pPr>
            <w:r w:rsidRPr="00127F33">
              <w:rPr>
                <w:rFonts w:eastAsia="Arial" w:cstheme="minorHAnsi"/>
                <w:color w:val="000000"/>
              </w:rPr>
              <w:t xml:space="preserve">Total 3-year PAAR cost = </w:t>
            </w:r>
            <w:r w:rsidRPr="00F95FEF">
              <w:rPr>
                <w:rFonts w:eastAsia="Arial" w:cstheme="minorHAnsi"/>
                <w:b/>
                <w:bCs/>
                <w:color w:val="000000"/>
              </w:rPr>
              <w:t>$11,</w:t>
            </w:r>
            <w:r>
              <w:rPr>
                <w:rFonts w:eastAsia="Arial" w:cstheme="minorHAnsi"/>
                <w:b/>
                <w:bCs/>
                <w:color w:val="000000"/>
              </w:rPr>
              <w:t>208</w:t>
            </w:r>
            <w:r w:rsidRPr="00F95FEF">
              <w:rPr>
                <w:rFonts w:eastAsia="Arial" w:cstheme="minorHAnsi"/>
                <w:b/>
                <w:bCs/>
                <w:color w:val="000000"/>
              </w:rPr>
              <w:t>,</w:t>
            </w:r>
            <w:r>
              <w:rPr>
                <w:rFonts w:eastAsia="Arial" w:cstheme="minorHAnsi"/>
                <w:b/>
                <w:bCs/>
                <w:color w:val="000000"/>
              </w:rPr>
              <w:t>746</w:t>
            </w:r>
          </w:p>
        </w:tc>
      </w:tr>
      <w:tr w:rsidR="008B729A" w:rsidRPr="006A437D" w14:paraId="312D9027" w14:textId="77777777" w:rsidTr="00021BDE">
        <w:tc>
          <w:tcPr>
            <w:tcW w:w="2580" w:type="dxa"/>
            <w:vMerge/>
          </w:tcPr>
          <w:p w14:paraId="7FD28763" w14:textId="77777777" w:rsidR="008B729A" w:rsidRDefault="008B729A" w:rsidP="00021BDE">
            <w:pPr>
              <w:spacing w:afterLines="40" w:after="96" w:line="264" w:lineRule="auto"/>
              <w:rPr>
                <w:rFonts w:eastAsia="Arial" w:cstheme="minorHAnsi"/>
                <w:b/>
                <w:bCs/>
                <w:color w:val="000000"/>
              </w:rPr>
            </w:pPr>
          </w:p>
        </w:tc>
        <w:tc>
          <w:tcPr>
            <w:tcW w:w="12585" w:type="dxa"/>
          </w:tcPr>
          <w:p w14:paraId="4AA0CD89" w14:textId="77777777" w:rsidR="008B729A" w:rsidRPr="00127F33" w:rsidRDefault="008B729A" w:rsidP="00021BDE">
            <w:pPr>
              <w:spacing w:afterLines="40" w:after="96" w:line="264" w:lineRule="auto"/>
              <w:rPr>
                <w:rFonts w:eastAsia="Arial" w:cstheme="minorHAnsi"/>
                <w:color w:val="000000"/>
              </w:rPr>
            </w:pPr>
            <w:r w:rsidRPr="006A437D">
              <w:rPr>
                <w:rFonts w:eastAsia="Arial" w:cstheme="minorHAnsi"/>
                <w:b/>
                <w:color w:val="000000"/>
              </w:rPr>
              <w:t xml:space="preserve">Intervention: </w:t>
            </w:r>
            <w:r w:rsidRPr="006A437D">
              <w:rPr>
                <w:rFonts w:eastAsia="Arial" w:cstheme="minorHAnsi"/>
                <w:color w:val="000000"/>
              </w:rPr>
              <w:t xml:space="preserve">Perennial malaria </w:t>
            </w:r>
            <w:r w:rsidRPr="00127F33">
              <w:rPr>
                <w:rFonts w:eastAsia="Arial" w:cstheme="minorHAnsi"/>
                <w:color w:val="000000"/>
              </w:rPr>
              <w:t xml:space="preserve">chemoprevention (PMC) </w:t>
            </w:r>
          </w:p>
          <w:p w14:paraId="15F9E241" w14:textId="77777777" w:rsidR="008B729A" w:rsidRPr="00127F33" w:rsidRDefault="008B729A" w:rsidP="00021BDE">
            <w:pPr>
              <w:spacing w:afterLines="40" w:after="96" w:line="264" w:lineRule="auto"/>
              <w:rPr>
                <w:rFonts w:eastAsia="Arial" w:cstheme="minorHAnsi"/>
                <w:color w:val="000000"/>
              </w:rPr>
            </w:pPr>
            <w:r w:rsidRPr="00127F33">
              <w:rPr>
                <w:rFonts w:eastAsia="Arial" w:cstheme="minorHAnsi"/>
                <w:color w:val="000000"/>
              </w:rPr>
              <w:t xml:space="preserve">Change in Programming from current grant: </w:t>
            </w:r>
            <w:r w:rsidRPr="00127F33">
              <w:rPr>
                <w:rFonts w:ascii="Segoe UI Symbol" w:eastAsia="MS Gothic" w:hAnsi="Segoe UI Symbol" w:cs="Segoe UI Symbol"/>
                <w:color w:val="000000"/>
              </w:rPr>
              <w:t>☐</w:t>
            </w:r>
            <w:r w:rsidRPr="00127F33">
              <w:rPr>
                <w:rFonts w:eastAsia="Arial" w:cstheme="minorHAnsi"/>
                <w:color w:val="000000"/>
              </w:rPr>
              <w:t xml:space="preserve"> New, </w:t>
            </w:r>
            <w:r w:rsidRPr="00127F33">
              <w:rPr>
                <w:rFonts w:ascii="Segoe UI Symbol" w:eastAsia="MS Gothic" w:hAnsi="Segoe UI Symbol" w:cs="Segoe UI Symbol"/>
                <w:color w:val="000000"/>
              </w:rPr>
              <w:t>☒</w:t>
            </w:r>
            <w:r w:rsidRPr="00127F33">
              <w:rPr>
                <w:rFonts w:eastAsia="Arial" w:cstheme="minorHAnsi"/>
                <w:color w:val="000000"/>
              </w:rPr>
              <w:t xml:space="preserve"> Scale-up, </w:t>
            </w:r>
            <w:r w:rsidRPr="00127F33">
              <w:rPr>
                <w:rFonts w:ascii="Segoe UI Symbol" w:eastAsia="MS Gothic" w:hAnsi="Segoe UI Symbol" w:cs="Segoe UI Symbol"/>
                <w:color w:val="000000"/>
              </w:rPr>
              <w:t>☐</w:t>
            </w:r>
            <w:r w:rsidRPr="00127F33">
              <w:rPr>
                <w:rFonts w:eastAsia="Arial" w:cstheme="minorHAnsi"/>
                <w:color w:val="000000"/>
              </w:rPr>
              <w:t xml:space="preserve"> Continuation, or </w:t>
            </w:r>
            <w:r w:rsidRPr="00127F33">
              <w:rPr>
                <w:rFonts w:ascii="Segoe UI Symbol" w:eastAsia="MS Gothic" w:hAnsi="Segoe UI Symbol" w:cs="Segoe UI Symbol"/>
                <w:color w:val="000000"/>
              </w:rPr>
              <w:t>☐</w:t>
            </w:r>
            <w:r w:rsidRPr="00127F33">
              <w:rPr>
                <w:rFonts w:eastAsia="Arial" w:cstheme="minorHAnsi"/>
                <w:color w:val="000000"/>
              </w:rPr>
              <w:t xml:space="preserve"> Scale-down</w:t>
            </w:r>
          </w:p>
          <w:p w14:paraId="2E699727" w14:textId="77777777" w:rsidR="008B729A" w:rsidRPr="00127F33" w:rsidRDefault="008B729A" w:rsidP="00021BDE">
            <w:pPr>
              <w:spacing w:afterLines="40" w:after="96" w:line="264" w:lineRule="auto"/>
              <w:rPr>
                <w:rFonts w:eastAsia="Arial" w:cstheme="minorHAnsi"/>
                <w:b/>
                <w:color w:val="000000"/>
              </w:rPr>
            </w:pPr>
            <w:r w:rsidRPr="00127F33">
              <w:rPr>
                <w:rFonts w:eastAsia="Arial" w:cstheme="minorHAnsi"/>
                <w:b/>
                <w:color w:val="000000"/>
              </w:rPr>
              <w:t xml:space="preserve">Activities: </w:t>
            </w:r>
          </w:p>
          <w:p w14:paraId="23D88E35" w14:textId="77777777" w:rsidR="008B729A" w:rsidRPr="00127F33" w:rsidRDefault="008B729A" w:rsidP="00021BDE">
            <w:pPr>
              <w:spacing w:afterLines="40" w:after="96" w:line="264" w:lineRule="auto"/>
              <w:rPr>
                <w:rFonts w:eastAsia="Arial" w:cstheme="minorHAnsi"/>
                <w:color w:val="000000"/>
              </w:rPr>
            </w:pPr>
            <w:r w:rsidRPr="00127F33">
              <w:rPr>
                <w:rFonts w:eastAsia="Arial" w:cstheme="minorHAnsi"/>
                <w:color w:val="000000"/>
              </w:rPr>
              <w:t>Key activities under this intervention include:</w:t>
            </w:r>
          </w:p>
          <w:p w14:paraId="45D45554" w14:textId="77777777" w:rsidR="008B729A" w:rsidRPr="00127F33" w:rsidRDefault="008B729A" w:rsidP="00021BDE">
            <w:pPr>
              <w:numPr>
                <w:ilvl w:val="0"/>
                <w:numId w:val="42"/>
              </w:numPr>
              <w:spacing w:after="0" w:line="264" w:lineRule="auto"/>
              <w:rPr>
                <w:rFonts w:eastAsia="Arial" w:cstheme="minorHAnsi"/>
                <w:color w:val="000000"/>
              </w:rPr>
            </w:pPr>
            <w:r w:rsidRPr="00127F33">
              <w:rPr>
                <w:rFonts w:eastAsia="Arial" w:cstheme="minorHAnsi"/>
                <w:color w:val="000000"/>
              </w:rPr>
              <w:t xml:space="preserve">Procurement of sulfadoxine-pyrimethamine (SP) as well as implementation and oversight costs for PMC in Sofala Province, for the years 2025 and 2026. Total cost = </w:t>
            </w:r>
            <w:r w:rsidRPr="00127F33">
              <w:rPr>
                <w:rFonts w:eastAsia="Arial" w:cstheme="minorHAnsi"/>
                <w:b/>
                <w:bCs/>
                <w:color w:val="000000"/>
              </w:rPr>
              <w:t>$1,807,205</w:t>
            </w:r>
          </w:p>
          <w:p w14:paraId="7DDA5BB1" w14:textId="77777777" w:rsidR="008B729A" w:rsidRDefault="008B729A" w:rsidP="00021BDE">
            <w:pPr>
              <w:numPr>
                <w:ilvl w:val="0"/>
                <w:numId w:val="42"/>
              </w:numPr>
              <w:spacing w:afterLines="40" w:after="96" w:line="264" w:lineRule="auto"/>
              <w:rPr>
                <w:rFonts w:eastAsia="Arial" w:cstheme="minorHAnsi"/>
                <w:color w:val="000000"/>
              </w:rPr>
            </w:pPr>
            <w:r w:rsidRPr="006A437D">
              <w:rPr>
                <w:rFonts w:eastAsia="Arial" w:cstheme="minorHAnsi"/>
                <w:color w:val="000000"/>
              </w:rPr>
              <w:t>Following its identification as an intervention to explore in Mozambique during the 2020 MTR, PMC was planned for introduction as a pilot in selected districts of Sofala Province under the PSI/Unitaid operational research project. While implementation is only now beginning, the successful results of SMC has gained MOH confidence in the use of SP as a chemoprophylactic even in the face of SP resistance in the country. As such, it was identified as a top priority during the 2022 intervention stratification. Implementation in Sofala is funded by PSI via Unitaid</w:t>
            </w:r>
            <w:r>
              <w:rPr>
                <w:rFonts w:eastAsia="Arial" w:cstheme="minorHAnsi"/>
                <w:color w:val="000000"/>
              </w:rPr>
              <w:t xml:space="preserve"> through end of 2024 (and proposed here for 2025/26)</w:t>
            </w:r>
            <w:r w:rsidRPr="006A437D">
              <w:rPr>
                <w:rFonts w:eastAsia="Arial" w:cstheme="minorHAnsi"/>
                <w:color w:val="000000"/>
              </w:rPr>
              <w:t xml:space="preserve">, and Zambezia </w:t>
            </w:r>
            <w:r>
              <w:rPr>
                <w:rFonts w:eastAsia="Arial" w:cstheme="minorHAnsi"/>
                <w:color w:val="000000"/>
              </w:rPr>
              <w:t xml:space="preserve">for all years </w:t>
            </w:r>
            <w:r w:rsidRPr="006A437D">
              <w:rPr>
                <w:rFonts w:eastAsia="Arial" w:cstheme="minorHAnsi"/>
                <w:color w:val="000000"/>
              </w:rPr>
              <w:t>via PMI.</w:t>
            </w:r>
          </w:p>
          <w:p w14:paraId="3CFC8FE2" w14:textId="77777777" w:rsidR="008B729A" w:rsidRPr="00127F33" w:rsidRDefault="008B729A" w:rsidP="00021BDE">
            <w:pPr>
              <w:shd w:val="clear" w:color="auto" w:fill="FFFFFF"/>
              <w:spacing w:after="0" w:line="264" w:lineRule="auto"/>
              <w:rPr>
                <w:rFonts w:eastAsia="Arial" w:cstheme="minorHAnsi"/>
                <w:color w:val="000000"/>
              </w:rPr>
            </w:pPr>
            <w:r w:rsidRPr="006A1974">
              <w:rPr>
                <w:rFonts w:eastAsia="Arial" w:cstheme="minorHAnsi"/>
                <w:b/>
                <w:bCs/>
                <w:color w:val="000000"/>
              </w:rPr>
              <w:t xml:space="preserve">PAAR: </w:t>
            </w:r>
            <w:r w:rsidRPr="006A1974">
              <w:rPr>
                <w:rFonts w:eastAsia="Arial" w:cstheme="minorHAnsi"/>
                <w:color w:val="000000"/>
              </w:rPr>
              <w:t xml:space="preserve">Expansion of PMC into the </w:t>
            </w:r>
            <w:r w:rsidRPr="00127F33">
              <w:rPr>
                <w:rFonts w:eastAsia="Arial" w:cstheme="minorHAnsi"/>
                <w:color w:val="000000"/>
              </w:rPr>
              <w:t>following geographies, prioritized in this order as informed by the intervention stratification, which considered areas of high burden but low-to-moderate seasonality. The following scale up would begin in 2025 if budget is secured:</w:t>
            </w:r>
          </w:p>
          <w:p w14:paraId="4028B13C" w14:textId="77777777" w:rsidR="008B729A" w:rsidRPr="00127F33" w:rsidRDefault="008B729A" w:rsidP="00021BDE">
            <w:pPr>
              <w:pStyle w:val="ListParagraph"/>
              <w:numPr>
                <w:ilvl w:val="0"/>
                <w:numId w:val="53"/>
              </w:numPr>
              <w:shd w:val="clear" w:color="auto" w:fill="FFFFFF"/>
              <w:spacing w:afterLines="40" w:after="96" w:line="264" w:lineRule="auto"/>
              <w:rPr>
                <w:rFonts w:eastAsia="Arial" w:cstheme="minorHAnsi"/>
                <w:color w:val="000000"/>
              </w:rPr>
            </w:pPr>
            <w:r w:rsidRPr="00127F33">
              <w:rPr>
                <w:rFonts w:eastAsia="Arial" w:cstheme="minorHAnsi"/>
                <w:color w:val="000000"/>
              </w:rPr>
              <w:t xml:space="preserve">11 districts in Cabo Delgado </w:t>
            </w:r>
          </w:p>
          <w:p w14:paraId="7424265B" w14:textId="77777777" w:rsidR="008B729A" w:rsidRPr="00127F33" w:rsidRDefault="008B729A" w:rsidP="00021BDE">
            <w:pPr>
              <w:pStyle w:val="ListParagraph"/>
              <w:numPr>
                <w:ilvl w:val="0"/>
                <w:numId w:val="53"/>
              </w:numPr>
              <w:shd w:val="clear" w:color="auto" w:fill="FFFFFF"/>
              <w:spacing w:afterLines="40" w:after="96" w:line="264" w:lineRule="auto"/>
              <w:rPr>
                <w:rFonts w:eastAsia="Arial" w:cstheme="minorHAnsi"/>
                <w:color w:val="000000"/>
              </w:rPr>
            </w:pPr>
            <w:r w:rsidRPr="00127F33">
              <w:rPr>
                <w:rFonts w:eastAsia="Arial" w:cstheme="minorHAnsi"/>
                <w:color w:val="000000"/>
              </w:rPr>
              <w:t>All districts in Tete</w:t>
            </w:r>
          </w:p>
          <w:p w14:paraId="29E06FEA" w14:textId="77777777" w:rsidR="008B729A" w:rsidRPr="00127F33" w:rsidRDefault="008B729A" w:rsidP="00021BDE">
            <w:pPr>
              <w:pStyle w:val="ListParagraph"/>
              <w:numPr>
                <w:ilvl w:val="0"/>
                <w:numId w:val="53"/>
              </w:numPr>
              <w:shd w:val="clear" w:color="auto" w:fill="FFFFFF"/>
              <w:spacing w:afterLines="40" w:after="96" w:line="264" w:lineRule="auto"/>
              <w:rPr>
                <w:rFonts w:eastAsia="Arial" w:cstheme="minorHAnsi"/>
                <w:color w:val="000000"/>
              </w:rPr>
            </w:pPr>
            <w:r w:rsidRPr="00127F33">
              <w:rPr>
                <w:rFonts w:eastAsia="Arial" w:cstheme="minorHAnsi"/>
                <w:color w:val="000000"/>
              </w:rPr>
              <w:t>All districts in Inhambane</w:t>
            </w:r>
          </w:p>
          <w:p w14:paraId="22322B6B" w14:textId="77777777" w:rsidR="008B729A" w:rsidRPr="00127F33" w:rsidRDefault="008B729A" w:rsidP="00021BDE">
            <w:pPr>
              <w:pStyle w:val="ListParagraph"/>
              <w:numPr>
                <w:ilvl w:val="0"/>
                <w:numId w:val="53"/>
              </w:numPr>
              <w:shd w:val="clear" w:color="auto" w:fill="FFFFFF"/>
              <w:spacing w:afterLines="40" w:after="96" w:line="264" w:lineRule="auto"/>
              <w:rPr>
                <w:rFonts w:eastAsia="Arial" w:cstheme="minorHAnsi"/>
                <w:color w:val="000000"/>
              </w:rPr>
            </w:pPr>
            <w:r w:rsidRPr="00127F33">
              <w:rPr>
                <w:rFonts w:eastAsia="Arial" w:cstheme="minorHAnsi"/>
                <w:color w:val="000000"/>
              </w:rPr>
              <w:t>All districts in Gaza</w:t>
            </w:r>
          </w:p>
          <w:p w14:paraId="79B85F51" w14:textId="77777777" w:rsidR="008B729A" w:rsidRPr="006A437D" w:rsidRDefault="008B729A" w:rsidP="00021BDE">
            <w:pPr>
              <w:shd w:val="clear" w:color="auto" w:fill="FFFFFF"/>
              <w:spacing w:afterLines="40" w:after="96" w:line="264" w:lineRule="auto"/>
              <w:rPr>
                <w:rFonts w:eastAsia="Arial" w:cstheme="minorHAnsi"/>
                <w:color w:val="000000"/>
              </w:rPr>
            </w:pPr>
            <w:r w:rsidRPr="00127F33">
              <w:rPr>
                <w:rFonts w:eastAsia="Arial" w:cstheme="minorHAnsi"/>
                <w:color w:val="000000"/>
              </w:rPr>
              <w:t xml:space="preserve">Total 3-year PAAR cost = </w:t>
            </w:r>
            <w:r w:rsidRPr="00127F33">
              <w:rPr>
                <w:rFonts w:eastAsia="Arial" w:cstheme="minorHAnsi"/>
                <w:b/>
                <w:bCs/>
                <w:color w:val="000000"/>
              </w:rPr>
              <w:t>$4,622,920</w:t>
            </w:r>
          </w:p>
        </w:tc>
      </w:tr>
      <w:tr w:rsidR="008B729A" w:rsidRPr="006A437D" w14:paraId="20140CA5" w14:textId="77777777" w:rsidTr="00021BDE">
        <w:tc>
          <w:tcPr>
            <w:tcW w:w="2580" w:type="dxa"/>
          </w:tcPr>
          <w:p w14:paraId="3BFFE709" w14:textId="77777777" w:rsidR="008B729A" w:rsidRPr="006A437D" w:rsidRDefault="008B729A" w:rsidP="00021BDE">
            <w:pPr>
              <w:spacing w:afterLines="40" w:after="96" w:line="264" w:lineRule="auto"/>
              <w:rPr>
                <w:rFonts w:eastAsia="Arial" w:cstheme="minorHAnsi"/>
                <w:b/>
                <w:bCs/>
                <w:color w:val="000000"/>
              </w:rPr>
            </w:pPr>
            <w:r>
              <w:rPr>
                <w:rFonts w:eastAsia="Arial" w:cstheme="minorHAnsi"/>
                <w:b/>
                <w:bCs/>
                <w:color w:val="000000"/>
              </w:rPr>
              <w:t>Amount requested</w:t>
            </w:r>
          </w:p>
        </w:tc>
        <w:tc>
          <w:tcPr>
            <w:tcW w:w="12585" w:type="dxa"/>
          </w:tcPr>
          <w:p w14:paraId="634F06F4" w14:textId="77777777" w:rsidR="008B729A" w:rsidRPr="00127F33" w:rsidRDefault="008B729A" w:rsidP="00021BDE">
            <w:pPr>
              <w:shd w:val="clear" w:color="auto" w:fill="FFFFFF"/>
              <w:spacing w:afterLines="40" w:after="96" w:line="264" w:lineRule="auto"/>
              <w:rPr>
                <w:rFonts w:eastAsia="Arial" w:cstheme="minorHAnsi"/>
                <w:b/>
                <w:bCs/>
                <w:color w:val="000000"/>
              </w:rPr>
            </w:pPr>
            <w:r w:rsidRPr="006A437D">
              <w:rPr>
                <w:rFonts w:eastAsia="Arial" w:cstheme="minorHAnsi"/>
                <w:b/>
                <w:bCs/>
                <w:color w:val="000000"/>
              </w:rPr>
              <w:t xml:space="preserve">Within </w:t>
            </w:r>
            <w:r w:rsidRPr="00127F33">
              <w:rPr>
                <w:rFonts w:eastAsia="Arial" w:cstheme="minorHAnsi"/>
                <w:b/>
                <w:bCs/>
                <w:color w:val="000000"/>
              </w:rPr>
              <w:t>allocation = $1</w:t>
            </w:r>
            <w:r>
              <w:rPr>
                <w:rFonts w:eastAsia="Arial" w:cstheme="minorHAnsi"/>
                <w:b/>
                <w:bCs/>
                <w:color w:val="000000"/>
              </w:rPr>
              <w:t>2</w:t>
            </w:r>
            <w:r w:rsidRPr="00127F33">
              <w:rPr>
                <w:rFonts w:eastAsia="Arial" w:cstheme="minorHAnsi"/>
                <w:b/>
                <w:bCs/>
                <w:color w:val="000000"/>
              </w:rPr>
              <w:t>,</w:t>
            </w:r>
            <w:r>
              <w:rPr>
                <w:rFonts w:eastAsia="Arial" w:cstheme="minorHAnsi"/>
                <w:b/>
                <w:bCs/>
                <w:color w:val="000000"/>
              </w:rPr>
              <w:t>747</w:t>
            </w:r>
            <w:r w:rsidRPr="00127F33">
              <w:rPr>
                <w:rFonts w:eastAsia="Arial" w:cstheme="minorHAnsi"/>
                <w:b/>
                <w:bCs/>
                <w:color w:val="000000"/>
              </w:rPr>
              <w:t>,</w:t>
            </w:r>
            <w:r>
              <w:rPr>
                <w:rFonts w:eastAsia="Arial" w:cstheme="minorHAnsi"/>
                <w:b/>
                <w:bCs/>
                <w:color w:val="000000"/>
              </w:rPr>
              <w:t>846</w:t>
            </w:r>
          </w:p>
          <w:p w14:paraId="69CAB1CE" w14:textId="77777777" w:rsidR="008B729A" w:rsidRPr="006A437D" w:rsidRDefault="008B729A" w:rsidP="00021BDE">
            <w:pPr>
              <w:shd w:val="clear" w:color="auto" w:fill="FFFFFF"/>
              <w:spacing w:afterLines="40" w:after="96" w:line="264" w:lineRule="auto"/>
              <w:rPr>
                <w:rFonts w:eastAsia="Arial" w:cstheme="minorHAnsi"/>
                <w:b/>
                <w:bCs/>
                <w:color w:val="000000"/>
              </w:rPr>
            </w:pPr>
            <w:r w:rsidRPr="00127F33">
              <w:rPr>
                <w:rFonts w:eastAsia="Arial" w:cstheme="minorHAnsi"/>
                <w:b/>
                <w:bCs/>
                <w:color w:val="000000"/>
              </w:rPr>
              <w:t>PAAR = $</w:t>
            </w:r>
            <w:r w:rsidRPr="00294793">
              <w:rPr>
                <w:rFonts w:eastAsia="Arial" w:cstheme="minorHAnsi"/>
                <w:b/>
                <w:bCs/>
                <w:color w:val="000000"/>
              </w:rPr>
              <w:t>1</w:t>
            </w:r>
            <w:r>
              <w:rPr>
                <w:rFonts w:eastAsia="Arial" w:cstheme="minorHAnsi"/>
                <w:b/>
                <w:bCs/>
                <w:color w:val="000000"/>
              </w:rPr>
              <w:t>5</w:t>
            </w:r>
            <w:r w:rsidRPr="00294793">
              <w:rPr>
                <w:rFonts w:eastAsia="Arial" w:cstheme="minorHAnsi"/>
                <w:b/>
                <w:bCs/>
                <w:color w:val="000000"/>
              </w:rPr>
              <w:t>,</w:t>
            </w:r>
            <w:r>
              <w:rPr>
                <w:rFonts w:eastAsia="Arial" w:cstheme="minorHAnsi"/>
                <w:b/>
                <w:bCs/>
                <w:color w:val="000000"/>
              </w:rPr>
              <w:t>831</w:t>
            </w:r>
            <w:r w:rsidRPr="00294793">
              <w:rPr>
                <w:rFonts w:eastAsia="Arial" w:cstheme="minorHAnsi"/>
                <w:b/>
                <w:bCs/>
                <w:color w:val="000000"/>
              </w:rPr>
              <w:t>,</w:t>
            </w:r>
            <w:r>
              <w:rPr>
                <w:rFonts w:eastAsia="Arial" w:cstheme="minorHAnsi"/>
                <w:b/>
                <w:bCs/>
                <w:color w:val="000000"/>
              </w:rPr>
              <w:t>666</w:t>
            </w:r>
          </w:p>
        </w:tc>
      </w:tr>
      <w:tr w:rsidR="008B729A" w:rsidRPr="006A437D" w14:paraId="06155E66" w14:textId="77777777" w:rsidTr="00021BDE">
        <w:tc>
          <w:tcPr>
            <w:tcW w:w="2580" w:type="dxa"/>
          </w:tcPr>
          <w:p w14:paraId="3C35E37E" w14:textId="77777777" w:rsidR="008B729A" w:rsidRPr="006A437D" w:rsidRDefault="008B729A" w:rsidP="00021BDE">
            <w:pPr>
              <w:spacing w:afterLines="40" w:after="96" w:line="264" w:lineRule="auto"/>
              <w:rPr>
                <w:rFonts w:eastAsia="Arial" w:cstheme="minorHAnsi"/>
                <w:b/>
                <w:bCs/>
                <w:color w:val="000000"/>
              </w:rPr>
            </w:pPr>
            <w:r w:rsidRPr="006A437D">
              <w:rPr>
                <w:rFonts w:eastAsia="Arial" w:cstheme="minorHAnsi"/>
                <w:b/>
                <w:bCs/>
                <w:color w:val="000000"/>
              </w:rPr>
              <w:t>Complementary funding and partner support</w:t>
            </w:r>
          </w:p>
        </w:tc>
        <w:tc>
          <w:tcPr>
            <w:tcW w:w="12585" w:type="dxa"/>
          </w:tcPr>
          <w:p w14:paraId="7A653289" w14:textId="77777777" w:rsidR="008B729A" w:rsidRPr="00BF5151" w:rsidRDefault="008B729A" w:rsidP="00021BDE">
            <w:pPr>
              <w:shd w:val="clear" w:color="auto" w:fill="FFFFFF"/>
              <w:spacing w:afterLines="40" w:after="96" w:line="264" w:lineRule="auto"/>
              <w:rPr>
                <w:rFonts w:eastAsia="Arial" w:cstheme="minorHAnsi"/>
                <w:color w:val="000000"/>
              </w:rPr>
            </w:pPr>
            <w:r w:rsidRPr="006A437D">
              <w:rPr>
                <w:rFonts w:eastAsia="Arial" w:cstheme="minorHAnsi"/>
                <w:color w:val="000000"/>
              </w:rPr>
              <w:t>Commodity needs for chemoprevention interventions, by source of fun</w:t>
            </w:r>
            <w:r w:rsidRPr="00BF5151">
              <w:rPr>
                <w:rFonts w:eastAsia="Arial" w:cstheme="minorHAnsi"/>
                <w:color w:val="000000"/>
              </w:rPr>
              <w:t>ding, are summarized in Table 4 below:</w:t>
            </w:r>
          </w:p>
          <w:p w14:paraId="1750A2D7" w14:textId="77777777" w:rsidR="008B729A" w:rsidRDefault="008B729A" w:rsidP="00021BDE">
            <w:pPr>
              <w:shd w:val="clear" w:color="auto" w:fill="FFFFFF"/>
              <w:spacing w:afterLines="40" w:after="96" w:line="264" w:lineRule="auto"/>
              <w:rPr>
                <w:rFonts w:eastAsia="Arial" w:cstheme="minorHAnsi"/>
                <w:color w:val="000000"/>
              </w:rPr>
            </w:pPr>
            <w:r w:rsidRPr="00BF5151">
              <w:rPr>
                <w:rFonts w:eastAsia="Arial" w:cstheme="minorHAnsi"/>
                <w:color w:val="000000"/>
              </w:rPr>
              <w:t>Table 4: Chemoprevention needs and funding by source</w:t>
            </w:r>
          </w:p>
          <w:p w14:paraId="0B83C955" w14:textId="77777777" w:rsidR="008B729A" w:rsidRDefault="008B729A" w:rsidP="00021BDE">
            <w:pPr>
              <w:shd w:val="clear" w:color="auto" w:fill="FFFFFF"/>
              <w:spacing w:afterLines="40" w:after="96" w:line="264" w:lineRule="auto"/>
              <w:rPr>
                <w:rFonts w:eastAsia="Arial" w:cstheme="minorHAnsi"/>
                <w:color w:val="000000"/>
              </w:rPr>
            </w:pPr>
            <w:r w:rsidRPr="00CF2148">
              <w:rPr>
                <w:rFonts w:eastAsia="Arial" w:cstheme="minorHAnsi"/>
                <w:noProof/>
                <w:color w:val="000000"/>
              </w:rPr>
              <w:drawing>
                <wp:inline distT="0" distB="0" distL="0" distR="0" wp14:anchorId="46B0B34E" wp14:editId="03DB8916">
                  <wp:extent cx="5162550" cy="1805769"/>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78107" cy="1811210"/>
                          </a:xfrm>
                          <a:prstGeom prst="rect">
                            <a:avLst/>
                          </a:prstGeom>
                          <a:noFill/>
                          <a:ln>
                            <a:noFill/>
                          </a:ln>
                        </pic:spPr>
                      </pic:pic>
                    </a:graphicData>
                  </a:graphic>
                </wp:inline>
              </w:drawing>
            </w:r>
          </w:p>
          <w:p w14:paraId="59CF7055" w14:textId="77777777" w:rsidR="008B729A" w:rsidRPr="006A437D" w:rsidRDefault="008B729A" w:rsidP="00021BDE">
            <w:pPr>
              <w:shd w:val="clear" w:color="auto" w:fill="FFFFFF"/>
              <w:spacing w:afterLines="40" w:after="96" w:line="264" w:lineRule="auto"/>
              <w:rPr>
                <w:rFonts w:eastAsia="Arial" w:cstheme="minorHAnsi"/>
                <w:color w:val="000000"/>
                <w:highlight w:val="yellow"/>
              </w:rPr>
            </w:pPr>
            <w:r w:rsidRPr="006A437D">
              <w:rPr>
                <w:rFonts w:eastAsia="Arial" w:cstheme="minorHAnsi"/>
                <w:color w:val="000000"/>
              </w:rPr>
              <w:t xml:space="preserve">IPTp continues to be supported b the Government of Mozambique. To date SMC introduction in Mozambique has been supported by Malaria Consortium via Givewell funding, with PMC being introduced by PSI </w:t>
            </w:r>
            <w:r>
              <w:rPr>
                <w:rFonts w:eastAsia="Arial" w:cstheme="minorHAnsi"/>
                <w:color w:val="000000"/>
              </w:rPr>
              <w:t>(</w:t>
            </w:r>
            <w:r w:rsidRPr="006A437D">
              <w:rPr>
                <w:rFonts w:eastAsia="Arial" w:cstheme="minorHAnsi"/>
                <w:color w:val="000000"/>
              </w:rPr>
              <w:t>via Unitaid funding</w:t>
            </w:r>
            <w:r>
              <w:rPr>
                <w:rFonts w:eastAsia="Arial" w:cstheme="minorHAnsi"/>
                <w:color w:val="000000"/>
              </w:rPr>
              <w:t>)</w:t>
            </w:r>
            <w:r w:rsidRPr="006A437D">
              <w:rPr>
                <w:rFonts w:eastAsia="Arial" w:cstheme="minorHAnsi"/>
                <w:color w:val="000000"/>
              </w:rPr>
              <w:t xml:space="preserve"> and PMI </w:t>
            </w:r>
            <w:r>
              <w:rPr>
                <w:rFonts w:eastAsia="Arial" w:cstheme="minorHAnsi"/>
                <w:color w:val="000000"/>
              </w:rPr>
              <w:t>(with</w:t>
            </w:r>
            <w:r w:rsidRPr="006A437D">
              <w:rPr>
                <w:rFonts w:eastAsia="Arial" w:cstheme="minorHAnsi"/>
                <w:color w:val="000000"/>
              </w:rPr>
              <w:t xml:space="preserve"> committ</w:t>
            </w:r>
            <w:r>
              <w:rPr>
                <w:rFonts w:eastAsia="Arial" w:cstheme="minorHAnsi"/>
                <w:color w:val="000000"/>
              </w:rPr>
              <w:t xml:space="preserve">ed </w:t>
            </w:r>
            <w:r w:rsidRPr="006A437D">
              <w:rPr>
                <w:rFonts w:eastAsia="Arial" w:cstheme="minorHAnsi"/>
                <w:color w:val="000000"/>
              </w:rPr>
              <w:t>funding to begin soon</w:t>
            </w:r>
            <w:r>
              <w:rPr>
                <w:rFonts w:eastAsia="Arial" w:cstheme="minorHAnsi"/>
                <w:color w:val="000000"/>
              </w:rPr>
              <w:t>)</w:t>
            </w:r>
            <w:r w:rsidRPr="006A437D">
              <w:rPr>
                <w:rFonts w:eastAsia="Arial" w:cstheme="minorHAnsi"/>
                <w:color w:val="000000"/>
              </w:rPr>
              <w:t xml:space="preserve">, as described above. Additionally Mozambique has recently submitted its application to Gavi for the introduction of the RTS,S malaria vaccine in targeted districts.  </w:t>
            </w:r>
          </w:p>
        </w:tc>
      </w:tr>
      <w:tr w:rsidR="008B729A" w:rsidRPr="006A437D" w14:paraId="0FB25D59" w14:textId="77777777" w:rsidTr="00021BDE">
        <w:tc>
          <w:tcPr>
            <w:tcW w:w="2580" w:type="dxa"/>
            <w:tcBorders>
              <w:bottom w:val="single" w:sz="4" w:space="0" w:color="auto"/>
            </w:tcBorders>
          </w:tcPr>
          <w:p w14:paraId="7CD329A5" w14:textId="77777777" w:rsidR="008B729A" w:rsidRPr="006A437D" w:rsidRDefault="008B729A" w:rsidP="00021BDE">
            <w:pPr>
              <w:spacing w:afterLines="40" w:after="96" w:line="264" w:lineRule="auto"/>
              <w:rPr>
                <w:rFonts w:eastAsia="Arial" w:cstheme="minorHAnsi"/>
                <w:b/>
                <w:bCs/>
                <w:color w:val="000000"/>
              </w:rPr>
            </w:pPr>
            <w:r w:rsidRPr="006A437D">
              <w:rPr>
                <w:rFonts w:eastAsia="Arial" w:cstheme="minorHAnsi"/>
                <w:b/>
                <w:bCs/>
                <w:color w:val="000000"/>
              </w:rPr>
              <w:t>Expected outcome</w:t>
            </w:r>
          </w:p>
        </w:tc>
        <w:tc>
          <w:tcPr>
            <w:tcW w:w="12585" w:type="dxa"/>
            <w:tcBorders>
              <w:bottom w:val="single" w:sz="4" w:space="0" w:color="auto"/>
            </w:tcBorders>
          </w:tcPr>
          <w:p w14:paraId="4BF1A0CB" w14:textId="77777777" w:rsidR="008B729A" w:rsidRPr="006A437D" w:rsidRDefault="008B729A" w:rsidP="00021BDE">
            <w:pPr>
              <w:shd w:val="clear" w:color="auto" w:fill="FFFFFF"/>
              <w:spacing w:afterLines="40" w:after="96" w:line="264" w:lineRule="auto"/>
              <w:rPr>
                <w:rFonts w:eastAsia="Arial" w:cstheme="minorHAnsi"/>
                <w:color w:val="000000"/>
              </w:rPr>
            </w:pPr>
            <w:r w:rsidRPr="006A437D">
              <w:rPr>
                <w:rFonts w:eastAsia="Arial" w:cstheme="minorHAnsi"/>
              </w:rPr>
              <w:t xml:space="preserve">Reduced mortality in the highest risk groups (children &lt;5 and pregnant women). </w:t>
            </w:r>
          </w:p>
        </w:tc>
      </w:tr>
    </w:tbl>
    <w:p w14:paraId="48B3CB64" w14:textId="77777777" w:rsidR="008B729A" w:rsidRDefault="008B729A" w:rsidP="008B729A"/>
    <w:p w14:paraId="348E8DAD" w14:textId="77777777" w:rsidR="008B729A" w:rsidRDefault="008B729A" w:rsidP="008B729A">
      <w:r>
        <w:br w:type="page"/>
      </w:r>
    </w:p>
    <w:tbl>
      <w:tblPr>
        <w:tblW w:w="151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0"/>
        <w:gridCol w:w="12585"/>
      </w:tblGrid>
      <w:tr w:rsidR="008B729A" w:rsidRPr="006A437D" w14:paraId="6E216929" w14:textId="77777777" w:rsidTr="00021BDE">
        <w:trPr>
          <w:cantSplit/>
        </w:trPr>
        <w:tc>
          <w:tcPr>
            <w:tcW w:w="2580" w:type="dxa"/>
          </w:tcPr>
          <w:p w14:paraId="5BDDF139"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b/>
                <w:bCs/>
                <w:color w:val="000000"/>
              </w:rPr>
            </w:pPr>
            <w:r w:rsidRPr="006A437D">
              <w:rPr>
                <w:rFonts w:eastAsia="Arial" w:cstheme="minorHAnsi"/>
                <w:b/>
                <w:bCs/>
                <w:color w:val="000000"/>
              </w:rPr>
              <w:t>MODULE 4</w:t>
            </w:r>
          </w:p>
        </w:tc>
        <w:tc>
          <w:tcPr>
            <w:tcW w:w="12585" w:type="dxa"/>
          </w:tcPr>
          <w:p w14:paraId="6C7C0D91"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color w:val="000000"/>
              </w:rPr>
            </w:pPr>
            <w:r w:rsidRPr="006A437D">
              <w:rPr>
                <w:rFonts w:eastAsia="Arial" w:cstheme="minorHAnsi"/>
                <w:b/>
                <w:color w:val="000000"/>
              </w:rPr>
              <w:t>PROGRAM MANAGEMENT (PM)</w:t>
            </w:r>
          </w:p>
        </w:tc>
      </w:tr>
      <w:tr w:rsidR="008B729A" w:rsidRPr="006A437D" w14:paraId="3E518C84" w14:textId="77777777" w:rsidTr="00021BDE">
        <w:trPr>
          <w:cantSplit/>
          <w:trHeight w:val="408"/>
        </w:trPr>
        <w:tc>
          <w:tcPr>
            <w:tcW w:w="2580" w:type="dxa"/>
            <w:vMerge w:val="restart"/>
          </w:tcPr>
          <w:p w14:paraId="12CC42E8"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b/>
                <w:bCs/>
                <w:color w:val="000000"/>
              </w:rPr>
            </w:pPr>
            <w:r w:rsidRPr="006A437D">
              <w:rPr>
                <w:rFonts w:eastAsia="Arial" w:cstheme="minorHAnsi"/>
                <w:b/>
                <w:bCs/>
                <w:color w:val="000000"/>
              </w:rPr>
              <w:t xml:space="preserve">Intervention(s) </w:t>
            </w:r>
          </w:p>
        </w:tc>
        <w:tc>
          <w:tcPr>
            <w:tcW w:w="12585" w:type="dxa"/>
          </w:tcPr>
          <w:p w14:paraId="412F7F3F"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color w:val="000000"/>
              </w:rPr>
            </w:pPr>
            <w:r w:rsidRPr="006A437D">
              <w:rPr>
                <w:rFonts w:eastAsia="Arial" w:cstheme="minorHAnsi"/>
                <w:b/>
                <w:color w:val="000000"/>
              </w:rPr>
              <w:t xml:space="preserve">Intervention: </w:t>
            </w:r>
            <w:r w:rsidRPr="006A437D">
              <w:rPr>
                <w:rFonts w:eastAsia="Arial" w:cstheme="minorHAnsi"/>
                <w:color w:val="000000"/>
              </w:rPr>
              <w:t>Coordination and management of national disease control programs (MOH)</w:t>
            </w:r>
          </w:p>
          <w:p w14:paraId="563159DE"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color w:val="000000"/>
              </w:rPr>
            </w:pPr>
            <w:r w:rsidRPr="006A437D">
              <w:rPr>
                <w:rFonts w:eastAsia="Arial" w:cstheme="minorHAnsi"/>
                <w:color w:val="000000"/>
              </w:rPr>
              <w:t xml:space="preserve">Change in Programming from current grant: </w:t>
            </w:r>
            <w:r w:rsidRPr="006A437D">
              <w:rPr>
                <w:rFonts w:ascii="Segoe UI Symbol" w:eastAsia="MS Gothic" w:hAnsi="Segoe UI Symbol" w:cs="Segoe UI Symbol"/>
                <w:color w:val="000000"/>
              </w:rPr>
              <w:t>☐</w:t>
            </w:r>
            <w:r w:rsidRPr="006A437D">
              <w:rPr>
                <w:rFonts w:eastAsia="Arial" w:cstheme="minorHAnsi"/>
                <w:color w:val="000000"/>
              </w:rPr>
              <w:t xml:space="preserve"> New, </w:t>
            </w:r>
            <w:r w:rsidRPr="006A437D">
              <w:rPr>
                <w:rFonts w:ascii="Segoe UI Symbol" w:eastAsia="MS Gothic" w:hAnsi="Segoe UI Symbol" w:cs="Segoe UI Symbol"/>
                <w:color w:val="000000"/>
              </w:rPr>
              <w:t>☐</w:t>
            </w:r>
            <w:r w:rsidRPr="006A437D">
              <w:rPr>
                <w:rFonts w:eastAsia="Arial" w:cstheme="minorHAnsi"/>
                <w:color w:val="000000"/>
              </w:rPr>
              <w:t xml:space="preserve"> Scale-up, </w:t>
            </w:r>
            <w:r w:rsidRPr="006A437D">
              <w:rPr>
                <w:rFonts w:ascii="Segoe UI Symbol" w:eastAsia="MS Gothic" w:hAnsi="Segoe UI Symbol" w:cs="Segoe UI Symbol"/>
                <w:color w:val="000000"/>
              </w:rPr>
              <w:t>☒</w:t>
            </w:r>
            <w:r w:rsidRPr="006A437D">
              <w:rPr>
                <w:rFonts w:eastAsia="Arial" w:cstheme="minorHAnsi"/>
                <w:color w:val="000000"/>
              </w:rPr>
              <w:t xml:space="preserve"> Continuation, or </w:t>
            </w:r>
            <w:r w:rsidRPr="006A437D">
              <w:rPr>
                <w:rFonts w:ascii="Segoe UI Symbol" w:eastAsia="MS Gothic" w:hAnsi="Segoe UI Symbol" w:cs="Segoe UI Symbol"/>
                <w:color w:val="000000"/>
              </w:rPr>
              <w:t>☐</w:t>
            </w:r>
            <w:r w:rsidRPr="006A437D">
              <w:rPr>
                <w:rFonts w:eastAsia="Arial" w:cstheme="minorHAnsi"/>
                <w:color w:val="000000"/>
              </w:rPr>
              <w:t xml:space="preserve"> Scale-down</w:t>
            </w:r>
          </w:p>
        </w:tc>
      </w:tr>
      <w:tr w:rsidR="008B729A" w:rsidRPr="006A437D" w14:paraId="5243DFFE" w14:textId="77777777" w:rsidTr="00021BDE">
        <w:trPr>
          <w:cantSplit/>
          <w:trHeight w:val="841"/>
        </w:trPr>
        <w:tc>
          <w:tcPr>
            <w:tcW w:w="2580" w:type="dxa"/>
            <w:vMerge/>
          </w:tcPr>
          <w:p w14:paraId="598868E3" w14:textId="77777777" w:rsidR="008B729A" w:rsidRPr="006A437D" w:rsidRDefault="008B729A" w:rsidP="00021BDE">
            <w:pPr>
              <w:widowControl w:val="0"/>
              <w:pBdr>
                <w:top w:val="nil"/>
                <w:left w:val="nil"/>
                <w:bottom w:val="nil"/>
                <w:right w:val="nil"/>
                <w:between w:val="nil"/>
              </w:pBdr>
              <w:spacing w:afterLines="40" w:after="96" w:line="240" w:lineRule="auto"/>
              <w:rPr>
                <w:rFonts w:eastAsia="Arial" w:cstheme="minorHAnsi"/>
                <w:color w:val="000000"/>
              </w:rPr>
            </w:pPr>
          </w:p>
        </w:tc>
        <w:tc>
          <w:tcPr>
            <w:tcW w:w="12585" w:type="dxa"/>
          </w:tcPr>
          <w:p w14:paraId="612CAA80" w14:textId="77777777" w:rsidR="008B729A" w:rsidRPr="001B6C76" w:rsidRDefault="008B729A" w:rsidP="00021BDE">
            <w:pPr>
              <w:pBdr>
                <w:top w:val="nil"/>
                <w:left w:val="nil"/>
                <w:bottom w:val="nil"/>
                <w:right w:val="nil"/>
                <w:between w:val="nil"/>
              </w:pBdr>
              <w:spacing w:afterLines="40" w:after="96" w:line="264" w:lineRule="auto"/>
              <w:rPr>
                <w:rFonts w:eastAsia="Arial" w:cstheme="minorHAnsi"/>
                <w:color w:val="000000"/>
              </w:rPr>
            </w:pPr>
            <w:r w:rsidRPr="001B6C76">
              <w:rPr>
                <w:rFonts w:eastAsia="Arial" w:cstheme="minorHAnsi"/>
                <w:b/>
                <w:color w:val="000000"/>
              </w:rPr>
              <w:t xml:space="preserve">Intervention: </w:t>
            </w:r>
            <w:r w:rsidRPr="001B6C76">
              <w:rPr>
                <w:rFonts w:eastAsia="Arial" w:cstheme="minorHAnsi"/>
                <w:color w:val="000000"/>
              </w:rPr>
              <w:t>Coordination and management of national disease control programs (Civil Society PR)</w:t>
            </w:r>
          </w:p>
          <w:p w14:paraId="0995C8C5" w14:textId="77777777" w:rsidR="008B729A" w:rsidRPr="001B6C76" w:rsidRDefault="008B729A" w:rsidP="00021BDE">
            <w:pPr>
              <w:spacing w:afterLines="40" w:after="96" w:line="264" w:lineRule="auto"/>
              <w:rPr>
                <w:rFonts w:eastAsia="Arial" w:cstheme="minorHAnsi"/>
                <w:color w:val="000000"/>
              </w:rPr>
            </w:pPr>
            <w:r w:rsidRPr="001B6C76">
              <w:rPr>
                <w:rFonts w:eastAsia="Arial" w:cstheme="minorHAnsi"/>
                <w:color w:val="000000"/>
              </w:rPr>
              <w:t xml:space="preserve">Change in Programming from current grant: </w:t>
            </w:r>
            <w:r w:rsidRPr="001B6C76">
              <w:rPr>
                <w:rFonts w:ascii="Segoe UI Symbol" w:eastAsia="MS Gothic" w:hAnsi="Segoe UI Symbol" w:cs="Segoe UI Symbol"/>
                <w:color w:val="000000"/>
              </w:rPr>
              <w:t>☐</w:t>
            </w:r>
            <w:r w:rsidRPr="001B6C76">
              <w:rPr>
                <w:rFonts w:eastAsia="Arial" w:cstheme="minorHAnsi"/>
                <w:color w:val="000000"/>
              </w:rPr>
              <w:t xml:space="preserve"> New, </w:t>
            </w:r>
            <w:r w:rsidRPr="001B6C76">
              <w:rPr>
                <w:rFonts w:ascii="Segoe UI Symbol" w:eastAsia="MS Gothic" w:hAnsi="Segoe UI Symbol" w:cs="Segoe UI Symbol"/>
                <w:color w:val="000000"/>
              </w:rPr>
              <w:t>☐</w:t>
            </w:r>
            <w:r w:rsidRPr="001B6C76">
              <w:rPr>
                <w:rFonts w:eastAsia="Arial" w:cstheme="minorHAnsi"/>
                <w:color w:val="000000"/>
              </w:rPr>
              <w:t xml:space="preserve"> Scale-up, </w:t>
            </w:r>
            <w:r w:rsidRPr="001B6C76">
              <w:rPr>
                <w:rFonts w:ascii="Segoe UI Symbol" w:eastAsia="MS Gothic" w:hAnsi="Segoe UI Symbol" w:cs="Segoe UI Symbol"/>
                <w:color w:val="000000"/>
              </w:rPr>
              <w:t>☒</w:t>
            </w:r>
            <w:r w:rsidRPr="001B6C76">
              <w:rPr>
                <w:rFonts w:eastAsia="Arial" w:cstheme="minorHAnsi"/>
                <w:color w:val="000000"/>
              </w:rPr>
              <w:t xml:space="preserve"> Continuation, or </w:t>
            </w:r>
            <w:r w:rsidRPr="001B6C76">
              <w:rPr>
                <w:rFonts w:ascii="Segoe UI Symbol" w:eastAsia="MS Gothic" w:hAnsi="Segoe UI Symbol" w:cs="Segoe UI Symbol"/>
                <w:color w:val="000000"/>
              </w:rPr>
              <w:t>☐</w:t>
            </w:r>
            <w:r w:rsidRPr="001B6C76">
              <w:rPr>
                <w:rFonts w:eastAsia="Arial" w:cstheme="minorHAnsi"/>
                <w:color w:val="000000"/>
              </w:rPr>
              <w:t xml:space="preserve"> Scale-down</w:t>
            </w:r>
            <w:r w:rsidRPr="001B6C76">
              <w:rPr>
                <w:rFonts w:eastAsia="Arial" w:cstheme="minorHAnsi"/>
                <w:b/>
                <w:color w:val="000000"/>
              </w:rPr>
              <w:t xml:space="preserve"> </w:t>
            </w:r>
          </w:p>
        </w:tc>
      </w:tr>
      <w:tr w:rsidR="008B729A" w:rsidRPr="006A437D" w14:paraId="6B5EAE83" w14:textId="77777777" w:rsidTr="00021BDE">
        <w:trPr>
          <w:cantSplit/>
          <w:trHeight w:val="841"/>
        </w:trPr>
        <w:tc>
          <w:tcPr>
            <w:tcW w:w="2580" w:type="dxa"/>
            <w:vMerge/>
          </w:tcPr>
          <w:p w14:paraId="10F4F67B" w14:textId="77777777" w:rsidR="008B729A" w:rsidRPr="006A437D" w:rsidRDefault="008B729A" w:rsidP="00021BDE">
            <w:pPr>
              <w:widowControl w:val="0"/>
              <w:pBdr>
                <w:top w:val="nil"/>
                <w:left w:val="nil"/>
                <w:bottom w:val="nil"/>
                <w:right w:val="nil"/>
                <w:between w:val="nil"/>
              </w:pBdr>
              <w:spacing w:afterLines="40" w:after="96" w:line="240" w:lineRule="auto"/>
              <w:rPr>
                <w:rFonts w:eastAsia="Arial" w:cstheme="minorHAnsi"/>
                <w:color w:val="000000"/>
              </w:rPr>
            </w:pPr>
          </w:p>
        </w:tc>
        <w:tc>
          <w:tcPr>
            <w:tcW w:w="12585" w:type="dxa"/>
          </w:tcPr>
          <w:p w14:paraId="20A0930B" w14:textId="77777777" w:rsidR="008B729A" w:rsidRPr="001B6C76" w:rsidRDefault="008B729A" w:rsidP="00021BDE">
            <w:pPr>
              <w:pBdr>
                <w:top w:val="nil"/>
                <w:left w:val="nil"/>
                <w:bottom w:val="nil"/>
                <w:right w:val="nil"/>
                <w:between w:val="nil"/>
              </w:pBdr>
              <w:spacing w:afterLines="40" w:after="96" w:line="264" w:lineRule="auto"/>
              <w:rPr>
                <w:rFonts w:eastAsia="Arial" w:cstheme="minorHAnsi"/>
                <w:color w:val="000000"/>
              </w:rPr>
            </w:pPr>
            <w:r w:rsidRPr="001B6C76">
              <w:rPr>
                <w:rFonts w:eastAsia="Arial" w:cstheme="minorHAnsi"/>
                <w:b/>
                <w:color w:val="000000"/>
              </w:rPr>
              <w:t xml:space="preserve">Intervention: </w:t>
            </w:r>
            <w:r w:rsidRPr="001B6C76">
              <w:rPr>
                <w:rFonts w:eastAsia="Arial" w:cstheme="minorHAnsi"/>
                <w:color w:val="000000"/>
              </w:rPr>
              <w:t>Grant management (Civil Society)</w:t>
            </w:r>
          </w:p>
          <w:p w14:paraId="4B35D5FA" w14:textId="77777777" w:rsidR="008B729A" w:rsidRPr="001B6C76" w:rsidRDefault="008B729A" w:rsidP="00021BDE">
            <w:pPr>
              <w:spacing w:afterLines="40" w:after="96" w:line="264" w:lineRule="auto"/>
              <w:rPr>
                <w:rFonts w:eastAsia="Arial" w:cstheme="minorHAnsi"/>
                <w:color w:val="000000"/>
              </w:rPr>
            </w:pPr>
            <w:r w:rsidRPr="001B6C76">
              <w:rPr>
                <w:rFonts w:eastAsia="Arial" w:cstheme="minorHAnsi"/>
                <w:color w:val="000000"/>
              </w:rPr>
              <w:t xml:space="preserve">Change in Programming from current grant: </w:t>
            </w:r>
            <w:r w:rsidRPr="001B6C76">
              <w:rPr>
                <w:rFonts w:ascii="Segoe UI Symbol" w:eastAsia="MS Gothic" w:hAnsi="Segoe UI Symbol" w:cs="Segoe UI Symbol"/>
                <w:color w:val="000000"/>
              </w:rPr>
              <w:t>☐</w:t>
            </w:r>
            <w:r w:rsidRPr="001B6C76">
              <w:rPr>
                <w:rFonts w:eastAsia="Arial" w:cstheme="minorHAnsi"/>
                <w:color w:val="000000"/>
              </w:rPr>
              <w:t xml:space="preserve"> New, </w:t>
            </w:r>
            <w:r w:rsidRPr="001B6C76">
              <w:rPr>
                <w:rFonts w:ascii="Segoe UI Symbol" w:eastAsia="MS Gothic" w:hAnsi="Segoe UI Symbol" w:cs="Segoe UI Symbol"/>
                <w:color w:val="000000"/>
              </w:rPr>
              <w:t>☐</w:t>
            </w:r>
            <w:r w:rsidRPr="001B6C76">
              <w:rPr>
                <w:rFonts w:eastAsia="Arial" w:cstheme="minorHAnsi"/>
                <w:color w:val="000000"/>
              </w:rPr>
              <w:t xml:space="preserve"> Scale-up, </w:t>
            </w:r>
            <w:r w:rsidRPr="001B6C76">
              <w:rPr>
                <w:rFonts w:ascii="Segoe UI Symbol" w:eastAsia="MS Gothic" w:hAnsi="Segoe UI Symbol" w:cs="Segoe UI Symbol"/>
                <w:color w:val="000000"/>
              </w:rPr>
              <w:t>☒</w:t>
            </w:r>
            <w:r w:rsidRPr="001B6C76">
              <w:rPr>
                <w:rFonts w:eastAsia="Arial" w:cstheme="minorHAnsi"/>
                <w:color w:val="000000"/>
              </w:rPr>
              <w:t xml:space="preserve"> Continuation, or </w:t>
            </w:r>
            <w:r w:rsidRPr="001B6C76">
              <w:rPr>
                <w:rFonts w:ascii="Segoe UI Symbol" w:eastAsia="MS Gothic" w:hAnsi="Segoe UI Symbol" w:cs="Segoe UI Symbol"/>
                <w:color w:val="000000"/>
              </w:rPr>
              <w:t>☐</w:t>
            </w:r>
            <w:r w:rsidRPr="001B6C76">
              <w:rPr>
                <w:rFonts w:eastAsia="Arial" w:cstheme="minorHAnsi"/>
                <w:color w:val="000000"/>
              </w:rPr>
              <w:t xml:space="preserve"> Scale-down</w:t>
            </w:r>
            <w:r w:rsidRPr="001B6C76">
              <w:rPr>
                <w:rFonts w:eastAsia="Arial" w:cstheme="minorHAnsi"/>
                <w:b/>
                <w:color w:val="000000"/>
              </w:rPr>
              <w:t xml:space="preserve"> </w:t>
            </w:r>
          </w:p>
        </w:tc>
      </w:tr>
      <w:tr w:rsidR="008B729A" w:rsidRPr="006A437D" w14:paraId="17959065" w14:textId="77777777" w:rsidTr="00021BDE">
        <w:trPr>
          <w:cantSplit/>
          <w:trHeight w:val="381"/>
        </w:trPr>
        <w:tc>
          <w:tcPr>
            <w:tcW w:w="2580" w:type="dxa"/>
          </w:tcPr>
          <w:p w14:paraId="2A59B780"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b/>
                <w:bCs/>
                <w:color w:val="000000"/>
              </w:rPr>
            </w:pPr>
            <w:r w:rsidRPr="006A437D">
              <w:rPr>
                <w:rFonts w:eastAsia="Arial" w:cstheme="minorHAnsi"/>
                <w:b/>
                <w:bCs/>
                <w:color w:val="000000"/>
              </w:rPr>
              <w:t>Population</w:t>
            </w:r>
            <w:r>
              <w:rPr>
                <w:rFonts w:eastAsia="Arial" w:cstheme="minorHAnsi"/>
                <w:b/>
                <w:bCs/>
                <w:color w:val="000000"/>
              </w:rPr>
              <w:t>, geographies and/or barriers addressed</w:t>
            </w:r>
          </w:p>
        </w:tc>
        <w:tc>
          <w:tcPr>
            <w:tcW w:w="12585" w:type="dxa"/>
          </w:tcPr>
          <w:p w14:paraId="4EE17028" w14:textId="77777777" w:rsidR="008B729A" w:rsidRDefault="008B729A" w:rsidP="00021BDE">
            <w:pPr>
              <w:pBdr>
                <w:top w:val="nil"/>
                <w:left w:val="nil"/>
                <w:bottom w:val="nil"/>
                <w:right w:val="nil"/>
                <w:between w:val="nil"/>
              </w:pBdr>
              <w:shd w:val="clear" w:color="auto" w:fill="FFFFFF"/>
              <w:spacing w:afterLines="40" w:after="96" w:line="240" w:lineRule="auto"/>
              <w:rPr>
                <w:rFonts w:eastAsia="ArialMT" w:cstheme="minorHAnsi"/>
                <w:color w:val="000000"/>
              </w:rPr>
            </w:pPr>
            <w:r w:rsidRPr="006A437D">
              <w:rPr>
                <w:rFonts w:eastAsia="ArialMT" w:cstheme="minorHAnsi"/>
                <w:color w:val="000000"/>
              </w:rPr>
              <w:t>NMCP staff, provincial, and district health management teams, partners, TWG</w:t>
            </w:r>
            <w:r>
              <w:rPr>
                <w:rFonts w:eastAsia="ArialMT" w:cstheme="minorHAnsi"/>
                <w:color w:val="000000"/>
              </w:rPr>
              <w:t xml:space="preserve"> partner</w:t>
            </w:r>
            <w:r w:rsidRPr="006A437D">
              <w:rPr>
                <w:rFonts w:eastAsia="ArialMT" w:cstheme="minorHAnsi"/>
                <w:color w:val="000000"/>
              </w:rPr>
              <w:t xml:space="preserve"> members, other MOH Departments.</w:t>
            </w:r>
          </w:p>
          <w:p w14:paraId="39989363" w14:textId="77777777" w:rsidR="008B729A" w:rsidRPr="001B6C76" w:rsidRDefault="008B729A" w:rsidP="00021BDE">
            <w:pPr>
              <w:pBdr>
                <w:top w:val="nil"/>
                <w:left w:val="nil"/>
                <w:bottom w:val="nil"/>
                <w:right w:val="nil"/>
                <w:between w:val="nil"/>
              </w:pBdr>
              <w:spacing w:afterLines="40" w:after="96" w:line="264" w:lineRule="auto"/>
              <w:rPr>
                <w:rFonts w:eastAsia="Arial" w:cstheme="minorHAnsi"/>
                <w:bCs/>
                <w:color w:val="000000"/>
              </w:rPr>
            </w:pPr>
            <w:r w:rsidRPr="001B6C76">
              <w:rPr>
                <w:rFonts w:eastAsia="Arial" w:cstheme="minorHAnsi"/>
                <w:bCs/>
                <w:color w:val="000000"/>
              </w:rPr>
              <w:t>Bureaucratic government processes and procedures have contributed to delays in recruitment for some key positions, in turn delaying activity implementation. The human resource challenge is compounded by high attrition and turnover rates at all levels. With respect to concerns over financial accountability and transparent systems, the Ministry of Health is part of a pilot government financial accountability and transparency reform that will streamline financial procedures and instill confidence in the government system. Bureaucratic processes have at times led to low or delayed burn rate of grant resources. Several factors contribute to this situation including the challenges of reporting on spending for lower levels of government. It is expected that the financial reform process will address some of these issues in the long-term, but they are expenditure bottlenecks in the short and medium-term. The CCM, in coordination with both PRs, has reallocated some activities from the MoH to the civil society PR to ensure implementation of some critical activities, helping to improve the overall malaria component burn rate.</w:t>
            </w:r>
          </w:p>
          <w:p w14:paraId="2D5B032D" w14:textId="77777777" w:rsidR="008B729A" w:rsidRPr="006A437D" w:rsidRDefault="008B729A" w:rsidP="00021BDE">
            <w:pPr>
              <w:pBdr>
                <w:top w:val="nil"/>
                <w:left w:val="nil"/>
                <w:bottom w:val="nil"/>
                <w:right w:val="nil"/>
                <w:between w:val="nil"/>
              </w:pBdr>
              <w:shd w:val="clear" w:color="auto" w:fill="FFFFFF"/>
              <w:spacing w:afterLines="40" w:after="96" w:line="240" w:lineRule="auto"/>
              <w:rPr>
                <w:rFonts w:eastAsia="Times New Roman" w:cstheme="minorHAnsi"/>
                <w:b/>
                <w:color w:val="000000"/>
              </w:rPr>
            </w:pPr>
            <w:r w:rsidRPr="001B6C76">
              <w:rPr>
                <w:rFonts w:eastAsia="Arial" w:cstheme="minorHAnsi"/>
                <w:bCs/>
                <w:color w:val="000000"/>
              </w:rPr>
              <w:t>In response to complex emergencies, such as the provision of services to displaced populations in Cabo Delgado in the past 3 years, a challenge has continued to be the lack of nimble response capacity within the government. This is partly due to the very lengthy lead times for prevention commodities when purchased in large quantities. ITNs, for example, currently require a one-year lead time, meaning that even if Emergency Funding is made available, it will not reach the crisis areas where they are needed in a rapid manner. Mozambique Ministry of Health and its partners (including humanitarian organizations) will continue to collaborate to improve this situation, but it will also require global donor support for the emergency response to these complex challenges if it is to be successful.</w:t>
            </w:r>
          </w:p>
        </w:tc>
      </w:tr>
      <w:tr w:rsidR="008B729A" w:rsidRPr="006A437D" w14:paraId="3B455817" w14:textId="77777777" w:rsidTr="00021BDE">
        <w:trPr>
          <w:cantSplit/>
          <w:trHeight w:val="192"/>
        </w:trPr>
        <w:tc>
          <w:tcPr>
            <w:tcW w:w="2580" w:type="dxa"/>
            <w:vMerge w:val="restart"/>
          </w:tcPr>
          <w:p w14:paraId="5FD12B43"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b/>
                <w:bCs/>
                <w:color w:val="000000"/>
              </w:rPr>
            </w:pPr>
            <w:r>
              <w:rPr>
                <w:rFonts w:eastAsia="Arial" w:cstheme="minorHAnsi"/>
                <w:b/>
                <w:bCs/>
                <w:color w:val="000000"/>
              </w:rPr>
              <w:t>List of activities</w:t>
            </w:r>
          </w:p>
        </w:tc>
        <w:tc>
          <w:tcPr>
            <w:tcW w:w="12585" w:type="dxa"/>
          </w:tcPr>
          <w:p w14:paraId="7675887F"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color w:val="000000"/>
              </w:rPr>
            </w:pPr>
            <w:r w:rsidRPr="006A437D">
              <w:rPr>
                <w:rFonts w:eastAsia="Arial" w:cstheme="minorHAnsi"/>
                <w:b/>
                <w:color w:val="000000"/>
              </w:rPr>
              <w:t xml:space="preserve">Intervention: </w:t>
            </w:r>
            <w:r w:rsidRPr="006A437D">
              <w:rPr>
                <w:rFonts w:eastAsia="Arial" w:cstheme="minorHAnsi"/>
                <w:color w:val="000000"/>
              </w:rPr>
              <w:t>Coordination and management of national disease control programs (MOH)</w:t>
            </w:r>
          </w:p>
          <w:p w14:paraId="16026434" w14:textId="77777777" w:rsidR="008B729A" w:rsidRPr="001B6C76" w:rsidRDefault="008B729A" w:rsidP="00021BDE">
            <w:pPr>
              <w:pBdr>
                <w:top w:val="nil"/>
                <w:left w:val="nil"/>
                <w:bottom w:val="nil"/>
                <w:right w:val="nil"/>
                <w:between w:val="nil"/>
              </w:pBdr>
              <w:spacing w:afterLines="40" w:after="96" w:line="264" w:lineRule="auto"/>
              <w:rPr>
                <w:rFonts w:eastAsia="Arial" w:cstheme="minorHAnsi"/>
                <w:color w:val="000000"/>
              </w:rPr>
            </w:pPr>
            <w:r w:rsidRPr="006A437D">
              <w:rPr>
                <w:rFonts w:eastAsia="Arial" w:cstheme="minorHAnsi"/>
                <w:color w:val="000000"/>
              </w:rPr>
              <w:t>Key activities under this intervention include</w:t>
            </w:r>
            <w:r w:rsidRPr="001B6C76">
              <w:rPr>
                <w:rFonts w:eastAsia="Arial" w:cstheme="minorHAnsi"/>
                <w:color w:val="000000"/>
              </w:rPr>
              <w:t>:</w:t>
            </w:r>
          </w:p>
          <w:p w14:paraId="74CAE04D" w14:textId="77777777" w:rsidR="008B729A" w:rsidRPr="001B6C76" w:rsidRDefault="008B729A" w:rsidP="00021BDE">
            <w:pPr>
              <w:numPr>
                <w:ilvl w:val="0"/>
                <w:numId w:val="33"/>
              </w:numPr>
              <w:pBdr>
                <w:top w:val="nil"/>
                <w:left w:val="nil"/>
                <w:bottom w:val="nil"/>
                <w:right w:val="nil"/>
                <w:between w:val="nil"/>
              </w:pBdr>
              <w:spacing w:after="0" w:line="264" w:lineRule="auto"/>
              <w:rPr>
                <w:rFonts w:eastAsia="Arial" w:cstheme="minorHAnsi"/>
                <w:color w:val="000000"/>
              </w:rPr>
            </w:pPr>
            <w:r w:rsidRPr="001B6C76">
              <w:rPr>
                <w:rFonts w:eastAsia="Arial" w:cstheme="minorHAnsi"/>
                <w:color w:val="000000"/>
              </w:rPr>
              <w:t xml:space="preserve">Critical </w:t>
            </w:r>
            <w:r w:rsidRPr="001B6C76">
              <w:rPr>
                <w:rFonts w:eastAsia="Arial" w:cstheme="minorHAnsi"/>
                <w:b/>
                <w:bCs/>
                <w:color w:val="000000"/>
              </w:rPr>
              <w:t>human resources</w:t>
            </w:r>
            <w:r w:rsidRPr="001B6C76">
              <w:rPr>
                <w:rFonts w:eastAsia="Arial" w:cstheme="minorHAnsi"/>
                <w:color w:val="000000"/>
              </w:rPr>
              <w:t xml:space="preserve"> at the central and peripheral level:</w:t>
            </w:r>
          </w:p>
          <w:p w14:paraId="260BD9C4" w14:textId="77777777" w:rsidR="008B729A" w:rsidRPr="001B6C76" w:rsidRDefault="008B729A" w:rsidP="00021BDE">
            <w:pPr>
              <w:numPr>
                <w:ilvl w:val="1"/>
                <w:numId w:val="33"/>
              </w:numPr>
              <w:pBdr>
                <w:top w:val="nil"/>
                <w:left w:val="nil"/>
                <w:bottom w:val="nil"/>
                <w:right w:val="nil"/>
                <w:between w:val="nil"/>
              </w:pBdr>
              <w:spacing w:after="0" w:line="264" w:lineRule="auto"/>
              <w:rPr>
                <w:rFonts w:eastAsia="Arial" w:cstheme="minorHAnsi"/>
                <w:color w:val="000000"/>
              </w:rPr>
            </w:pPr>
            <w:r w:rsidRPr="001B6C76">
              <w:rPr>
                <w:rFonts w:eastAsia="Arial" w:cstheme="minorHAnsi"/>
                <w:color w:val="000000"/>
              </w:rPr>
              <w:t>1 provincial M&amp;E focal point (for Manica) to improve data quality and reporting (the other 10 provinces supported in previous rounds have been fully absorbed by the government) - 3-year cost = $16,915</w:t>
            </w:r>
          </w:p>
          <w:p w14:paraId="2FAE0E58" w14:textId="77777777" w:rsidR="008B729A" w:rsidRPr="001B6C76" w:rsidRDefault="008B729A" w:rsidP="00021BDE">
            <w:pPr>
              <w:numPr>
                <w:ilvl w:val="1"/>
                <w:numId w:val="33"/>
              </w:numPr>
              <w:pBdr>
                <w:top w:val="nil"/>
                <w:left w:val="nil"/>
                <w:bottom w:val="nil"/>
                <w:right w:val="nil"/>
                <w:between w:val="nil"/>
              </w:pBdr>
              <w:spacing w:after="0" w:line="264" w:lineRule="auto"/>
              <w:rPr>
                <w:rFonts w:eastAsia="Arial" w:cstheme="minorHAnsi"/>
                <w:color w:val="000000"/>
              </w:rPr>
            </w:pPr>
            <w:r w:rsidRPr="001B6C76">
              <w:rPr>
                <w:rFonts w:eastAsia="Arial" w:cstheme="minorHAnsi"/>
                <w:color w:val="000000"/>
              </w:rPr>
              <w:t>11 malaria SBCC focal points at provincial level to better coordinate and measure IEC/BCC activities - 3-year cost = $186,061</w:t>
            </w:r>
          </w:p>
          <w:p w14:paraId="43690D27" w14:textId="77777777" w:rsidR="008B729A" w:rsidRPr="001B6C76" w:rsidRDefault="008B729A" w:rsidP="00021BDE">
            <w:pPr>
              <w:numPr>
                <w:ilvl w:val="1"/>
                <w:numId w:val="33"/>
              </w:numPr>
              <w:pBdr>
                <w:top w:val="nil"/>
                <w:left w:val="nil"/>
                <w:bottom w:val="nil"/>
                <w:right w:val="nil"/>
                <w:between w:val="nil"/>
              </w:pBdr>
              <w:spacing w:after="0" w:line="264" w:lineRule="auto"/>
              <w:rPr>
                <w:rFonts w:eastAsia="Arial" w:cstheme="minorHAnsi"/>
                <w:color w:val="000000"/>
              </w:rPr>
            </w:pPr>
            <w:r w:rsidRPr="001B6C76">
              <w:rPr>
                <w:rFonts w:eastAsia="Arial" w:cstheme="minorHAnsi"/>
                <w:color w:val="000000"/>
              </w:rPr>
              <w:t>11 provincial entomology focal points to ensure strong implementation of entomological surveillance to guide vector control implementation – 3-year cost = $186,061</w:t>
            </w:r>
          </w:p>
          <w:p w14:paraId="302A5A13" w14:textId="77777777" w:rsidR="008B729A" w:rsidRPr="001B6C76" w:rsidRDefault="008B729A" w:rsidP="00021BDE">
            <w:pPr>
              <w:numPr>
                <w:ilvl w:val="1"/>
                <w:numId w:val="33"/>
              </w:numPr>
              <w:pBdr>
                <w:top w:val="nil"/>
                <w:left w:val="nil"/>
                <w:bottom w:val="nil"/>
                <w:right w:val="nil"/>
                <w:between w:val="nil"/>
              </w:pBdr>
              <w:spacing w:after="0" w:line="264" w:lineRule="auto"/>
              <w:rPr>
                <w:rFonts w:eastAsia="Arial" w:cstheme="minorHAnsi"/>
                <w:color w:val="000000"/>
              </w:rPr>
            </w:pPr>
            <w:r w:rsidRPr="001B6C76">
              <w:rPr>
                <w:rFonts w:eastAsia="Arial" w:cstheme="minorHAnsi"/>
                <w:color w:val="000000"/>
              </w:rPr>
              <w:t>1 NMCP focal point for resource mobilization and engagement of private sector resources through the Malaria Fund - 3-year cost = $195,000</w:t>
            </w:r>
          </w:p>
          <w:p w14:paraId="63CE5AA0" w14:textId="77777777" w:rsidR="008B729A" w:rsidRPr="001B6C76" w:rsidRDefault="008B729A" w:rsidP="00021BDE">
            <w:pPr>
              <w:numPr>
                <w:ilvl w:val="1"/>
                <w:numId w:val="33"/>
              </w:numPr>
              <w:pBdr>
                <w:top w:val="nil"/>
                <w:left w:val="nil"/>
                <w:bottom w:val="nil"/>
                <w:right w:val="nil"/>
                <w:between w:val="nil"/>
              </w:pBdr>
              <w:spacing w:afterLines="40" w:after="96" w:line="264" w:lineRule="auto"/>
              <w:rPr>
                <w:rFonts w:eastAsia="Arial" w:cstheme="minorHAnsi"/>
                <w:b/>
                <w:color w:val="000000"/>
              </w:rPr>
            </w:pPr>
            <w:r w:rsidRPr="001B6C76">
              <w:rPr>
                <w:rFonts w:eastAsia="Arial" w:cstheme="minorHAnsi"/>
                <w:b/>
                <w:color w:val="000000"/>
              </w:rPr>
              <w:t>Total 3-year cost = $584,037</w:t>
            </w:r>
          </w:p>
          <w:p w14:paraId="7E779027" w14:textId="77777777" w:rsidR="008B729A" w:rsidRPr="001B6C76" w:rsidRDefault="008B729A" w:rsidP="00021BDE">
            <w:pPr>
              <w:numPr>
                <w:ilvl w:val="0"/>
                <w:numId w:val="33"/>
              </w:numPr>
              <w:pBdr>
                <w:top w:val="nil"/>
                <w:left w:val="nil"/>
                <w:bottom w:val="nil"/>
                <w:right w:val="nil"/>
                <w:between w:val="nil"/>
              </w:pBdr>
              <w:spacing w:afterLines="40" w:after="96" w:line="264" w:lineRule="auto"/>
              <w:rPr>
                <w:rFonts w:eastAsia="Arial" w:cstheme="minorHAnsi"/>
                <w:color w:val="000000"/>
              </w:rPr>
            </w:pPr>
            <w:r w:rsidRPr="001B6C76">
              <w:rPr>
                <w:rFonts w:eastAsia="Arial" w:cstheme="minorHAnsi"/>
                <w:color w:val="000000"/>
              </w:rPr>
              <w:t xml:space="preserve">Annual national malaria review and planning meetings to review progress and plan subsequent years’ implementation with all stakeholders - 3-year cost = </w:t>
            </w:r>
            <w:r w:rsidRPr="001B6C76">
              <w:rPr>
                <w:rFonts w:eastAsia="Arial" w:cstheme="minorHAnsi"/>
                <w:b/>
                <w:bCs/>
                <w:color w:val="000000"/>
              </w:rPr>
              <w:t>$233,892</w:t>
            </w:r>
          </w:p>
          <w:p w14:paraId="4BE214D0" w14:textId="77777777" w:rsidR="008B729A" w:rsidRPr="001B6C76" w:rsidRDefault="008B729A" w:rsidP="00021BDE">
            <w:pPr>
              <w:pBdr>
                <w:top w:val="nil"/>
                <w:left w:val="nil"/>
                <w:bottom w:val="nil"/>
                <w:right w:val="nil"/>
                <w:between w:val="nil"/>
              </w:pBdr>
              <w:spacing w:after="0" w:line="264" w:lineRule="auto"/>
              <w:rPr>
                <w:rFonts w:eastAsia="Arial" w:cstheme="minorHAnsi"/>
                <w:bCs/>
                <w:color w:val="000000"/>
              </w:rPr>
            </w:pPr>
            <w:r w:rsidRPr="006A437D">
              <w:rPr>
                <w:rFonts w:eastAsia="Arial" w:cstheme="minorHAnsi"/>
                <w:color w:val="000000"/>
              </w:rPr>
              <w:t>Given Mozambique’s vulnerability to natural disasters and conflict, both of which greatly affect malaria risk and access to key services, the 2023-2030 National Malaria Strategic Plan has included a new objective related to response to these complex situations. This objective is seen as critical to ensure good response if/when these situations present themselves.</w:t>
            </w:r>
          </w:p>
        </w:tc>
      </w:tr>
      <w:tr w:rsidR="008B729A" w:rsidRPr="006A437D" w14:paraId="58DEF181" w14:textId="77777777" w:rsidTr="00021BDE">
        <w:trPr>
          <w:cantSplit/>
          <w:trHeight w:val="90"/>
        </w:trPr>
        <w:tc>
          <w:tcPr>
            <w:tcW w:w="2580" w:type="dxa"/>
            <w:vMerge/>
          </w:tcPr>
          <w:p w14:paraId="6E512CBD" w14:textId="77777777" w:rsidR="008B729A" w:rsidRDefault="008B729A" w:rsidP="00021BDE">
            <w:pPr>
              <w:pBdr>
                <w:top w:val="nil"/>
                <w:left w:val="nil"/>
                <w:bottom w:val="nil"/>
                <w:right w:val="nil"/>
                <w:between w:val="nil"/>
              </w:pBdr>
              <w:spacing w:afterLines="40" w:after="96" w:line="264" w:lineRule="auto"/>
              <w:rPr>
                <w:rFonts w:eastAsia="Arial" w:cstheme="minorHAnsi"/>
                <w:b/>
                <w:bCs/>
                <w:color w:val="000000"/>
              </w:rPr>
            </w:pPr>
          </w:p>
        </w:tc>
        <w:tc>
          <w:tcPr>
            <w:tcW w:w="12585" w:type="dxa"/>
          </w:tcPr>
          <w:p w14:paraId="3B2E4C51" w14:textId="77777777" w:rsidR="008B729A" w:rsidRPr="001B6C76" w:rsidRDefault="008B729A" w:rsidP="00021BDE">
            <w:pPr>
              <w:pBdr>
                <w:top w:val="nil"/>
                <w:left w:val="nil"/>
                <w:bottom w:val="nil"/>
                <w:right w:val="nil"/>
                <w:between w:val="nil"/>
              </w:pBdr>
              <w:spacing w:afterLines="40" w:after="96" w:line="264" w:lineRule="auto"/>
              <w:rPr>
                <w:rFonts w:eastAsia="Arial" w:cstheme="minorHAnsi"/>
                <w:color w:val="000000"/>
              </w:rPr>
            </w:pPr>
            <w:r w:rsidRPr="001B6C76">
              <w:rPr>
                <w:rFonts w:eastAsia="Arial" w:cstheme="minorHAnsi"/>
                <w:b/>
                <w:color w:val="000000"/>
              </w:rPr>
              <w:t xml:space="preserve">Intervention: </w:t>
            </w:r>
            <w:r w:rsidRPr="001B6C76">
              <w:rPr>
                <w:rFonts w:eastAsia="Arial" w:cstheme="minorHAnsi"/>
                <w:color w:val="000000"/>
              </w:rPr>
              <w:t>Coordination and management of national disease control programs (Civil Society PR)</w:t>
            </w:r>
          </w:p>
          <w:p w14:paraId="7A328A6D" w14:textId="77777777" w:rsidR="008B729A" w:rsidRPr="001B6C76" w:rsidRDefault="008B729A" w:rsidP="00021BDE">
            <w:pPr>
              <w:spacing w:after="0" w:line="264" w:lineRule="auto"/>
              <w:rPr>
                <w:rFonts w:eastAsia="Arial" w:cstheme="minorHAnsi"/>
                <w:color w:val="000000"/>
              </w:rPr>
            </w:pPr>
            <w:r w:rsidRPr="001B6C76">
              <w:rPr>
                <w:rFonts w:eastAsia="Arial" w:cstheme="minorHAnsi"/>
                <w:color w:val="000000"/>
              </w:rPr>
              <w:t>Key activities under this intervention include:</w:t>
            </w:r>
          </w:p>
          <w:p w14:paraId="7FF570FA" w14:textId="77777777" w:rsidR="008B729A" w:rsidRPr="001B6C76" w:rsidRDefault="008B729A" w:rsidP="00021BDE">
            <w:pPr>
              <w:numPr>
                <w:ilvl w:val="0"/>
                <w:numId w:val="44"/>
              </w:numPr>
              <w:spacing w:after="0" w:line="264" w:lineRule="auto"/>
              <w:rPr>
                <w:rFonts w:eastAsia="Arial" w:cstheme="minorHAnsi"/>
                <w:color w:val="000000"/>
              </w:rPr>
            </w:pPr>
            <w:r w:rsidRPr="001B6C76">
              <w:rPr>
                <w:rFonts w:eastAsia="Arial" w:cstheme="minorHAnsi"/>
                <w:color w:val="000000"/>
              </w:rPr>
              <w:t>Human resources to support IEC/BCC and ITN distribution activities led by the Civil Society PR and SRs</w:t>
            </w:r>
          </w:p>
          <w:p w14:paraId="05FC30EB" w14:textId="77777777" w:rsidR="008B729A" w:rsidRPr="001B6C76" w:rsidRDefault="008B729A" w:rsidP="00021BDE">
            <w:pPr>
              <w:numPr>
                <w:ilvl w:val="0"/>
                <w:numId w:val="44"/>
              </w:numPr>
              <w:spacing w:after="0" w:line="264" w:lineRule="auto"/>
              <w:rPr>
                <w:rFonts w:eastAsia="Arial" w:cstheme="minorHAnsi"/>
                <w:color w:val="000000"/>
              </w:rPr>
            </w:pPr>
            <w:r w:rsidRPr="001B6C76">
              <w:rPr>
                <w:rFonts w:eastAsia="Arial" w:cstheme="minorHAnsi"/>
                <w:color w:val="000000"/>
              </w:rPr>
              <w:t>Quarterly national and district coordination meetings with implementation CBOs and community structures, as well as oversight-oriented supervision visits from national to provincial and district level</w:t>
            </w:r>
          </w:p>
          <w:p w14:paraId="36ED51DB" w14:textId="77777777" w:rsidR="008B729A" w:rsidRPr="001B6C76" w:rsidRDefault="008B729A" w:rsidP="00021BDE">
            <w:pPr>
              <w:numPr>
                <w:ilvl w:val="0"/>
                <w:numId w:val="44"/>
              </w:numPr>
              <w:spacing w:after="0" w:line="264" w:lineRule="auto"/>
              <w:rPr>
                <w:rFonts w:eastAsia="Arial" w:cstheme="minorHAnsi"/>
                <w:color w:val="000000"/>
              </w:rPr>
            </w:pPr>
            <w:r w:rsidRPr="001B6C76">
              <w:rPr>
                <w:rFonts w:eastAsia="Arial" w:cstheme="minorHAnsi"/>
                <w:color w:val="000000"/>
              </w:rPr>
              <w:t>Annual provincial review meetings with health authorities and partners</w:t>
            </w:r>
          </w:p>
          <w:p w14:paraId="496A1806" w14:textId="77777777" w:rsidR="008B729A" w:rsidRDefault="008B729A" w:rsidP="00021BDE">
            <w:pPr>
              <w:numPr>
                <w:ilvl w:val="0"/>
                <w:numId w:val="44"/>
              </w:numPr>
              <w:spacing w:after="0" w:line="264" w:lineRule="auto"/>
              <w:rPr>
                <w:rFonts w:eastAsia="Arial" w:cstheme="minorHAnsi"/>
                <w:color w:val="000000"/>
              </w:rPr>
            </w:pPr>
            <w:r w:rsidRPr="001B6C76">
              <w:rPr>
                <w:rFonts w:eastAsia="Arial" w:cstheme="minorHAnsi"/>
                <w:color w:val="000000"/>
              </w:rPr>
              <w:t>Community monitoring of malaria services by CSOs will be conducted as well, by integrating malaria content into the community monitoring work done for HIV/TB services. A plan still must be developed to determine how this will be operationalized, but it is expected to require minimal budget from this investment, and strengthen the integrated approach to community monitoring by civil society.</w:t>
            </w:r>
          </w:p>
          <w:p w14:paraId="06287361" w14:textId="77777777" w:rsidR="008B729A" w:rsidRPr="004A4481" w:rsidRDefault="008B729A" w:rsidP="00021BDE">
            <w:pPr>
              <w:numPr>
                <w:ilvl w:val="0"/>
                <w:numId w:val="44"/>
              </w:numPr>
              <w:spacing w:after="0" w:line="264" w:lineRule="auto"/>
              <w:rPr>
                <w:rFonts w:eastAsia="Arial" w:cstheme="minorHAnsi"/>
                <w:color w:val="000000"/>
              </w:rPr>
            </w:pPr>
            <w:r w:rsidRPr="004A4481">
              <w:rPr>
                <w:rFonts w:eastAsia="Arial" w:cstheme="minorHAnsi"/>
                <w:color w:val="000000"/>
              </w:rPr>
              <w:t xml:space="preserve">3-year cost = </w:t>
            </w:r>
            <w:r w:rsidRPr="004A4481">
              <w:rPr>
                <w:rFonts w:eastAsia="Arial" w:cstheme="minorHAnsi"/>
                <w:b/>
                <w:color w:val="000000"/>
              </w:rPr>
              <w:t>$10,907,483</w:t>
            </w:r>
          </w:p>
        </w:tc>
      </w:tr>
      <w:tr w:rsidR="008B729A" w:rsidRPr="006A437D" w14:paraId="6EDEB9E1" w14:textId="77777777" w:rsidTr="00021BDE">
        <w:trPr>
          <w:cantSplit/>
          <w:trHeight w:val="237"/>
        </w:trPr>
        <w:tc>
          <w:tcPr>
            <w:tcW w:w="2580" w:type="dxa"/>
            <w:vMerge/>
          </w:tcPr>
          <w:p w14:paraId="7BE3D493" w14:textId="77777777" w:rsidR="008B729A" w:rsidRDefault="008B729A" w:rsidP="00021BDE">
            <w:pPr>
              <w:pBdr>
                <w:top w:val="nil"/>
                <w:left w:val="nil"/>
                <w:bottom w:val="nil"/>
                <w:right w:val="nil"/>
                <w:between w:val="nil"/>
              </w:pBdr>
              <w:spacing w:afterLines="40" w:after="96" w:line="264" w:lineRule="auto"/>
              <w:rPr>
                <w:rFonts w:eastAsia="Arial" w:cstheme="minorHAnsi"/>
                <w:b/>
                <w:bCs/>
                <w:color w:val="000000"/>
              </w:rPr>
            </w:pPr>
          </w:p>
        </w:tc>
        <w:tc>
          <w:tcPr>
            <w:tcW w:w="12585" w:type="dxa"/>
          </w:tcPr>
          <w:p w14:paraId="6E5F0F20" w14:textId="77777777" w:rsidR="008B729A" w:rsidRPr="001B6C76" w:rsidRDefault="008B729A" w:rsidP="00021BDE">
            <w:pPr>
              <w:pBdr>
                <w:top w:val="nil"/>
                <w:left w:val="nil"/>
                <w:bottom w:val="nil"/>
                <w:right w:val="nil"/>
                <w:between w:val="nil"/>
              </w:pBdr>
              <w:spacing w:afterLines="40" w:after="96" w:line="264" w:lineRule="auto"/>
              <w:rPr>
                <w:rFonts w:eastAsia="Arial" w:cstheme="minorHAnsi"/>
                <w:color w:val="000000"/>
              </w:rPr>
            </w:pPr>
            <w:r w:rsidRPr="001B6C76">
              <w:rPr>
                <w:rFonts w:eastAsia="Arial" w:cstheme="minorHAnsi"/>
                <w:b/>
                <w:color w:val="000000"/>
              </w:rPr>
              <w:t xml:space="preserve">Intervention: </w:t>
            </w:r>
            <w:r w:rsidRPr="001B6C76">
              <w:rPr>
                <w:rFonts w:eastAsia="Arial" w:cstheme="minorHAnsi"/>
                <w:color w:val="000000"/>
              </w:rPr>
              <w:t>Grant management (Civil Society)</w:t>
            </w:r>
          </w:p>
          <w:p w14:paraId="4FD4250D" w14:textId="77777777" w:rsidR="008B729A" w:rsidRPr="001B6C76" w:rsidRDefault="008B729A" w:rsidP="00021BDE">
            <w:pPr>
              <w:spacing w:afterLines="40" w:after="96" w:line="264" w:lineRule="auto"/>
              <w:rPr>
                <w:rFonts w:eastAsia="Arial" w:cstheme="minorHAnsi"/>
                <w:color w:val="000000"/>
              </w:rPr>
            </w:pPr>
            <w:r w:rsidRPr="001B6C76">
              <w:rPr>
                <w:rFonts w:eastAsia="Arial" w:cstheme="minorHAnsi"/>
                <w:color w:val="000000"/>
              </w:rPr>
              <w:t>Key activities under this intervention include:</w:t>
            </w:r>
          </w:p>
          <w:p w14:paraId="189E4941" w14:textId="77777777" w:rsidR="008B729A" w:rsidRDefault="008B729A" w:rsidP="00021BDE">
            <w:pPr>
              <w:numPr>
                <w:ilvl w:val="0"/>
                <w:numId w:val="44"/>
              </w:numPr>
              <w:spacing w:after="0" w:line="264" w:lineRule="auto"/>
              <w:rPr>
                <w:rFonts w:eastAsia="Arial" w:cstheme="minorHAnsi"/>
                <w:color w:val="000000"/>
              </w:rPr>
            </w:pPr>
            <w:r w:rsidRPr="001B6C76">
              <w:rPr>
                <w:rFonts w:eastAsia="Arial" w:cstheme="minorHAnsi"/>
                <w:color w:val="000000"/>
              </w:rPr>
              <w:t>Contribution to the Civil Society PR’s grant management costs, including salaries and civil society grant management, office equipment, periodic planning meetings, and bank charges</w:t>
            </w:r>
            <w:r>
              <w:rPr>
                <w:rFonts w:eastAsia="Arial" w:cstheme="minorHAnsi"/>
                <w:color w:val="000000"/>
              </w:rPr>
              <w:t>.</w:t>
            </w:r>
          </w:p>
          <w:p w14:paraId="0B6CFAD0" w14:textId="77777777" w:rsidR="008B729A" w:rsidRPr="004A4481" w:rsidRDefault="008B729A" w:rsidP="00021BDE">
            <w:pPr>
              <w:numPr>
                <w:ilvl w:val="0"/>
                <w:numId w:val="44"/>
              </w:numPr>
              <w:spacing w:after="0" w:line="264" w:lineRule="auto"/>
              <w:rPr>
                <w:rFonts w:eastAsia="Arial" w:cstheme="minorHAnsi"/>
                <w:color w:val="000000"/>
              </w:rPr>
            </w:pPr>
            <w:r w:rsidRPr="004A4481">
              <w:rPr>
                <w:rFonts w:eastAsia="Arial" w:cstheme="minorHAnsi"/>
                <w:color w:val="000000"/>
              </w:rPr>
              <w:t>3-year cost =</w:t>
            </w:r>
            <w:r w:rsidRPr="004A4481">
              <w:rPr>
                <w:rFonts w:eastAsia="Arial" w:cstheme="minorHAnsi"/>
                <w:b/>
                <w:color w:val="000000"/>
              </w:rPr>
              <w:t xml:space="preserve"> $15,611,392</w:t>
            </w:r>
          </w:p>
        </w:tc>
      </w:tr>
      <w:tr w:rsidR="008B729A" w:rsidRPr="006A437D" w14:paraId="634178CC" w14:textId="77777777" w:rsidTr="00021BDE">
        <w:trPr>
          <w:cantSplit/>
        </w:trPr>
        <w:tc>
          <w:tcPr>
            <w:tcW w:w="2580" w:type="dxa"/>
          </w:tcPr>
          <w:p w14:paraId="718DCF0B"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b/>
                <w:bCs/>
                <w:color w:val="000000"/>
              </w:rPr>
            </w:pPr>
            <w:r>
              <w:rPr>
                <w:rFonts w:eastAsia="Arial" w:cstheme="minorHAnsi"/>
                <w:b/>
                <w:bCs/>
                <w:color w:val="000000"/>
              </w:rPr>
              <w:t>Amount requested</w:t>
            </w:r>
          </w:p>
        </w:tc>
        <w:tc>
          <w:tcPr>
            <w:tcW w:w="12585" w:type="dxa"/>
          </w:tcPr>
          <w:p w14:paraId="684CBED2" w14:textId="77777777" w:rsidR="008B729A" w:rsidRPr="001B6C76" w:rsidRDefault="008B729A" w:rsidP="00021BDE">
            <w:pPr>
              <w:pBdr>
                <w:top w:val="nil"/>
                <w:left w:val="nil"/>
                <w:bottom w:val="nil"/>
                <w:right w:val="nil"/>
                <w:between w:val="nil"/>
              </w:pBdr>
              <w:spacing w:afterLines="40" w:after="96" w:line="264" w:lineRule="auto"/>
              <w:rPr>
                <w:rFonts w:eastAsia="Arial" w:cstheme="minorHAnsi"/>
                <w:color w:val="000000"/>
              </w:rPr>
            </w:pPr>
            <w:r w:rsidRPr="001B6C76">
              <w:rPr>
                <w:rFonts w:eastAsia="Arial" w:cstheme="minorHAnsi"/>
                <w:b/>
                <w:bCs/>
                <w:color w:val="000000"/>
              </w:rPr>
              <w:t>Main allocation: $27,336,804</w:t>
            </w:r>
          </w:p>
        </w:tc>
      </w:tr>
      <w:tr w:rsidR="008B729A" w:rsidRPr="006A437D" w14:paraId="207954A7" w14:textId="77777777" w:rsidTr="00021BDE">
        <w:trPr>
          <w:cantSplit/>
        </w:trPr>
        <w:tc>
          <w:tcPr>
            <w:tcW w:w="2580" w:type="dxa"/>
            <w:tcBorders>
              <w:bottom w:val="single" w:sz="4" w:space="0" w:color="auto"/>
            </w:tcBorders>
          </w:tcPr>
          <w:p w14:paraId="61C40346"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b/>
                <w:bCs/>
                <w:color w:val="000000"/>
              </w:rPr>
            </w:pPr>
            <w:r w:rsidRPr="006A437D">
              <w:rPr>
                <w:rFonts w:eastAsia="Arial" w:cstheme="minorHAnsi"/>
                <w:b/>
                <w:bCs/>
                <w:color w:val="000000"/>
              </w:rPr>
              <w:t>Complementary funding and partner support</w:t>
            </w:r>
          </w:p>
        </w:tc>
        <w:tc>
          <w:tcPr>
            <w:tcW w:w="12585" w:type="dxa"/>
            <w:tcBorders>
              <w:bottom w:val="single" w:sz="4" w:space="0" w:color="auto"/>
            </w:tcBorders>
          </w:tcPr>
          <w:p w14:paraId="37BE741D"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color w:val="000000"/>
                <w:highlight w:val="yellow"/>
              </w:rPr>
            </w:pPr>
            <w:r w:rsidRPr="006A437D">
              <w:rPr>
                <w:rFonts w:eastAsia="Arial" w:cstheme="minorHAnsi"/>
                <w:color w:val="000000"/>
              </w:rPr>
              <w:t>Support from partner organizations and donors in this area are substantial, particularly at central and provincial level. Quantifying those management and coordination contributions is challenging</w:t>
            </w:r>
            <w:r>
              <w:rPr>
                <w:rFonts w:eastAsia="Arial" w:cstheme="minorHAnsi"/>
                <w:color w:val="000000"/>
              </w:rPr>
              <w:t>.</w:t>
            </w:r>
            <w:r w:rsidRPr="006A437D">
              <w:rPr>
                <w:rFonts w:eastAsia="Arial" w:cstheme="minorHAnsi"/>
                <w:color w:val="000000"/>
              </w:rPr>
              <w:t xml:space="preserve"> </w:t>
            </w:r>
            <w:r>
              <w:rPr>
                <w:rFonts w:eastAsia="Arial" w:cstheme="minorHAnsi"/>
                <w:color w:val="000000"/>
              </w:rPr>
              <w:t>H</w:t>
            </w:r>
            <w:r w:rsidRPr="006A437D">
              <w:rPr>
                <w:rFonts w:eastAsia="Arial" w:cstheme="minorHAnsi"/>
                <w:color w:val="000000"/>
              </w:rPr>
              <w:t>owever</w:t>
            </w:r>
            <w:r>
              <w:rPr>
                <w:rFonts w:eastAsia="Arial" w:cstheme="minorHAnsi"/>
                <w:color w:val="000000"/>
              </w:rPr>
              <w:t>,</w:t>
            </w:r>
            <w:r w:rsidRPr="006A437D">
              <w:rPr>
                <w:rFonts w:eastAsia="Arial" w:cstheme="minorHAnsi"/>
                <w:color w:val="000000"/>
              </w:rPr>
              <w:t xml:space="preserve"> through strong coordination via the MOH-led technical working group (TWG) structures the Mozambique malaria community </w:t>
            </w:r>
            <w:r>
              <w:rPr>
                <w:rFonts w:eastAsia="Arial" w:cstheme="minorHAnsi"/>
                <w:color w:val="000000"/>
              </w:rPr>
              <w:t xml:space="preserve">is </w:t>
            </w:r>
            <w:r w:rsidRPr="006A437D">
              <w:rPr>
                <w:rFonts w:eastAsia="Arial" w:cstheme="minorHAnsi"/>
                <w:color w:val="000000"/>
              </w:rPr>
              <w:t>work</w:t>
            </w:r>
            <w:r>
              <w:rPr>
                <w:rFonts w:eastAsia="Arial" w:cstheme="minorHAnsi"/>
                <w:color w:val="000000"/>
              </w:rPr>
              <w:t>ing</w:t>
            </w:r>
            <w:r w:rsidRPr="006A437D">
              <w:rPr>
                <w:rFonts w:eastAsia="Arial" w:cstheme="minorHAnsi"/>
                <w:color w:val="000000"/>
              </w:rPr>
              <w:t xml:space="preserve"> to minimize duplication of efforts in our collective aims to achieve the goals of the Malaria Strategic Plan (2023-2030).</w:t>
            </w:r>
            <w:r>
              <w:rPr>
                <w:rFonts w:eastAsia="Arial" w:cstheme="minorHAnsi"/>
                <w:color w:val="000000"/>
              </w:rPr>
              <w:t xml:space="preserve"> Mid-term review (MTR) will be carried out during the period, but has support from partners for key meetings as well as data analysis preparation. </w:t>
            </w:r>
          </w:p>
        </w:tc>
      </w:tr>
      <w:tr w:rsidR="008B729A" w:rsidRPr="006A437D" w14:paraId="294BB6D0" w14:textId="77777777" w:rsidTr="00021BDE">
        <w:trPr>
          <w:cantSplit/>
        </w:trPr>
        <w:tc>
          <w:tcPr>
            <w:tcW w:w="2580" w:type="dxa"/>
            <w:tcBorders>
              <w:bottom w:val="single" w:sz="4" w:space="0" w:color="auto"/>
            </w:tcBorders>
          </w:tcPr>
          <w:p w14:paraId="69B15585"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b/>
                <w:bCs/>
                <w:color w:val="000000"/>
              </w:rPr>
            </w:pPr>
            <w:r w:rsidRPr="006A437D">
              <w:rPr>
                <w:rFonts w:eastAsia="Arial" w:cstheme="minorHAnsi"/>
                <w:b/>
                <w:bCs/>
                <w:color w:val="000000"/>
              </w:rPr>
              <w:t>Expected outcome</w:t>
            </w:r>
          </w:p>
        </w:tc>
        <w:tc>
          <w:tcPr>
            <w:tcW w:w="12585" w:type="dxa"/>
            <w:tcBorders>
              <w:bottom w:val="single" w:sz="4" w:space="0" w:color="auto"/>
            </w:tcBorders>
          </w:tcPr>
          <w:p w14:paraId="532ABAC3"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color w:val="000000"/>
              </w:rPr>
            </w:pPr>
            <w:r w:rsidRPr="001B6C76">
              <w:rPr>
                <w:rFonts w:eastAsia="ArialMT" w:cstheme="minorHAnsi"/>
                <w:color w:val="000000"/>
              </w:rPr>
              <w:t>Effective program management with motivated staff, and complementary systems to ensure high quality implementation of the grant.</w:t>
            </w:r>
          </w:p>
        </w:tc>
      </w:tr>
    </w:tbl>
    <w:p w14:paraId="58B11996" w14:textId="77777777" w:rsidR="008B729A" w:rsidRDefault="008B729A" w:rsidP="008B729A">
      <w:r>
        <w:br w:type="page"/>
      </w:r>
    </w:p>
    <w:tbl>
      <w:tblPr>
        <w:tblW w:w="151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0"/>
        <w:gridCol w:w="12585"/>
      </w:tblGrid>
      <w:tr w:rsidR="008B729A" w:rsidRPr="006A437D" w14:paraId="47235A0D" w14:textId="77777777" w:rsidTr="00021BDE">
        <w:trPr>
          <w:cantSplit/>
        </w:trPr>
        <w:tc>
          <w:tcPr>
            <w:tcW w:w="2580" w:type="dxa"/>
          </w:tcPr>
          <w:p w14:paraId="1D2F6909"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b/>
                <w:bCs/>
                <w:color w:val="000000"/>
              </w:rPr>
            </w:pPr>
            <w:r w:rsidRPr="006A437D">
              <w:rPr>
                <w:rFonts w:eastAsia="Arial" w:cstheme="minorHAnsi"/>
                <w:b/>
                <w:bCs/>
                <w:color w:val="000000"/>
              </w:rPr>
              <w:t>MODULE 5</w:t>
            </w:r>
          </w:p>
        </w:tc>
        <w:tc>
          <w:tcPr>
            <w:tcW w:w="12585" w:type="dxa"/>
          </w:tcPr>
          <w:p w14:paraId="3EDD3412"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color w:val="FF0000"/>
              </w:rPr>
            </w:pPr>
            <w:r w:rsidRPr="006A437D">
              <w:rPr>
                <w:rFonts w:eastAsia="Arial" w:cstheme="minorHAnsi"/>
                <w:b/>
                <w:color w:val="000000"/>
              </w:rPr>
              <w:t>RSSH: Monitoring and Evaluation Systems</w:t>
            </w:r>
          </w:p>
        </w:tc>
      </w:tr>
      <w:tr w:rsidR="008B729A" w:rsidRPr="001B6C76" w14:paraId="13DF60EE" w14:textId="77777777" w:rsidTr="00021BDE">
        <w:trPr>
          <w:cantSplit/>
        </w:trPr>
        <w:tc>
          <w:tcPr>
            <w:tcW w:w="2580" w:type="dxa"/>
            <w:vMerge w:val="restart"/>
          </w:tcPr>
          <w:p w14:paraId="32427173" w14:textId="77777777" w:rsidR="008B729A" w:rsidRPr="001B6C76" w:rsidRDefault="008B729A" w:rsidP="00021BDE">
            <w:pPr>
              <w:pBdr>
                <w:top w:val="nil"/>
                <w:left w:val="nil"/>
                <w:bottom w:val="nil"/>
                <w:right w:val="nil"/>
                <w:between w:val="nil"/>
              </w:pBdr>
              <w:spacing w:afterLines="40" w:after="96" w:line="264" w:lineRule="auto"/>
              <w:rPr>
                <w:rFonts w:eastAsia="Arial" w:cstheme="minorHAnsi"/>
                <w:b/>
                <w:bCs/>
                <w:color w:val="000000"/>
              </w:rPr>
            </w:pPr>
            <w:r w:rsidRPr="001B6C76">
              <w:rPr>
                <w:rFonts w:eastAsia="Arial" w:cstheme="minorHAnsi"/>
                <w:b/>
                <w:bCs/>
                <w:color w:val="000000"/>
              </w:rPr>
              <w:t>Intervention(s)</w:t>
            </w:r>
          </w:p>
        </w:tc>
        <w:tc>
          <w:tcPr>
            <w:tcW w:w="12585" w:type="dxa"/>
          </w:tcPr>
          <w:p w14:paraId="3A07229E" w14:textId="77777777" w:rsidR="008B729A" w:rsidRPr="001B6C76" w:rsidRDefault="008B729A" w:rsidP="00021BDE">
            <w:pPr>
              <w:pBdr>
                <w:top w:val="nil"/>
                <w:left w:val="nil"/>
                <w:bottom w:val="nil"/>
                <w:right w:val="nil"/>
                <w:between w:val="nil"/>
              </w:pBdr>
              <w:spacing w:afterLines="40" w:after="96" w:line="264" w:lineRule="auto"/>
              <w:rPr>
                <w:rFonts w:eastAsia="Arial" w:cstheme="minorHAnsi"/>
                <w:b/>
                <w:bCs/>
                <w:color w:val="000000"/>
              </w:rPr>
            </w:pPr>
            <w:r w:rsidRPr="001B6C76">
              <w:rPr>
                <w:rFonts w:eastAsia="Arial" w:cstheme="minorHAnsi"/>
                <w:b/>
                <w:color w:val="000000"/>
              </w:rPr>
              <w:t xml:space="preserve">Intervention: </w:t>
            </w:r>
            <w:r w:rsidRPr="001B6C76">
              <w:rPr>
                <w:rFonts w:eastAsia="Arial" w:cstheme="minorHAnsi"/>
                <w:color w:val="000000"/>
              </w:rPr>
              <w:t xml:space="preserve">Routine reporting </w:t>
            </w:r>
            <w:r w:rsidRPr="001B6C76">
              <w:rPr>
                <w:rFonts w:eastAsia="Arial" w:cstheme="minorHAnsi"/>
                <w:b/>
                <w:bCs/>
                <w:color w:val="000000"/>
                <w:u w:val="single"/>
              </w:rPr>
              <w:t>(malaria-specific surveillance/data items under RSSH module)</w:t>
            </w:r>
          </w:p>
          <w:p w14:paraId="3EC7D912" w14:textId="77777777" w:rsidR="008B729A" w:rsidRPr="00904F66" w:rsidRDefault="008B729A" w:rsidP="00021BDE">
            <w:pPr>
              <w:pBdr>
                <w:top w:val="nil"/>
                <w:left w:val="nil"/>
                <w:bottom w:val="nil"/>
                <w:right w:val="nil"/>
                <w:between w:val="nil"/>
              </w:pBdr>
              <w:spacing w:afterLines="40" w:after="96" w:line="264" w:lineRule="auto"/>
              <w:rPr>
                <w:rFonts w:eastAsia="Arial" w:cstheme="minorHAnsi"/>
                <w:color w:val="000000"/>
              </w:rPr>
            </w:pPr>
            <w:r w:rsidRPr="001B6C76">
              <w:rPr>
                <w:rFonts w:eastAsia="Arial" w:cstheme="minorHAnsi"/>
                <w:color w:val="000000"/>
              </w:rPr>
              <w:t xml:space="preserve">Change in Programming from current grant: </w:t>
            </w:r>
            <w:r w:rsidRPr="001B6C76">
              <w:rPr>
                <w:rFonts w:ascii="Segoe UI Symbol" w:eastAsia="MS Gothic" w:hAnsi="Segoe UI Symbol" w:cs="Segoe UI Symbol"/>
                <w:color w:val="000000"/>
              </w:rPr>
              <w:t>☐</w:t>
            </w:r>
            <w:r w:rsidRPr="001B6C76">
              <w:rPr>
                <w:rFonts w:eastAsia="Arial" w:cstheme="minorHAnsi"/>
                <w:color w:val="000000"/>
              </w:rPr>
              <w:t xml:space="preserve"> New, </w:t>
            </w:r>
            <w:r w:rsidRPr="001B6C76">
              <w:rPr>
                <w:rFonts w:ascii="Segoe UI Symbol" w:eastAsia="MS Gothic" w:hAnsi="Segoe UI Symbol" w:cs="Segoe UI Symbol"/>
                <w:color w:val="000000"/>
              </w:rPr>
              <w:t>☐</w:t>
            </w:r>
            <w:r w:rsidRPr="001B6C76">
              <w:rPr>
                <w:rFonts w:eastAsia="Arial" w:cstheme="minorHAnsi"/>
                <w:color w:val="000000"/>
              </w:rPr>
              <w:t xml:space="preserve"> Scale-up, </w:t>
            </w:r>
            <w:r w:rsidRPr="001B6C76">
              <w:rPr>
                <w:rFonts w:ascii="Segoe UI Symbol" w:eastAsia="MS Gothic" w:hAnsi="Segoe UI Symbol" w:cs="Segoe UI Symbol"/>
                <w:color w:val="000000"/>
              </w:rPr>
              <w:t>☒</w:t>
            </w:r>
            <w:r w:rsidRPr="001B6C76">
              <w:rPr>
                <w:rFonts w:eastAsia="Arial" w:cstheme="minorHAnsi"/>
                <w:color w:val="000000"/>
              </w:rPr>
              <w:t xml:space="preserve"> Continuation, or </w:t>
            </w:r>
            <w:r w:rsidRPr="001B6C76">
              <w:rPr>
                <w:rFonts w:ascii="Segoe UI Symbol" w:eastAsia="MS Gothic" w:hAnsi="Segoe UI Symbol" w:cs="Segoe UI Symbol"/>
                <w:color w:val="000000"/>
              </w:rPr>
              <w:t>☐</w:t>
            </w:r>
            <w:r w:rsidRPr="001B6C76">
              <w:rPr>
                <w:rFonts w:eastAsia="Arial" w:cstheme="minorHAnsi"/>
                <w:color w:val="000000"/>
              </w:rPr>
              <w:t xml:space="preserve"> Scale-down</w:t>
            </w:r>
          </w:p>
        </w:tc>
      </w:tr>
      <w:tr w:rsidR="008B729A" w:rsidRPr="001B6C76" w14:paraId="06BEA98D" w14:textId="77777777" w:rsidTr="00021BDE">
        <w:trPr>
          <w:cantSplit/>
        </w:trPr>
        <w:tc>
          <w:tcPr>
            <w:tcW w:w="2580" w:type="dxa"/>
            <w:vMerge/>
          </w:tcPr>
          <w:p w14:paraId="7B9658AF" w14:textId="77777777" w:rsidR="008B729A" w:rsidRPr="001B6C76" w:rsidRDefault="008B729A" w:rsidP="00021BDE">
            <w:pPr>
              <w:pBdr>
                <w:top w:val="nil"/>
                <w:left w:val="nil"/>
                <w:bottom w:val="nil"/>
                <w:right w:val="nil"/>
                <w:between w:val="nil"/>
              </w:pBdr>
              <w:spacing w:afterLines="40" w:after="96" w:line="264" w:lineRule="auto"/>
              <w:rPr>
                <w:rFonts w:eastAsia="Arial" w:cstheme="minorHAnsi"/>
                <w:b/>
                <w:bCs/>
                <w:color w:val="000000"/>
              </w:rPr>
            </w:pPr>
          </w:p>
        </w:tc>
        <w:tc>
          <w:tcPr>
            <w:tcW w:w="12585" w:type="dxa"/>
          </w:tcPr>
          <w:p w14:paraId="51D523B0" w14:textId="77777777" w:rsidR="008B729A" w:rsidRPr="001B6C76" w:rsidRDefault="008B729A" w:rsidP="00021BDE">
            <w:pPr>
              <w:pBdr>
                <w:top w:val="nil"/>
                <w:left w:val="nil"/>
                <w:bottom w:val="nil"/>
                <w:right w:val="nil"/>
                <w:between w:val="nil"/>
              </w:pBdr>
              <w:spacing w:afterLines="40" w:after="96" w:line="264" w:lineRule="auto"/>
              <w:rPr>
                <w:rFonts w:eastAsia="Arial" w:cstheme="minorHAnsi"/>
                <w:color w:val="000000"/>
              </w:rPr>
            </w:pPr>
            <w:r w:rsidRPr="001B6C76">
              <w:rPr>
                <w:rFonts w:eastAsia="Arial" w:cstheme="minorHAnsi"/>
                <w:b/>
                <w:color w:val="000000"/>
              </w:rPr>
              <w:t xml:space="preserve">Intervention: </w:t>
            </w:r>
            <w:r w:rsidRPr="001B6C76">
              <w:rPr>
                <w:rFonts w:eastAsia="Arial" w:cstheme="minorHAnsi"/>
                <w:color w:val="000000"/>
              </w:rPr>
              <w:t>RSSH/PP: Surveillance for priority epidemic-prone diseases and events(</w:t>
            </w:r>
            <w:r w:rsidRPr="001B6C76">
              <w:rPr>
                <w:rFonts w:eastAsia="Arial" w:cstheme="minorHAnsi"/>
                <w:b/>
                <w:bCs/>
                <w:color w:val="000000"/>
                <w:u w:val="single"/>
              </w:rPr>
              <w:t>malaria-specific under RSSH module)</w:t>
            </w:r>
          </w:p>
          <w:p w14:paraId="78C7095A" w14:textId="77777777" w:rsidR="008B729A" w:rsidRPr="001B6C76" w:rsidRDefault="008B729A" w:rsidP="00021BDE">
            <w:pPr>
              <w:pBdr>
                <w:top w:val="nil"/>
                <w:left w:val="nil"/>
                <w:bottom w:val="nil"/>
                <w:right w:val="nil"/>
                <w:between w:val="nil"/>
              </w:pBdr>
              <w:spacing w:afterLines="40" w:after="96" w:line="264" w:lineRule="auto"/>
              <w:rPr>
                <w:rFonts w:eastAsia="Arial" w:cstheme="minorHAnsi"/>
                <w:b/>
                <w:color w:val="000000"/>
              </w:rPr>
            </w:pPr>
            <w:r w:rsidRPr="001B6C76">
              <w:rPr>
                <w:rFonts w:eastAsia="Arial" w:cstheme="minorHAnsi"/>
                <w:color w:val="000000"/>
              </w:rPr>
              <w:t xml:space="preserve">Change in Programming from current grant: </w:t>
            </w:r>
            <w:r w:rsidRPr="001B6C76">
              <w:rPr>
                <w:rFonts w:ascii="Segoe UI Symbol" w:eastAsia="MS Gothic" w:hAnsi="Segoe UI Symbol" w:cs="Segoe UI Symbol"/>
                <w:color w:val="000000"/>
              </w:rPr>
              <w:t>☐</w:t>
            </w:r>
            <w:r w:rsidRPr="001B6C76">
              <w:rPr>
                <w:rFonts w:eastAsia="Arial" w:cstheme="minorHAnsi"/>
                <w:color w:val="000000"/>
              </w:rPr>
              <w:t xml:space="preserve"> New, </w:t>
            </w:r>
            <w:r w:rsidRPr="001B6C76">
              <w:rPr>
                <w:rFonts w:ascii="Segoe UI Symbol" w:eastAsia="MS Gothic" w:hAnsi="Segoe UI Symbol" w:cs="Segoe UI Symbol"/>
                <w:color w:val="000000"/>
              </w:rPr>
              <w:t>☒</w:t>
            </w:r>
            <w:r w:rsidRPr="001B6C76">
              <w:rPr>
                <w:rFonts w:eastAsia="Arial" w:cstheme="minorHAnsi"/>
                <w:color w:val="000000"/>
              </w:rPr>
              <w:t xml:space="preserve"> Scale-up, </w:t>
            </w:r>
            <w:r w:rsidRPr="001B6C76">
              <w:rPr>
                <w:rFonts w:ascii="Segoe UI Symbol" w:eastAsia="MS Gothic" w:hAnsi="Segoe UI Symbol" w:cs="Segoe UI Symbol"/>
                <w:color w:val="000000"/>
              </w:rPr>
              <w:t>☐</w:t>
            </w:r>
            <w:r w:rsidRPr="001B6C76">
              <w:rPr>
                <w:rFonts w:eastAsia="Arial" w:cstheme="minorHAnsi"/>
                <w:color w:val="000000"/>
              </w:rPr>
              <w:t xml:space="preserve"> Continuation, or </w:t>
            </w:r>
            <w:r w:rsidRPr="001B6C76">
              <w:rPr>
                <w:rFonts w:ascii="Segoe UI Symbol" w:eastAsia="MS Gothic" w:hAnsi="Segoe UI Symbol" w:cs="Segoe UI Symbol"/>
                <w:color w:val="000000"/>
              </w:rPr>
              <w:t>☐</w:t>
            </w:r>
            <w:r w:rsidRPr="001B6C76">
              <w:rPr>
                <w:rFonts w:eastAsia="Arial" w:cstheme="minorHAnsi"/>
                <w:color w:val="000000"/>
              </w:rPr>
              <w:t xml:space="preserve"> Scale-down</w:t>
            </w:r>
          </w:p>
        </w:tc>
      </w:tr>
      <w:tr w:rsidR="008B729A" w:rsidRPr="001B6C76" w14:paraId="3E3B5AF4" w14:textId="77777777" w:rsidTr="00021BDE">
        <w:trPr>
          <w:cantSplit/>
        </w:trPr>
        <w:tc>
          <w:tcPr>
            <w:tcW w:w="2580" w:type="dxa"/>
            <w:vMerge/>
          </w:tcPr>
          <w:p w14:paraId="5B7B3068" w14:textId="77777777" w:rsidR="008B729A" w:rsidRPr="001B6C76" w:rsidRDefault="008B729A" w:rsidP="00021BDE">
            <w:pPr>
              <w:pBdr>
                <w:top w:val="nil"/>
                <w:left w:val="nil"/>
                <w:bottom w:val="nil"/>
                <w:right w:val="nil"/>
                <w:between w:val="nil"/>
              </w:pBdr>
              <w:spacing w:afterLines="40" w:after="96" w:line="264" w:lineRule="auto"/>
              <w:rPr>
                <w:rFonts w:eastAsia="Arial" w:cstheme="minorHAnsi"/>
                <w:b/>
                <w:bCs/>
                <w:color w:val="000000"/>
              </w:rPr>
            </w:pPr>
          </w:p>
        </w:tc>
        <w:tc>
          <w:tcPr>
            <w:tcW w:w="12585" w:type="dxa"/>
          </w:tcPr>
          <w:p w14:paraId="1FFCE9BD" w14:textId="77777777" w:rsidR="008B729A" w:rsidRPr="00CE2A9D" w:rsidRDefault="008B729A" w:rsidP="00021BDE">
            <w:pPr>
              <w:pBdr>
                <w:top w:val="nil"/>
                <w:left w:val="nil"/>
                <w:bottom w:val="nil"/>
                <w:right w:val="nil"/>
                <w:between w:val="nil"/>
              </w:pBdr>
              <w:spacing w:afterLines="40" w:after="96" w:line="264" w:lineRule="auto"/>
              <w:rPr>
                <w:rFonts w:eastAsia="Arial" w:cstheme="minorHAnsi"/>
                <w:color w:val="000000"/>
              </w:rPr>
            </w:pPr>
            <w:r w:rsidRPr="006A437D">
              <w:rPr>
                <w:rFonts w:eastAsia="Arial" w:cstheme="minorHAnsi"/>
                <w:b/>
                <w:color w:val="000000"/>
              </w:rPr>
              <w:t xml:space="preserve">Intervention: </w:t>
            </w:r>
            <w:r w:rsidRPr="006A437D">
              <w:rPr>
                <w:rFonts w:eastAsia="Arial" w:cstheme="minorHAnsi"/>
                <w:color w:val="000000"/>
              </w:rPr>
              <w:t>Surveys</w:t>
            </w:r>
            <w:r>
              <w:rPr>
                <w:rFonts w:eastAsia="Arial" w:cstheme="minorHAnsi"/>
                <w:color w:val="000000"/>
              </w:rPr>
              <w:t xml:space="preserve"> (</w:t>
            </w:r>
            <w:r w:rsidRPr="00CE2A9D">
              <w:rPr>
                <w:rFonts w:eastAsia="Arial" w:cstheme="minorHAnsi"/>
                <w:b/>
                <w:bCs/>
                <w:color w:val="000000"/>
                <w:u w:val="single"/>
              </w:rPr>
              <w:t xml:space="preserve">malaria-specific </w:t>
            </w:r>
            <w:r>
              <w:rPr>
                <w:rFonts w:eastAsia="Arial" w:cstheme="minorHAnsi"/>
                <w:b/>
                <w:bCs/>
                <w:color w:val="000000"/>
                <w:u w:val="single"/>
              </w:rPr>
              <w:t>survey</w:t>
            </w:r>
            <w:r w:rsidRPr="00CE2A9D">
              <w:rPr>
                <w:rFonts w:eastAsia="Arial" w:cstheme="minorHAnsi"/>
                <w:b/>
                <w:bCs/>
                <w:color w:val="000000"/>
                <w:u w:val="single"/>
              </w:rPr>
              <w:t xml:space="preserve"> under RSSH module</w:t>
            </w:r>
            <w:r>
              <w:rPr>
                <w:rFonts w:eastAsia="Arial" w:cstheme="minorHAnsi"/>
                <w:color w:val="000000"/>
                <w:u w:val="single"/>
              </w:rPr>
              <w:t>)</w:t>
            </w:r>
          </w:p>
          <w:p w14:paraId="449FB6FA" w14:textId="77777777" w:rsidR="008B729A" w:rsidRPr="001B6C76" w:rsidRDefault="008B729A" w:rsidP="00021BDE">
            <w:pPr>
              <w:pBdr>
                <w:top w:val="nil"/>
                <w:left w:val="nil"/>
                <w:bottom w:val="nil"/>
                <w:right w:val="nil"/>
                <w:between w:val="nil"/>
              </w:pBdr>
              <w:spacing w:afterLines="40" w:after="96" w:line="264" w:lineRule="auto"/>
              <w:rPr>
                <w:rFonts w:eastAsia="Arial" w:cstheme="minorHAnsi"/>
                <w:b/>
                <w:color w:val="000000"/>
              </w:rPr>
            </w:pPr>
            <w:r w:rsidRPr="006A437D">
              <w:rPr>
                <w:rFonts w:eastAsia="Arial" w:cstheme="minorHAnsi"/>
                <w:color w:val="000000"/>
              </w:rPr>
              <w:t xml:space="preserve">Change in Programming from current: </w:t>
            </w:r>
            <w:r w:rsidRPr="006A437D">
              <w:rPr>
                <w:rFonts w:ascii="Segoe UI Symbol" w:eastAsia="MS Gothic" w:hAnsi="Segoe UI Symbol" w:cs="Segoe UI Symbol"/>
                <w:color w:val="000000"/>
              </w:rPr>
              <w:t>☐</w:t>
            </w:r>
            <w:r w:rsidRPr="006A437D">
              <w:rPr>
                <w:rFonts w:eastAsia="Arial" w:cstheme="minorHAnsi"/>
                <w:color w:val="000000"/>
              </w:rPr>
              <w:t xml:space="preserve"> New, </w:t>
            </w:r>
            <w:r w:rsidRPr="006A437D">
              <w:rPr>
                <w:rFonts w:ascii="Segoe UI Symbol" w:eastAsia="MS Gothic" w:hAnsi="Segoe UI Symbol" w:cs="Segoe UI Symbol"/>
                <w:color w:val="000000"/>
              </w:rPr>
              <w:t>☐</w:t>
            </w:r>
            <w:r w:rsidRPr="006A437D">
              <w:rPr>
                <w:rFonts w:eastAsia="Arial" w:cstheme="minorHAnsi"/>
                <w:color w:val="000000"/>
              </w:rPr>
              <w:t xml:space="preserve"> Scale-up, </w:t>
            </w:r>
            <w:r w:rsidRPr="006A437D">
              <w:rPr>
                <w:rFonts w:ascii="Segoe UI Symbol" w:eastAsia="MS Gothic" w:hAnsi="Segoe UI Symbol" w:cs="Segoe UI Symbol"/>
                <w:color w:val="000000"/>
              </w:rPr>
              <w:t>☒</w:t>
            </w:r>
            <w:r w:rsidRPr="006A437D">
              <w:rPr>
                <w:rFonts w:eastAsia="Arial" w:cstheme="minorHAnsi"/>
                <w:color w:val="000000"/>
              </w:rPr>
              <w:t xml:space="preserve"> Continuation, or </w:t>
            </w:r>
            <w:r w:rsidRPr="006A437D">
              <w:rPr>
                <w:rFonts w:ascii="Segoe UI Symbol" w:eastAsia="MS Gothic" w:hAnsi="Segoe UI Symbol" w:cs="Segoe UI Symbol"/>
                <w:color w:val="000000"/>
              </w:rPr>
              <w:t>☐</w:t>
            </w:r>
            <w:r w:rsidRPr="006A437D">
              <w:rPr>
                <w:rFonts w:eastAsia="Arial" w:cstheme="minorHAnsi"/>
                <w:color w:val="000000"/>
              </w:rPr>
              <w:t xml:space="preserve"> Scale-down</w:t>
            </w:r>
            <w:r>
              <w:rPr>
                <w:rFonts w:eastAsia="Arial" w:cstheme="minorHAnsi"/>
                <w:color w:val="000000"/>
              </w:rPr>
              <w:t xml:space="preserve"> </w:t>
            </w:r>
          </w:p>
        </w:tc>
      </w:tr>
      <w:tr w:rsidR="008B729A" w:rsidRPr="001B6C76" w14:paraId="0AC263A1" w14:textId="77777777" w:rsidTr="00021BDE">
        <w:trPr>
          <w:cantSplit/>
        </w:trPr>
        <w:tc>
          <w:tcPr>
            <w:tcW w:w="2580" w:type="dxa"/>
            <w:vMerge/>
          </w:tcPr>
          <w:p w14:paraId="061D1D15" w14:textId="77777777" w:rsidR="008B729A" w:rsidRPr="001B6C76" w:rsidRDefault="008B729A" w:rsidP="00021BDE">
            <w:pPr>
              <w:pBdr>
                <w:top w:val="nil"/>
                <w:left w:val="nil"/>
                <w:bottom w:val="nil"/>
                <w:right w:val="nil"/>
                <w:between w:val="nil"/>
              </w:pBdr>
              <w:spacing w:afterLines="40" w:after="96" w:line="264" w:lineRule="auto"/>
              <w:rPr>
                <w:rFonts w:eastAsia="Arial" w:cstheme="minorHAnsi"/>
                <w:b/>
                <w:bCs/>
                <w:color w:val="000000"/>
              </w:rPr>
            </w:pPr>
          </w:p>
        </w:tc>
        <w:tc>
          <w:tcPr>
            <w:tcW w:w="12585" w:type="dxa"/>
          </w:tcPr>
          <w:p w14:paraId="25F16B53" w14:textId="77777777" w:rsidR="008B729A" w:rsidRPr="001B6C76" w:rsidRDefault="008B729A" w:rsidP="00021BDE">
            <w:pPr>
              <w:spacing w:afterLines="40" w:after="96" w:line="264" w:lineRule="auto"/>
              <w:rPr>
                <w:rFonts w:eastAsia="Arial" w:cstheme="minorHAnsi"/>
                <w:color w:val="000000"/>
              </w:rPr>
            </w:pPr>
            <w:r w:rsidRPr="001B6C76">
              <w:rPr>
                <w:rFonts w:eastAsia="Arial" w:cstheme="minorHAnsi"/>
                <w:b/>
                <w:color w:val="000000"/>
              </w:rPr>
              <w:t xml:space="preserve">Intervention: </w:t>
            </w:r>
            <w:r w:rsidRPr="001B6C76">
              <w:rPr>
                <w:rFonts w:eastAsia="Arial" w:cstheme="minorHAnsi"/>
                <w:color w:val="000000"/>
              </w:rPr>
              <w:t>Analyses, evaluations, reviews and data use (</w:t>
            </w:r>
            <w:r w:rsidRPr="001B6C76">
              <w:rPr>
                <w:rFonts w:eastAsia="Arial" w:cstheme="minorHAnsi"/>
                <w:b/>
                <w:bCs/>
                <w:color w:val="000000"/>
                <w:u w:val="single"/>
              </w:rPr>
              <w:t>malaria-specific evaluation under RSSH module)</w:t>
            </w:r>
          </w:p>
          <w:p w14:paraId="39AF0793" w14:textId="77777777" w:rsidR="008B729A" w:rsidRPr="001B6C76" w:rsidRDefault="008B729A" w:rsidP="00021BDE">
            <w:pPr>
              <w:pBdr>
                <w:top w:val="nil"/>
                <w:left w:val="nil"/>
                <w:bottom w:val="nil"/>
                <w:right w:val="nil"/>
                <w:between w:val="nil"/>
              </w:pBdr>
              <w:spacing w:afterLines="40" w:after="96" w:line="264" w:lineRule="auto"/>
              <w:rPr>
                <w:rFonts w:eastAsia="Arial" w:cstheme="minorHAnsi"/>
                <w:b/>
                <w:color w:val="000000"/>
              </w:rPr>
            </w:pPr>
            <w:r w:rsidRPr="001B6C76">
              <w:rPr>
                <w:rFonts w:eastAsia="Arial" w:cstheme="minorHAnsi"/>
                <w:color w:val="000000"/>
              </w:rPr>
              <w:t xml:space="preserve">Change in Programming from current: </w:t>
            </w:r>
            <w:r w:rsidRPr="001B6C76">
              <w:rPr>
                <w:rFonts w:ascii="Segoe UI Symbol" w:eastAsia="MS Gothic" w:hAnsi="Segoe UI Symbol" w:cs="Segoe UI Symbol"/>
                <w:color w:val="000000"/>
              </w:rPr>
              <w:t>☒</w:t>
            </w:r>
            <w:r w:rsidRPr="001B6C76">
              <w:rPr>
                <w:rFonts w:eastAsia="Arial" w:cstheme="minorHAnsi"/>
                <w:color w:val="000000"/>
              </w:rPr>
              <w:t xml:space="preserve"> New, </w:t>
            </w:r>
            <w:r w:rsidRPr="001B6C76">
              <w:rPr>
                <w:rFonts w:ascii="Segoe UI Symbol" w:eastAsia="MS Gothic" w:hAnsi="Segoe UI Symbol" w:cs="Segoe UI Symbol"/>
                <w:color w:val="000000"/>
              </w:rPr>
              <w:t>☐</w:t>
            </w:r>
            <w:r w:rsidRPr="001B6C76">
              <w:rPr>
                <w:rFonts w:eastAsia="Arial" w:cstheme="minorHAnsi"/>
                <w:color w:val="000000"/>
              </w:rPr>
              <w:t xml:space="preserve"> Scale-up, </w:t>
            </w:r>
            <w:r w:rsidRPr="001B6C76">
              <w:rPr>
                <w:rFonts w:ascii="Segoe UI Symbol" w:eastAsia="MS Gothic" w:hAnsi="Segoe UI Symbol" w:cs="Segoe UI Symbol"/>
                <w:color w:val="000000"/>
              </w:rPr>
              <w:t>☐</w:t>
            </w:r>
            <w:r w:rsidRPr="001B6C76">
              <w:rPr>
                <w:rFonts w:eastAsia="Arial" w:cstheme="minorHAnsi"/>
                <w:color w:val="000000"/>
              </w:rPr>
              <w:t xml:space="preserve"> Continuation, or </w:t>
            </w:r>
            <w:r w:rsidRPr="001B6C76">
              <w:rPr>
                <w:rFonts w:ascii="Segoe UI Symbol" w:eastAsia="MS Gothic" w:hAnsi="Segoe UI Symbol" w:cs="Segoe UI Symbol"/>
                <w:color w:val="000000"/>
              </w:rPr>
              <w:t>☐</w:t>
            </w:r>
            <w:r w:rsidRPr="001B6C76">
              <w:rPr>
                <w:rFonts w:eastAsia="Arial" w:cstheme="minorHAnsi"/>
                <w:color w:val="000000"/>
              </w:rPr>
              <w:t xml:space="preserve"> Scale-down</w:t>
            </w:r>
          </w:p>
        </w:tc>
      </w:tr>
      <w:tr w:rsidR="008B729A" w:rsidRPr="001B6C76" w14:paraId="0AA5A88B" w14:textId="77777777" w:rsidTr="00021BDE">
        <w:trPr>
          <w:cantSplit/>
        </w:trPr>
        <w:tc>
          <w:tcPr>
            <w:tcW w:w="2580" w:type="dxa"/>
          </w:tcPr>
          <w:p w14:paraId="5E74C711" w14:textId="77777777" w:rsidR="008B729A" w:rsidRPr="001B6C76" w:rsidRDefault="008B729A" w:rsidP="00021BDE">
            <w:pPr>
              <w:pBdr>
                <w:top w:val="nil"/>
                <w:left w:val="nil"/>
                <w:bottom w:val="nil"/>
                <w:right w:val="nil"/>
                <w:between w:val="nil"/>
              </w:pBdr>
              <w:spacing w:afterLines="40" w:after="96" w:line="264" w:lineRule="auto"/>
              <w:rPr>
                <w:rFonts w:eastAsia="Arial" w:cstheme="minorHAnsi"/>
                <w:b/>
                <w:bCs/>
                <w:color w:val="000000"/>
              </w:rPr>
            </w:pPr>
            <w:r>
              <w:rPr>
                <w:rFonts w:eastAsia="Arial" w:cstheme="minorHAnsi"/>
                <w:b/>
                <w:bCs/>
                <w:color w:val="000000"/>
              </w:rPr>
              <w:t>Population, geographies and/or barriers addressed</w:t>
            </w:r>
          </w:p>
        </w:tc>
        <w:tc>
          <w:tcPr>
            <w:tcW w:w="12585" w:type="dxa"/>
          </w:tcPr>
          <w:p w14:paraId="4105BE21" w14:textId="77777777" w:rsidR="008B729A" w:rsidRDefault="008B729A" w:rsidP="00021BDE">
            <w:pPr>
              <w:pBdr>
                <w:top w:val="nil"/>
                <w:left w:val="nil"/>
                <w:bottom w:val="nil"/>
                <w:right w:val="nil"/>
                <w:between w:val="nil"/>
              </w:pBdr>
              <w:spacing w:afterLines="40" w:after="96" w:line="264" w:lineRule="auto"/>
              <w:rPr>
                <w:rFonts w:eastAsia="Arial" w:cstheme="minorHAnsi"/>
                <w:color w:val="000000"/>
              </w:rPr>
            </w:pPr>
            <w:r w:rsidRPr="001B6C76">
              <w:rPr>
                <w:rFonts w:eastAsia="Arial" w:cstheme="minorHAnsi"/>
                <w:color w:val="000000"/>
              </w:rPr>
              <w:t>Health workers at all levels of the health system, partners, TWGs</w:t>
            </w:r>
          </w:p>
          <w:p w14:paraId="145BC17F" w14:textId="77777777" w:rsidR="008B729A" w:rsidRPr="001B6C76" w:rsidRDefault="008B729A" w:rsidP="00021BDE">
            <w:pPr>
              <w:numPr>
                <w:ilvl w:val="0"/>
                <w:numId w:val="32"/>
              </w:numPr>
              <w:pBdr>
                <w:top w:val="nil"/>
                <w:left w:val="nil"/>
                <w:bottom w:val="nil"/>
                <w:right w:val="nil"/>
                <w:between w:val="nil"/>
              </w:pBdr>
              <w:spacing w:after="0" w:line="240" w:lineRule="auto"/>
              <w:rPr>
                <w:rFonts w:eastAsia="Arial" w:cstheme="minorHAnsi"/>
                <w:color w:val="000000"/>
              </w:rPr>
            </w:pPr>
            <w:r w:rsidRPr="001B6C76">
              <w:rPr>
                <w:rFonts w:eastAsia="Arial" w:cstheme="minorHAnsi"/>
                <w:color w:val="000000"/>
              </w:rPr>
              <w:t>Lack of register tools for data collection at some HFs, which is in progress for resolution – including improvements in the collection of sex disaggregated data. Procurement of registers has faced major bureaucratic hurdles.</w:t>
            </w:r>
          </w:p>
          <w:p w14:paraId="1F1ADFE2" w14:textId="77777777" w:rsidR="008B729A" w:rsidRDefault="008B729A" w:rsidP="00021BDE">
            <w:pPr>
              <w:numPr>
                <w:ilvl w:val="0"/>
                <w:numId w:val="32"/>
              </w:numPr>
              <w:pBdr>
                <w:top w:val="nil"/>
                <w:left w:val="nil"/>
                <w:bottom w:val="nil"/>
                <w:right w:val="nil"/>
                <w:between w:val="nil"/>
              </w:pBdr>
              <w:spacing w:after="0" w:line="240" w:lineRule="auto"/>
              <w:rPr>
                <w:rFonts w:eastAsia="Arial" w:cstheme="minorHAnsi"/>
                <w:color w:val="000000"/>
              </w:rPr>
            </w:pPr>
            <w:r w:rsidRPr="001B6C76">
              <w:rPr>
                <w:rFonts w:eastAsia="Arial" w:cstheme="minorHAnsi"/>
                <w:color w:val="000000"/>
              </w:rPr>
              <w:t>Continuing gaps in data accuracy, which requires further improvement</w:t>
            </w:r>
          </w:p>
          <w:p w14:paraId="650BA429" w14:textId="77777777" w:rsidR="008B729A" w:rsidRPr="00904F66" w:rsidRDefault="008B729A" w:rsidP="00021BDE">
            <w:pPr>
              <w:numPr>
                <w:ilvl w:val="0"/>
                <w:numId w:val="32"/>
              </w:numPr>
              <w:pBdr>
                <w:top w:val="nil"/>
                <w:left w:val="nil"/>
                <w:bottom w:val="nil"/>
                <w:right w:val="nil"/>
                <w:between w:val="nil"/>
              </w:pBdr>
              <w:spacing w:after="0" w:line="240" w:lineRule="auto"/>
              <w:rPr>
                <w:rFonts w:eastAsia="Arial" w:cstheme="minorHAnsi"/>
                <w:color w:val="000000"/>
              </w:rPr>
            </w:pPr>
            <w:r w:rsidRPr="00904F66">
              <w:rPr>
                <w:rFonts w:eastAsia="Arial" w:cstheme="minorHAnsi"/>
                <w:color w:val="000000"/>
              </w:rPr>
              <w:t>Late detection of epidemics followed with a late response when they are detected</w:t>
            </w:r>
          </w:p>
        </w:tc>
      </w:tr>
    </w:tbl>
    <w:p w14:paraId="103F8257" w14:textId="77777777" w:rsidR="008B729A" w:rsidRPr="001B6C76" w:rsidRDefault="008B729A" w:rsidP="008B729A">
      <w:r w:rsidRPr="001B6C76">
        <w:br w:type="page"/>
      </w:r>
    </w:p>
    <w:tbl>
      <w:tblPr>
        <w:tblW w:w="151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0"/>
        <w:gridCol w:w="12585"/>
      </w:tblGrid>
      <w:tr w:rsidR="008B729A" w:rsidRPr="006A437D" w14:paraId="5427F785" w14:textId="77777777" w:rsidTr="00021BDE">
        <w:trPr>
          <w:cantSplit/>
        </w:trPr>
        <w:tc>
          <w:tcPr>
            <w:tcW w:w="2580" w:type="dxa"/>
            <w:vMerge w:val="restart"/>
          </w:tcPr>
          <w:p w14:paraId="6F77ECAA"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b/>
                <w:bCs/>
                <w:color w:val="000000"/>
              </w:rPr>
            </w:pPr>
            <w:r>
              <w:rPr>
                <w:rFonts w:eastAsia="Arial" w:cstheme="minorHAnsi"/>
                <w:b/>
                <w:bCs/>
                <w:color w:val="000000"/>
              </w:rPr>
              <w:t>List of activities</w:t>
            </w:r>
          </w:p>
        </w:tc>
        <w:tc>
          <w:tcPr>
            <w:tcW w:w="12585" w:type="dxa"/>
          </w:tcPr>
          <w:p w14:paraId="66BF2446" w14:textId="77777777" w:rsidR="008B729A" w:rsidRPr="001B6C76" w:rsidRDefault="008B729A" w:rsidP="00021BDE">
            <w:pPr>
              <w:pBdr>
                <w:top w:val="nil"/>
                <w:left w:val="nil"/>
                <w:bottom w:val="nil"/>
                <w:right w:val="nil"/>
                <w:between w:val="nil"/>
              </w:pBdr>
              <w:spacing w:afterLines="40" w:after="96" w:line="264" w:lineRule="auto"/>
              <w:rPr>
                <w:rFonts w:eastAsia="Arial" w:cstheme="minorHAnsi"/>
                <w:b/>
                <w:bCs/>
                <w:color w:val="000000"/>
              </w:rPr>
            </w:pPr>
            <w:r w:rsidRPr="001B6C76">
              <w:rPr>
                <w:rFonts w:eastAsia="Arial" w:cstheme="minorHAnsi"/>
                <w:b/>
                <w:color w:val="000000"/>
              </w:rPr>
              <w:t xml:space="preserve">Intervention: </w:t>
            </w:r>
            <w:r w:rsidRPr="001B6C76">
              <w:rPr>
                <w:rFonts w:eastAsia="Arial" w:cstheme="minorHAnsi"/>
                <w:color w:val="000000"/>
              </w:rPr>
              <w:t xml:space="preserve">Routine reporting </w:t>
            </w:r>
            <w:r w:rsidRPr="001B6C76">
              <w:rPr>
                <w:rFonts w:eastAsia="Arial" w:cstheme="minorHAnsi"/>
                <w:b/>
                <w:bCs/>
                <w:color w:val="000000"/>
                <w:u w:val="single"/>
              </w:rPr>
              <w:t>(malaria-specific surveillance/data items under RSSH module)</w:t>
            </w:r>
          </w:p>
          <w:p w14:paraId="4DDF8EA2" w14:textId="77777777" w:rsidR="008B729A" w:rsidRPr="001B6C76" w:rsidRDefault="008B729A" w:rsidP="00021BDE">
            <w:pPr>
              <w:pBdr>
                <w:top w:val="nil"/>
                <w:left w:val="nil"/>
                <w:bottom w:val="nil"/>
                <w:right w:val="nil"/>
                <w:between w:val="nil"/>
              </w:pBdr>
              <w:spacing w:after="0" w:line="264" w:lineRule="auto"/>
              <w:rPr>
                <w:rFonts w:eastAsia="Arial" w:cstheme="minorHAnsi"/>
                <w:color w:val="000000"/>
              </w:rPr>
            </w:pPr>
            <w:r w:rsidRPr="001B6C76">
              <w:rPr>
                <w:rFonts w:eastAsia="Arial" w:cstheme="minorHAnsi"/>
                <w:color w:val="000000"/>
              </w:rPr>
              <w:t xml:space="preserve">Key </w:t>
            </w:r>
            <w:r w:rsidRPr="001B6C76">
              <w:rPr>
                <w:rFonts w:eastAsia="Arial" w:cstheme="minorHAnsi"/>
                <w:color w:val="000000"/>
                <w:u w:val="single"/>
              </w:rPr>
              <w:t>malaria-specific activities</w:t>
            </w:r>
            <w:r w:rsidRPr="001B6C76">
              <w:rPr>
                <w:rFonts w:eastAsia="Arial" w:cstheme="minorHAnsi"/>
                <w:color w:val="000000"/>
              </w:rPr>
              <w:t xml:space="preserve"> under this intervention include:</w:t>
            </w:r>
          </w:p>
          <w:p w14:paraId="146FCAB3" w14:textId="77777777" w:rsidR="008B729A" w:rsidRPr="001B6C76" w:rsidRDefault="008B729A" w:rsidP="00021BDE">
            <w:pPr>
              <w:numPr>
                <w:ilvl w:val="0"/>
                <w:numId w:val="36"/>
              </w:numPr>
              <w:pBdr>
                <w:top w:val="nil"/>
                <w:left w:val="nil"/>
                <w:bottom w:val="nil"/>
                <w:right w:val="nil"/>
                <w:between w:val="nil"/>
              </w:pBdr>
              <w:spacing w:after="0" w:line="264" w:lineRule="auto"/>
              <w:rPr>
                <w:rFonts w:eastAsia="Arial" w:cstheme="minorHAnsi"/>
                <w:color w:val="000000"/>
              </w:rPr>
            </w:pPr>
            <w:r w:rsidRPr="001B6C76">
              <w:rPr>
                <w:rFonts w:eastAsia="Arial" w:cstheme="minorHAnsi"/>
                <w:color w:val="000000"/>
              </w:rPr>
              <w:t>Strengthened implementation of the</w:t>
            </w:r>
            <w:r w:rsidRPr="001B6C76">
              <w:rPr>
                <w:rFonts w:eastAsia="Arial" w:cstheme="minorHAnsi"/>
                <w:b/>
                <w:color w:val="000000"/>
              </w:rPr>
              <w:t xml:space="preserve"> Data Quality Assurance (DQA)</w:t>
            </w:r>
            <w:r w:rsidRPr="001B6C76">
              <w:rPr>
                <w:rFonts w:eastAsia="Arial" w:cstheme="minorHAnsi"/>
                <w:color w:val="000000"/>
              </w:rPr>
              <w:t xml:space="preserve"> system </w:t>
            </w:r>
            <w:r w:rsidRPr="001B6C76">
              <w:rPr>
                <w:rFonts w:eastAsia="Arial" w:cstheme="minorHAnsi"/>
                <w:i/>
                <w:color w:val="000000"/>
              </w:rPr>
              <w:t>(integrated under the supervision activities mentioned in the Case Management module, with no additional cost in this module)</w:t>
            </w:r>
          </w:p>
          <w:p w14:paraId="1FBFF372" w14:textId="77777777" w:rsidR="008B729A" w:rsidRPr="001B6C76" w:rsidRDefault="008B729A" w:rsidP="00021BDE">
            <w:pPr>
              <w:numPr>
                <w:ilvl w:val="0"/>
                <w:numId w:val="36"/>
              </w:numPr>
              <w:pBdr>
                <w:top w:val="nil"/>
                <w:left w:val="nil"/>
                <w:bottom w:val="nil"/>
                <w:right w:val="nil"/>
                <w:between w:val="nil"/>
              </w:pBdr>
              <w:spacing w:after="0" w:line="264" w:lineRule="auto"/>
              <w:rPr>
                <w:rFonts w:eastAsia="Arial" w:cstheme="minorHAnsi"/>
                <w:color w:val="000000"/>
              </w:rPr>
            </w:pPr>
            <w:r w:rsidRPr="001B6C76">
              <w:rPr>
                <w:rFonts w:eastAsia="Arial" w:cstheme="minorHAnsi"/>
                <w:color w:val="000000"/>
              </w:rPr>
              <w:t xml:space="preserve">Strengthened </w:t>
            </w:r>
            <w:r w:rsidRPr="001B6C76">
              <w:rPr>
                <w:rFonts w:eastAsia="Arial" w:cstheme="minorHAnsi"/>
                <w:b/>
                <w:color w:val="000000"/>
              </w:rPr>
              <w:t xml:space="preserve">data use, </w:t>
            </w:r>
            <w:r w:rsidRPr="001B6C76">
              <w:rPr>
                <w:rFonts w:eastAsia="Arial" w:cstheme="minorHAnsi"/>
                <w:color w:val="000000"/>
              </w:rPr>
              <w:t xml:space="preserve">via review meeting structures and supervision </w:t>
            </w:r>
            <w:r w:rsidRPr="001B6C76">
              <w:rPr>
                <w:rFonts w:eastAsia="Arial" w:cstheme="minorHAnsi"/>
                <w:i/>
                <w:color w:val="000000"/>
              </w:rPr>
              <w:t>(integrated under the supervision activities mentioned in the Case Management module, with no additional cost in this module)</w:t>
            </w:r>
          </w:p>
          <w:p w14:paraId="21EB1BA8" w14:textId="77777777" w:rsidR="008B729A" w:rsidRPr="001B6C76" w:rsidRDefault="008B729A" w:rsidP="00021BDE">
            <w:pPr>
              <w:numPr>
                <w:ilvl w:val="0"/>
                <w:numId w:val="36"/>
              </w:numPr>
              <w:pBdr>
                <w:top w:val="nil"/>
                <w:left w:val="nil"/>
                <w:bottom w:val="nil"/>
                <w:right w:val="nil"/>
                <w:between w:val="nil"/>
              </w:pBdr>
              <w:spacing w:after="0" w:line="264" w:lineRule="auto"/>
              <w:rPr>
                <w:rFonts w:eastAsia="Arial" w:cstheme="minorHAnsi"/>
                <w:color w:val="000000"/>
              </w:rPr>
            </w:pPr>
            <w:r w:rsidRPr="001B6C76">
              <w:rPr>
                <w:rFonts w:eastAsia="Arial" w:cstheme="minorHAnsi"/>
                <w:color w:val="000000"/>
              </w:rPr>
              <w:t xml:space="preserve">Maintain and enhance the </w:t>
            </w:r>
            <w:r w:rsidRPr="001B6C76">
              <w:rPr>
                <w:rFonts w:eastAsia="Arial" w:cstheme="minorHAnsi"/>
                <w:b/>
                <w:color w:val="000000"/>
              </w:rPr>
              <w:t>integrated malaria information system (iMISS)</w:t>
            </w:r>
            <w:r w:rsidRPr="001B6C76">
              <w:rPr>
                <w:rFonts w:eastAsia="Arial" w:cstheme="minorHAnsi"/>
                <w:color w:val="000000"/>
              </w:rPr>
              <w:t>, ensuring routine use at all level</w:t>
            </w:r>
          </w:p>
          <w:p w14:paraId="5390BB32" w14:textId="77777777" w:rsidR="008B729A" w:rsidRPr="001B6C76" w:rsidRDefault="008B729A" w:rsidP="00021BDE">
            <w:pPr>
              <w:numPr>
                <w:ilvl w:val="1"/>
                <w:numId w:val="36"/>
              </w:numPr>
              <w:pBdr>
                <w:top w:val="nil"/>
                <w:left w:val="nil"/>
                <w:bottom w:val="nil"/>
                <w:right w:val="nil"/>
                <w:between w:val="nil"/>
              </w:pBdr>
              <w:spacing w:after="0" w:line="264" w:lineRule="auto"/>
              <w:rPr>
                <w:rFonts w:eastAsia="Arial" w:cstheme="minorHAnsi"/>
                <w:color w:val="000000"/>
              </w:rPr>
            </w:pPr>
            <w:r w:rsidRPr="001B6C76">
              <w:rPr>
                <w:rFonts w:eastAsia="Arial" w:cstheme="minorHAnsi"/>
                <w:color w:val="000000"/>
              </w:rPr>
              <w:t xml:space="preserve">Routine replacement of out-of-service mobile devices, routine DHIS2 upgrades and maintenance, airtime/data packages, and contribution to MOH-wide mobile device management systems for these malaria devices. </w:t>
            </w:r>
            <w:r w:rsidRPr="001B6C76">
              <w:rPr>
                <w:rFonts w:eastAsia="Arial" w:cstheme="minorHAnsi"/>
                <w:b/>
                <w:color w:val="000000"/>
              </w:rPr>
              <w:t>Total 3-year cost = $281,558</w:t>
            </w:r>
          </w:p>
          <w:p w14:paraId="726A4BB9" w14:textId="77777777" w:rsidR="008B729A" w:rsidRPr="001B6C76" w:rsidRDefault="008B729A" w:rsidP="00021BDE">
            <w:pPr>
              <w:numPr>
                <w:ilvl w:val="0"/>
                <w:numId w:val="36"/>
              </w:numPr>
              <w:pBdr>
                <w:top w:val="nil"/>
                <w:left w:val="nil"/>
                <w:bottom w:val="nil"/>
                <w:right w:val="nil"/>
                <w:between w:val="nil"/>
              </w:pBdr>
              <w:spacing w:after="0" w:line="264" w:lineRule="auto"/>
              <w:rPr>
                <w:rFonts w:eastAsia="Arial" w:cstheme="minorHAnsi"/>
                <w:b/>
                <w:color w:val="000000"/>
              </w:rPr>
            </w:pPr>
            <w:r w:rsidRPr="001B6C76">
              <w:rPr>
                <w:rFonts w:eastAsia="Arial" w:cstheme="minorHAnsi"/>
                <w:b/>
                <w:color w:val="000000"/>
              </w:rPr>
              <w:t>Digitization of all malaria campaigns</w:t>
            </w:r>
          </w:p>
          <w:p w14:paraId="72E7DAE3" w14:textId="77777777" w:rsidR="008B729A" w:rsidRPr="001B6C76" w:rsidRDefault="008B729A" w:rsidP="00021BDE">
            <w:pPr>
              <w:numPr>
                <w:ilvl w:val="1"/>
                <w:numId w:val="36"/>
              </w:numPr>
              <w:pBdr>
                <w:top w:val="nil"/>
                <w:left w:val="nil"/>
                <w:bottom w:val="nil"/>
                <w:right w:val="nil"/>
                <w:between w:val="nil"/>
              </w:pBdr>
              <w:spacing w:after="0" w:line="264" w:lineRule="auto"/>
              <w:rPr>
                <w:rFonts w:eastAsia="Arial" w:cstheme="minorHAnsi"/>
                <w:b/>
                <w:color w:val="000000"/>
              </w:rPr>
            </w:pPr>
            <w:r w:rsidRPr="001B6C76">
              <w:rPr>
                <w:rFonts w:eastAsia="Arial" w:cstheme="minorHAnsi"/>
                <w:color w:val="000000"/>
              </w:rPr>
              <w:t xml:space="preserve">Digitize campaigns end-to-end, using a common, integrated platform across all malaria campaigns (ITN, IRS, and SMC) that is integrated with iMISS, and with the vision of future integration of other MISAU campaigns (e.g. NTDs, and immunization). The objective of this effort is to improve the coverage, quality, measurement, and overall management of malaria and other campaigns, and to do so in a way that reduces fragmentation and maximizes digitization resource efficiency. </w:t>
            </w:r>
            <w:r w:rsidRPr="001B6C76">
              <w:rPr>
                <w:rFonts w:eastAsia="Arial" w:cstheme="minorHAnsi"/>
                <w:b/>
                <w:color w:val="000000"/>
              </w:rPr>
              <w:t xml:space="preserve">3-year cost = </w:t>
            </w:r>
            <w:sdt>
              <w:sdtPr>
                <w:rPr>
                  <w:rFonts w:eastAsia="Arial" w:cstheme="minorHAnsi"/>
                </w:rPr>
                <w:tag w:val="goog_rdk_9"/>
                <w:id w:val="-1373221620"/>
              </w:sdtPr>
              <w:sdtContent/>
            </w:sdt>
            <w:r w:rsidRPr="001B6C76">
              <w:rPr>
                <w:rFonts w:eastAsia="Arial" w:cstheme="minorHAnsi"/>
                <w:b/>
                <w:color w:val="000000"/>
              </w:rPr>
              <w:t>$3,036,945</w:t>
            </w:r>
          </w:p>
          <w:p w14:paraId="43C518D9" w14:textId="77777777" w:rsidR="008B729A" w:rsidRDefault="008B729A" w:rsidP="00021BDE">
            <w:pPr>
              <w:numPr>
                <w:ilvl w:val="2"/>
                <w:numId w:val="36"/>
              </w:numPr>
              <w:pBdr>
                <w:top w:val="nil"/>
                <w:left w:val="nil"/>
                <w:bottom w:val="nil"/>
                <w:right w:val="nil"/>
                <w:between w:val="nil"/>
              </w:pBdr>
              <w:spacing w:after="0" w:line="264" w:lineRule="auto"/>
              <w:rPr>
                <w:rFonts w:eastAsia="Arial" w:cstheme="minorHAnsi"/>
                <w:b/>
                <w:color w:val="000000"/>
              </w:rPr>
            </w:pPr>
            <w:r w:rsidRPr="001B6C76">
              <w:rPr>
                <w:rFonts w:eastAsia="Arial" w:cstheme="minorHAnsi"/>
                <w:color w:val="000000"/>
              </w:rPr>
              <w:t xml:space="preserve">Costs include device procurement and training costs. Devices will be re-used across provincial campaigns, as per the operational model of the 2022/23 ITN campaign. Due to multiple overlapping campaigns during the 2024-26 period, it is necessary to forecast the maximum number of devices needed at any given time to ensure adequate resources to digitize while not affecting the sensitive timing of campaigns to maximize their impact. </w:t>
            </w:r>
          </w:p>
          <w:p w14:paraId="7B570356" w14:textId="77777777" w:rsidR="008B729A" w:rsidRPr="00904F66" w:rsidRDefault="008B729A" w:rsidP="00021BDE">
            <w:pPr>
              <w:numPr>
                <w:ilvl w:val="0"/>
                <w:numId w:val="36"/>
              </w:numPr>
              <w:pBdr>
                <w:top w:val="nil"/>
                <w:left w:val="nil"/>
                <w:bottom w:val="nil"/>
                <w:right w:val="nil"/>
                <w:between w:val="nil"/>
              </w:pBdr>
              <w:spacing w:after="0" w:line="264" w:lineRule="auto"/>
              <w:rPr>
                <w:rFonts w:eastAsia="Arial" w:cstheme="minorHAnsi"/>
                <w:b/>
                <w:color w:val="000000"/>
              </w:rPr>
            </w:pPr>
            <w:r w:rsidRPr="00904F66">
              <w:rPr>
                <w:rFonts w:eastAsia="Arial" w:cstheme="minorHAnsi"/>
                <w:b/>
                <w:color w:val="000000"/>
              </w:rPr>
              <w:t xml:space="preserve">PAAR: </w:t>
            </w:r>
            <w:r w:rsidRPr="00904F66">
              <w:rPr>
                <w:rFonts w:eastAsia="Arial" w:cstheme="minorHAnsi"/>
                <w:bCs/>
                <w:color w:val="000000"/>
              </w:rPr>
              <w:t xml:space="preserve">Due to budget constraints to cover the full need in this investment, the NMCP will seek funding support cost-shared between other campaign donors (notably Givewell for SMC and MOSASWA for IRS), to ensure the full need is met. Given this is yet to be confirmed, </w:t>
            </w:r>
            <w:r w:rsidRPr="00904F66">
              <w:rPr>
                <w:rFonts w:eastAsia="Arial" w:cstheme="minorHAnsi"/>
                <w:b/>
                <w:color w:val="000000"/>
              </w:rPr>
              <w:t xml:space="preserve">$2,672,839 </w:t>
            </w:r>
            <w:r w:rsidRPr="00904F66">
              <w:rPr>
                <w:rFonts w:eastAsia="Arial" w:cstheme="minorHAnsi"/>
                <w:bCs/>
                <w:color w:val="000000"/>
              </w:rPr>
              <w:t>is included in PAAR to ensure this full expression of need is included.</w:t>
            </w:r>
          </w:p>
        </w:tc>
      </w:tr>
      <w:tr w:rsidR="008B729A" w:rsidRPr="006A437D" w14:paraId="231D8EC2" w14:textId="77777777" w:rsidTr="00021BDE">
        <w:trPr>
          <w:cantSplit/>
        </w:trPr>
        <w:tc>
          <w:tcPr>
            <w:tcW w:w="2580" w:type="dxa"/>
            <w:vMerge/>
          </w:tcPr>
          <w:p w14:paraId="1C4F9E22" w14:textId="77777777" w:rsidR="008B729A" w:rsidRDefault="008B729A" w:rsidP="00021BDE">
            <w:pPr>
              <w:pBdr>
                <w:top w:val="nil"/>
                <w:left w:val="nil"/>
                <w:bottom w:val="nil"/>
                <w:right w:val="nil"/>
                <w:between w:val="nil"/>
              </w:pBdr>
              <w:spacing w:afterLines="40" w:after="96" w:line="264" w:lineRule="auto"/>
              <w:rPr>
                <w:rFonts w:eastAsia="Arial" w:cstheme="minorHAnsi"/>
                <w:b/>
                <w:bCs/>
                <w:color w:val="000000"/>
              </w:rPr>
            </w:pPr>
          </w:p>
        </w:tc>
        <w:tc>
          <w:tcPr>
            <w:tcW w:w="12585" w:type="dxa"/>
          </w:tcPr>
          <w:p w14:paraId="357238A6" w14:textId="77777777" w:rsidR="008B729A" w:rsidRPr="001B6C76" w:rsidRDefault="008B729A" w:rsidP="00021BDE">
            <w:pPr>
              <w:pBdr>
                <w:top w:val="nil"/>
                <w:left w:val="nil"/>
                <w:bottom w:val="nil"/>
                <w:right w:val="nil"/>
                <w:between w:val="nil"/>
              </w:pBdr>
              <w:spacing w:afterLines="40" w:after="96" w:line="264" w:lineRule="auto"/>
              <w:rPr>
                <w:rFonts w:eastAsia="Arial" w:cstheme="minorHAnsi"/>
                <w:color w:val="000000"/>
              </w:rPr>
            </w:pPr>
            <w:r w:rsidRPr="001B6C76">
              <w:rPr>
                <w:rFonts w:eastAsia="Arial" w:cstheme="minorHAnsi"/>
                <w:b/>
                <w:color w:val="000000"/>
              </w:rPr>
              <w:t xml:space="preserve">Intervention: </w:t>
            </w:r>
            <w:r w:rsidRPr="001B6C76">
              <w:rPr>
                <w:rFonts w:eastAsia="Arial" w:cstheme="minorHAnsi"/>
                <w:color w:val="000000"/>
              </w:rPr>
              <w:t>RSSH/PP: Surveillance for priority epidemic-prone diseases and events(</w:t>
            </w:r>
            <w:r w:rsidRPr="001B6C76">
              <w:rPr>
                <w:rFonts w:eastAsia="Arial" w:cstheme="minorHAnsi"/>
                <w:b/>
                <w:bCs/>
                <w:color w:val="000000"/>
                <w:u w:val="single"/>
              </w:rPr>
              <w:t>malaria-specific under RSSH module)</w:t>
            </w:r>
          </w:p>
          <w:p w14:paraId="79F3F7EA" w14:textId="77777777" w:rsidR="008B729A" w:rsidRPr="001B6C76" w:rsidRDefault="008B729A" w:rsidP="00021BDE">
            <w:pPr>
              <w:spacing w:after="0" w:line="264" w:lineRule="auto"/>
              <w:rPr>
                <w:rFonts w:eastAsia="Arial" w:cstheme="minorHAnsi"/>
                <w:color w:val="000000"/>
              </w:rPr>
            </w:pPr>
            <w:r w:rsidRPr="001B6C76">
              <w:rPr>
                <w:rFonts w:eastAsia="Arial" w:cstheme="minorHAnsi"/>
                <w:color w:val="000000"/>
              </w:rPr>
              <w:t xml:space="preserve">Key </w:t>
            </w:r>
            <w:r w:rsidRPr="001B6C76">
              <w:rPr>
                <w:rFonts w:eastAsia="Arial" w:cstheme="minorHAnsi"/>
                <w:color w:val="000000"/>
                <w:u w:val="single"/>
              </w:rPr>
              <w:t>malaria-specific activities</w:t>
            </w:r>
            <w:r w:rsidRPr="001B6C76">
              <w:rPr>
                <w:rFonts w:eastAsia="Arial" w:cstheme="minorHAnsi"/>
                <w:color w:val="000000"/>
              </w:rPr>
              <w:t xml:space="preserve"> under this intervention include:</w:t>
            </w:r>
          </w:p>
          <w:p w14:paraId="1F7AD461" w14:textId="77777777" w:rsidR="008B729A" w:rsidRPr="001B6C76" w:rsidRDefault="008B729A" w:rsidP="00021BDE">
            <w:pPr>
              <w:numPr>
                <w:ilvl w:val="0"/>
                <w:numId w:val="29"/>
              </w:numPr>
              <w:spacing w:after="0" w:line="264" w:lineRule="auto"/>
              <w:rPr>
                <w:rFonts w:eastAsia="Arial" w:cstheme="minorHAnsi"/>
                <w:color w:val="000000"/>
              </w:rPr>
            </w:pPr>
            <w:r w:rsidRPr="001B6C76">
              <w:rPr>
                <w:rFonts w:eastAsia="Arial" w:cstheme="minorHAnsi"/>
                <w:color w:val="000000"/>
              </w:rPr>
              <w:t xml:space="preserve">Support for investigation teams field work will also be provided, specifically to cover the costs of field investigators when upsurges in malaria are observed. iMISS integrated Early Warning System will be used for identification of outbreaks. </w:t>
            </w:r>
          </w:p>
          <w:p w14:paraId="46325731" w14:textId="77777777" w:rsidR="008B729A" w:rsidRDefault="008B729A" w:rsidP="00021BDE">
            <w:pPr>
              <w:numPr>
                <w:ilvl w:val="0"/>
                <w:numId w:val="29"/>
              </w:numPr>
              <w:spacing w:after="0" w:line="264" w:lineRule="auto"/>
              <w:rPr>
                <w:rFonts w:eastAsia="Arial" w:cstheme="minorHAnsi"/>
                <w:color w:val="000000"/>
              </w:rPr>
            </w:pPr>
            <w:r w:rsidRPr="001B6C76">
              <w:rPr>
                <w:rFonts w:eastAsia="Arial" w:cstheme="minorHAnsi"/>
                <w:color w:val="000000"/>
              </w:rPr>
              <w:t>Scale up of the response system within the case-based surveillance system for malaria in Maputo City, which is integrated with iMISS</w:t>
            </w:r>
          </w:p>
          <w:p w14:paraId="1447D75C" w14:textId="77777777" w:rsidR="008B729A" w:rsidRPr="00904F66" w:rsidRDefault="008B729A" w:rsidP="00021BDE">
            <w:pPr>
              <w:numPr>
                <w:ilvl w:val="0"/>
                <w:numId w:val="29"/>
              </w:numPr>
              <w:spacing w:after="0" w:line="264" w:lineRule="auto"/>
              <w:rPr>
                <w:rFonts w:eastAsia="Arial" w:cstheme="minorHAnsi"/>
                <w:color w:val="000000"/>
              </w:rPr>
            </w:pPr>
            <w:r w:rsidRPr="00904F66">
              <w:rPr>
                <w:rFonts w:eastAsia="Arial" w:cstheme="minorHAnsi"/>
                <w:b/>
                <w:color w:val="000000"/>
              </w:rPr>
              <w:t>Total 3-year cost = $387,947</w:t>
            </w:r>
          </w:p>
        </w:tc>
      </w:tr>
      <w:tr w:rsidR="008B729A" w:rsidRPr="006A437D" w14:paraId="2FBC2ADD" w14:textId="77777777" w:rsidTr="00021BDE">
        <w:trPr>
          <w:cantSplit/>
        </w:trPr>
        <w:tc>
          <w:tcPr>
            <w:tcW w:w="2580" w:type="dxa"/>
            <w:vMerge/>
          </w:tcPr>
          <w:p w14:paraId="3FFA7401" w14:textId="77777777" w:rsidR="008B729A" w:rsidRDefault="008B729A" w:rsidP="00021BDE">
            <w:pPr>
              <w:pBdr>
                <w:top w:val="nil"/>
                <w:left w:val="nil"/>
                <w:bottom w:val="nil"/>
                <w:right w:val="nil"/>
                <w:between w:val="nil"/>
              </w:pBdr>
              <w:spacing w:afterLines="40" w:after="96" w:line="264" w:lineRule="auto"/>
              <w:rPr>
                <w:rFonts w:eastAsia="Arial" w:cstheme="minorHAnsi"/>
                <w:b/>
                <w:bCs/>
                <w:color w:val="000000"/>
              </w:rPr>
            </w:pPr>
          </w:p>
        </w:tc>
        <w:tc>
          <w:tcPr>
            <w:tcW w:w="12585" w:type="dxa"/>
          </w:tcPr>
          <w:p w14:paraId="064127CD" w14:textId="77777777" w:rsidR="008B729A" w:rsidRPr="00CE2A9D" w:rsidRDefault="008B729A" w:rsidP="00021BDE">
            <w:pPr>
              <w:pBdr>
                <w:top w:val="nil"/>
                <w:left w:val="nil"/>
                <w:bottom w:val="nil"/>
                <w:right w:val="nil"/>
                <w:between w:val="nil"/>
              </w:pBdr>
              <w:spacing w:afterLines="40" w:after="96" w:line="264" w:lineRule="auto"/>
              <w:rPr>
                <w:rFonts w:eastAsia="Arial" w:cstheme="minorHAnsi"/>
                <w:color w:val="000000"/>
              </w:rPr>
            </w:pPr>
            <w:r w:rsidRPr="006A437D">
              <w:rPr>
                <w:rFonts w:eastAsia="Arial" w:cstheme="minorHAnsi"/>
                <w:b/>
                <w:color w:val="000000"/>
              </w:rPr>
              <w:t xml:space="preserve">Intervention: </w:t>
            </w:r>
            <w:r w:rsidRPr="006A437D">
              <w:rPr>
                <w:rFonts w:eastAsia="Arial" w:cstheme="minorHAnsi"/>
                <w:color w:val="000000"/>
              </w:rPr>
              <w:t>Surveys</w:t>
            </w:r>
            <w:r>
              <w:rPr>
                <w:rFonts w:eastAsia="Arial" w:cstheme="minorHAnsi"/>
                <w:color w:val="000000"/>
              </w:rPr>
              <w:t xml:space="preserve"> (</w:t>
            </w:r>
            <w:r w:rsidRPr="00CE2A9D">
              <w:rPr>
                <w:rFonts w:eastAsia="Arial" w:cstheme="minorHAnsi"/>
                <w:b/>
                <w:bCs/>
                <w:color w:val="000000"/>
                <w:u w:val="single"/>
              </w:rPr>
              <w:t xml:space="preserve">malaria-specific </w:t>
            </w:r>
            <w:r>
              <w:rPr>
                <w:rFonts w:eastAsia="Arial" w:cstheme="minorHAnsi"/>
                <w:b/>
                <w:bCs/>
                <w:color w:val="000000"/>
                <w:u w:val="single"/>
              </w:rPr>
              <w:t>survey</w:t>
            </w:r>
            <w:r w:rsidRPr="00CE2A9D">
              <w:rPr>
                <w:rFonts w:eastAsia="Arial" w:cstheme="minorHAnsi"/>
                <w:b/>
                <w:bCs/>
                <w:color w:val="000000"/>
                <w:u w:val="single"/>
              </w:rPr>
              <w:t xml:space="preserve"> under RSSH module</w:t>
            </w:r>
            <w:r>
              <w:rPr>
                <w:rFonts w:eastAsia="Arial" w:cstheme="minorHAnsi"/>
                <w:color w:val="000000"/>
                <w:u w:val="single"/>
              </w:rPr>
              <w:t>)</w:t>
            </w:r>
          </w:p>
          <w:p w14:paraId="0CA0AA5C" w14:textId="77777777" w:rsidR="008B729A" w:rsidRPr="006A437D" w:rsidRDefault="008B729A" w:rsidP="00021BDE">
            <w:pPr>
              <w:spacing w:afterLines="40" w:after="96" w:line="264" w:lineRule="auto"/>
              <w:rPr>
                <w:rFonts w:eastAsia="Arial" w:cstheme="minorHAnsi"/>
                <w:color w:val="000000"/>
              </w:rPr>
            </w:pPr>
            <w:r w:rsidRPr="006A437D">
              <w:rPr>
                <w:rFonts w:eastAsia="Arial" w:cstheme="minorHAnsi"/>
                <w:color w:val="000000"/>
              </w:rPr>
              <w:t xml:space="preserve">Key </w:t>
            </w:r>
            <w:r w:rsidRPr="00827440">
              <w:rPr>
                <w:rFonts w:eastAsia="Arial" w:cstheme="minorHAnsi"/>
                <w:color w:val="000000"/>
                <w:u w:val="single"/>
              </w:rPr>
              <w:t>malaria-specific activities</w:t>
            </w:r>
            <w:r w:rsidRPr="006A437D">
              <w:rPr>
                <w:rFonts w:eastAsia="Arial" w:cstheme="minorHAnsi"/>
                <w:color w:val="000000"/>
              </w:rPr>
              <w:t xml:space="preserve"> under this intervention include:</w:t>
            </w:r>
          </w:p>
          <w:p w14:paraId="0AB43875" w14:textId="77777777" w:rsidR="008B729A" w:rsidRPr="00F26463" w:rsidRDefault="008B729A" w:rsidP="00021BDE">
            <w:pPr>
              <w:numPr>
                <w:ilvl w:val="0"/>
                <w:numId w:val="41"/>
              </w:numPr>
              <w:spacing w:afterLines="40" w:after="96" w:line="264" w:lineRule="auto"/>
              <w:rPr>
                <w:rFonts w:eastAsia="Arial" w:cstheme="minorHAnsi"/>
                <w:color w:val="000000"/>
              </w:rPr>
            </w:pPr>
            <w:r>
              <w:rPr>
                <w:rFonts w:eastAsia="Arial" w:cstheme="minorHAnsi"/>
                <w:b/>
                <w:color w:val="000000"/>
              </w:rPr>
              <w:t xml:space="preserve">Health Facility Survey, </w:t>
            </w:r>
            <w:r>
              <w:rPr>
                <w:rFonts w:eastAsia="Arial" w:cstheme="minorHAnsi"/>
                <w:bCs/>
                <w:color w:val="000000"/>
              </w:rPr>
              <w:t xml:space="preserve">which has been a critical supplement to routine case management data from SIS-MA, LMIS, and supervision data, will continue to be </w:t>
            </w:r>
            <w:r w:rsidRPr="001B6C76">
              <w:rPr>
                <w:rFonts w:eastAsia="Arial" w:cstheme="minorHAnsi"/>
                <w:bCs/>
                <w:color w:val="000000"/>
              </w:rPr>
              <w:t xml:space="preserve">periodically supported to improve identification of challenges in case management service provision and to measure progress in improving quality of care. Total cost of the survey to be conducted in this grant period is </w:t>
            </w:r>
            <w:r w:rsidRPr="001B6C76">
              <w:rPr>
                <w:rFonts w:eastAsia="Arial" w:cstheme="minorHAnsi"/>
                <w:b/>
                <w:color w:val="000000"/>
              </w:rPr>
              <w:t>$405,000</w:t>
            </w:r>
            <w:r w:rsidRPr="001B6C76">
              <w:rPr>
                <w:rFonts w:eastAsia="Arial" w:cstheme="minorHAnsi"/>
                <w:bCs/>
                <w:color w:val="000000"/>
              </w:rPr>
              <w:t>.</w:t>
            </w:r>
          </w:p>
          <w:p w14:paraId="3EE69A59" w14:textId="77777777" w:rsidR="008B729A" w:rsidRPr="001B6C76" w:rsidRDefault="008B729A" w:rsidP="00021BDE">
            <w:pPr>
              <w:pBdr>
                <w:top w:val="nil"/>
                <w:left w:val="nil"/>
                <w:bottom w:val="nil"/>
                <w:right w:val="nil"/>
                <w:between w:val="nil"/>
              </w:pBdr>
              <w:spacing w:afterLines="40" w:after="96" w:line="240" w:lineRule="auto"/>
              <w:rPr>
                <w:rFonts w:eastAsia="Arial" w:cstheme="minorHAnsi"/>
                <w:color w:val="000000"/>
              </w:rPr>
            </w:pPr>
            <w:r>
              <w:rPr>
                <w:rFonts w:eastAsia="Arial" w:cstheme="minorHAnsi"/>
                <w:b/>
                <w:bCs/>
                <w:color w:val="000000"/>
              </w:rPr>
              <w:t xml:space="preserve">PAAR: </w:t>
            </w:r>
            <w:r w:rsidRPr="00E10D7A">
              <w:rPr>
                <w:rFonts w:eastAsia="Arial" w:cstheme="minorHAnsi"/>
                <w:b/>
                <w:color w:val="000000"/>
              </w:rPr>
              <w:t>Malaria Indicator Surveys</w:t>
            </w:r>
            <w:r w:rsidRPr="00E10D7A">
              <w:rPr>
                <w:rFonts w:eastAsia="Arial" w:cstheme="minorHAnsi"/>
                <w:color w:val="000000"/>
              </w:rPr>
              <w:t xml:space="preserve"> are critical in providing unbiased data on community impact. This activity will be conducted through cost-sharing from PMI, but due to funding constraints in the malaria allocation and lack of desire to consider malaria-specific surveys in the cross-cutting RSSH grant</w:t>
            </w:r>
            <w:r>
              <w:rPr>
                <w:rFonts w:eastAsia="Arial" w:cstheme="minorHAnsi"/>
                <w:color w:val="000000"/>
              </w:rPr>
              <w:t xml:space="preserve">, the remaining costs of </w:t>
            </w:r>
            <w:r>
              <w:rPr>
                <w:rFonts w:eastAsia="Arial" w:cstheme="minorHAnsi"/>
                <w:b/>
                <w:bCs/>
                <w:color w:val="000000"/>
              </w:rPr>
              <w:t>$2,164,256</w:t>
            </w:r>
            <w:r>
              <w:rPr>
                <w:rFonts w:eastAsia="Arial" w:cstheme="minorHAnsi"/>
                <w:color w:val="000000"/>
              </w:rPr>
              <w:t xml:space="preserve"> has been placed in PAAR for the 2026 survey.</w:t>
            </w:r>
          </w:p>
        </w:tc>
      </w:tr>
      <w:tr w:rsidR="008B729A" w:rsidRPr="006A437D" w14:paraId="38EF7675" w14:textId="77777777" w:rsidTr="00021BDE">
        <w:trPr>
          <w:cantSplit/>
        </w:trPr>
        <w:tc>
          <w:tcPr>
            <w:tcW w:w="2580" w:type="dxa"/>
            <w:vMerge/>
          </w:tcPr>
          <w:p w14:paraId="60C534A7" w14:textId="77777777" w:rsidR="008B729A" w:rsidRDefault="008B729A" w:rsidP="00021BDE">
            <w:pPr>
              <w:pBdr>
                <w:top w:val="nil"/>
                <w:left w:val="nil"/>
                <w:bottom w:val="nil"/>
                <w:right w:val="nil"/>
                <w:between w:val="nil"/>
              </w:pBdr>
              <w:spacing w:afterLines="40" w:after="96" w:line="264" w:lineRule="auto"/>
              <w:rPr>
                <w:rFonts w:eastAsia="Arial" w:cstheme="minorHAnsi"/>
                <w:b/>
                <w:bCs/>
                <w:color w:val="000000"/>
              </w:rPr>
            </w:pPr>
          </w:p>
        </w:tc>
        <w:tc>
          <w:tcPr>
            <w:tcW w:w="12585" w:type="dxa"/>
          </w:tcPr>
          <w:p w14:paraId="0881D8BE" w14:textId="77777777" w:rsidR="008B729A" w:rsidRPr="001B6C76" w:rsidRDefault="008B729A" w:rsidP="00021BDE">
            <w:pPr>
              <w:spacing w:afterLines="40" w:after="96" w:line="264" w:lineRule="auto"/>
              <w:rPr>
                <w:rFonts w:eastAsia="Arial" w:cstheme="minorHAnsi"/>
                <w:color w:val="000000"/>
              </w:rPr>
            </w:pPr>
            <w:r w:rsidRPr="001B6C76">
              <w:rPr>
                <w:rFonts w:eastAsia="Arial" w:cstheme="minorHAnsi"/>
                <w:b/>
                <w:color w:val="000000"/>
              </w:rPr>
              <w:t xml:space="preserve">Intervention: </w:t>
            </w:r>
            <w:r w:rsidRPr="001B6C76">
              <w:rPr>
                <w:rFonts w:eastAsia="Arial" w:cstheme="minorHAnsi"/>
                <w:color w:val="000000"/>
              </w:rPr>
              <w:t>Analyses, evaluations, reviews and data use (</w:t>
            </w:r>
            <w:r w:rsidRPr="001B6C76">
              <w:rPr>
                <w:rFonts w:eastAsia="Arial" w:cstheme="minorHAnsi"/>
                <w:b/>
                <w:bCs/>
                <w:color w:val="000000"/>
                <w:u w:val="single"/>
              </w:rPr>
              <w:t>malaria-specific evaluation under RSSH module)</w:t>
            </w:r>
          </w:p>
          <w:p w14:paraId="78649DFA" w14:textId="77777777" w:rsidR="008B729A" w:rsidRPr="001B6C76" w:rsidRDefault="008B729A" w:rsidP="00021BDE">
            <w:pPr>
              <w:spacing w:afterLines="40" w:after="96" w:line="264" w:lineRule="auto"/>
              <w:rPr>
                <w:rFonts w:eastAsia="Arial" w:cstheme="minorHAnsi"/>
                <w:color w:val="000000"/>
              </w:rPr>
            </w:pPr>
            <w:r w:rsidRPr="001B6C76">
              <w:rPr>
                <w:rFonts w:eastAsia="Arial" w:cstheme="minorHAnsi"/>
                <w:color w:val="000000"/>
              </w:rPr>
              <w:t xml:space="preserve">Key </w:t>
            </w:r>
            <w:r w:rsidRPr="001B6C76">
              <w:rPr>
                <w:rFonts w:eastAsia="Arial" w:cstheme="minorHAnsi"/>
                <w:color w:val="000000"/>
                <w:u w:val="single"/>
              </w:rPr>
              <w:t>malaria-specific activities</w:t>
            </w:r>
            <w:r w:rsidRPr="001B6C76">
              <w:rPr>
                <w:rFonts w:eastAsia="Arial" w:cstheme="minorHAnsi"/>
                <w:color w:val="000000"/>
              </w:rPr>
              <w:t xml:space="preserve"> under this intervention include:</w:t>
            </w:r>
          </w:p>
          <w:p w14:paraId="470D7F6C" w14:textId="77777777" w:rsidR="008B729A" w:rsidRPr="001B6C76" w:rsidRDefault="008B729A" w:rsidP="00021BDE">
            <w:pPr>
              <w:numPr>
                <w:ilvl w:val="0"/>
                <w:numId w:val="38"/>
              </w:numPr>
              <w:spacing w:after="0" w:line="264" w:lineRule="auto"/>
              <w:rPr>
                <w:rFonts w:eastAsia="Arial" w:cstheme="minorHAnsi"/>
                <w:b/>
                <w:color w:val="000000"/>
              </w:rPr>
            </w:pPr>
            <w:r w:rsidRPr="001B6C76">
              <w:rPr>
                <w:rFonts w:eastAsia="Arial" w:cstheme="minorHAnsi"/>
                <w:b/>
                <w:color w:val="000000"/>
              </w:rPr>
              <w:t>Chemoprevention (SMC, PMC, MDA) evaluation research</w:t>
            </w:r>
          </w:p>
          <w:p w14:paraId="6BDE38F5" w14:textId="77777777" w:rsidR="008B729A" w:rsidRPr="001B6C76" w:rsidRDefault="008B729A" w:rsidP="00021BDE">
            <w:pPr>
              <w:numPr>
                <w:ilvl w:val="1"/>
                <w:numId w:val="38"/>
              </w:numPr>
              <w:spacing w:after="0" w:line="264" w:lineRule="auto"/>
              <w:rPr>
                <w:rFonts w:eastAsia="Arial" w:cstheme="minorHAnsi"/>
                <w:color w:val="000000"/>
              </w:rPr>
            </w:pPr>
            <w:r w:rsidRPr="001B6C76">
              <w:rPr>
                <w:rFonts w:eastAsia="Arial" w:cstheme="minorHAnsi"/>
                <w:color w:val="000000"/>
              </w:rPr>
              <w:t xml:space="preserve">Operational research and impact evaluation related to the introduction of SMC in Mozambique. </w:t>
            </w:r>
          </w:p>
          <w:p w14:paraId="473C1054" w14:textId="77777777" w:rsidR="008B729A" w:rsidRPr="001B6C76" w:rsidRDefault="008B729A" w:rsidP="00021BDE">
            <w:pPr>
              <w:numPr>
                <w:ilvl w:val="2"/>
                <w:numId w:val="38"/>
              </w:numPr>
              <w:spacing w:after="0" w:line="264" w:lineRule="auto"/>
              <w:rPr>
                <w:rFonts w:eastAsia="Arial" w:cstheme="minorHAnsi"/>
                <w:color w:val="000000"/>
              </w:rPr>
            </w:pPr>
            <w:r w:rsidRPr="001B6C76">
              <w:rPr>
                <w:rFonts w:eastAsia="Arial" w:cstheme="minorHAnsi"/>
                <w:color w:val="000000"/>
              </w:rPr>
              <w:t>Operational research will assess the strength, weaknesses, and challenges of implementation; KAP of populations and health workers; and assessment of SMC coverage</w:t>
            </w:r>
          </w:p>
          <w:p w14:paraId="664B5422" w14:textId="77777777" w:rsidR="008B729A" w:rsidRDefault="008B729A" w:rsidP="00021BDE">
            <w:pPr>
              <w:numPr>
                <w:ilvl w:val="2"/>
                <w:numId w:val="38"/>
              </w:numPr>
              <w:spacing w:after="0" w:line="264" w:lineRule="auto"/>
              <w:rPr>
                <w:rFonts w:eastAsia="Arial" w:cstheme="minorHAnsi"/>
                <w:color w:val="000000"/>
              </w:rPr>
            </w:pPr>
            <w:r w:rsidRPr="001B6C76">
              <w:rPr>
                <w:rFonts w:eastAsia="Arial" w:cstheme="minorHAnsi"/>
                <w:color w:val="000000"/>
              </w:rPr>
              <w:t>Impact evaluation will include epidemiological impact and cost of delivery to inform future cost-effectiveness analyses</w:t>
            </w:r>
          </w:p>
          <w:p w14:paraId="72E79296" w14:textId="77777777" w:rsidR="008B729A" w:rsidRPr="00904F66" w:rsidRDefault="008B729A" w:rsidP="00021BDE">
            <w:pPr>
              <w:numPr>
                <w:ilvl w:val="1"/>
                <w:numId w:val="38"/>
              </w:numPr>
              <w:spacing w:after="0" w:line="264" w:lineRule="auto"/>
              <w:rPr>
                <w:rFonts w:eastAsia="Arial" w:cstheme="minorHAnsi"/>
                <w:color w:val="000000"/>
              </w:rPr>
            </w:pPr>
            <w:r w:rsidRPr="00904F66">
              <w:rPr>
                <w:rFonts w:eastAsia="Arial" w:cstheme="minorHAnsi"/>
                <w:b/>
                <w:color w:val="000000"/>
              </w:rPr>
              <w:t>Total 3-year cost = $405,000</w:t>
            </w:r>
          </w:p>
        </w:tc>
      </w:tr>
      <w:tr w:rsidR="008B729A" w:rsidRPr="006A437D" w14:paraId="316FBA1D" w14:textId="77777777" w:rsidTr="00021BDE">
        <w:trPr>
          <w:cantSplit/>
        </w:trPr>
        <w:tc>
          <w:tcPr>
            <w:tcW w:w="2580" w:type="dxa"/>
          </w:tcPr>
          <w:p w14:paraId="55A04AFB"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b/>
                <w:bCs/>
                <w:color w:val="000000"/>
              </w:rPr>
            </w:pPr>
            <w:r>
              <w:rPr>
                <w:rFonts w:eastAsia="Arial" w:cstheme="minorHAnsi"/>
                <w:b/>
                <w:bCs/>
                <w:color w:val="000000"/>
              </w:rPr>
              <w:t>Amount requested</w:t>
            </w:r>
          </w:p>
        </w:tc>
        <w:tc>
          <w:tcPr>
            <w:tcW w:w="12585" w:type="dxa"/>
          </w:tcPr>
          <w:p w14:paraId="01696F48" w14:textId="77777777" w:rsidR="008B729A" w:rsidRPr="001B6C76" w:rsidRDefault="008B729A" w:rsidP="00021BDE">
            <w:pPr>
              <w:pBdr>
                <w:top w:val="nil"/>
                <w:left w:val="nil"/>
                <w:bottom w:val="nil"/>
                <w:right w:val="nil"/>
                <w:between w:val="nil"/>
              </w:pBdr>
              <w:spacing w:afterLines="40" w:after="96" w:line="264" w:lineRule="auto"/>
              <w:rPr>
                <w:rFonts w:eastAsia="Arial" w:cstheme="minorHAnsi"/>
                <w:b/>
                <w:bCs/>
                <w:color w:val="000000"/>
              </w:rPr>
            </w:pPr>
            <w:r w:rsidRPr="001B6C76">
              <w:rPr>
                <w:rFonts w:eastAsia="Arial" w:cstheme="minorHAnsi"/>
                <w:b/>
                <w:bCs/>
                <w:color w:val="000000"/>
              </w:rPr>
              <w:t>Main allocation: $4,516,450</w:t>
            </w:r>
          </w:p>
          <w:p w14:paraId="44DEC671" w14:textId="77777777" w:rsidR="008B729A" w:rsidRPr="001B6C76" w:rsidRDefault="008B729A" w:rsidP="00021BDE">
            <w:pPr>
              <w:pBdr>
                <w:top w:val="nil"/>
                <w:left w:val="nil"/>
                <w:bottom w:val="nil"/>
                <w:right w:val="nil"/>
                <w:between w:val="nil"/>
              </w:pBdr>
              <w:spacing w:afterLines="40" w:after="96" w:line="264" w:lineRule="auto"/>
              <w:rPr>
                <w:rFonts w:eastAsia="Arial" w:cstheme="minorHAnsi"/>
                <w:b/>
                <w:bCs/>
                <w:color w:val="000000"/>
              </w:rPr>
            </w:pPr>
            <w:r w:rsidRPr="001B6C76">
              <w:rPr>
                <w:rFonts w:eastAsia="Arial" w:cstheme="minorHAnsi"/>
                <w:b/>
                <w:bCs/>
                <w:color w:val="000000"/>
              </w:rPr>
              <w:t>PAAR: $</w:t>
            </w:r>
            <w:r>
              <w:rPr>
                <w:rFonts w:eastAsia="Arial" w:cstheme="minorHAnsi"/>
                <w:b/>
                <w:bCs/>
                <w:color w:val="000000"/>
              </w:rPr>
              <w:t>4</w:t>
            </w:r>
            <w:r w:rsidRPr="001B6C76">
              <w:rPr>
                <w:rFonts w:eastAsia="Arial" w:cstheme="minorHAnsi"/>
                <w:b/>
                <w:bCs/>
                <w:color w:val="000000"/>
              </w:rPr>
              <w:t>,</w:t>
            </w:r>
            <w:r>
              <w:rPr>
                <w:rFonts w:eastAsia="Arial" w:cstheme="minorHAnsi"/>
                <w:b/>
                <w:bCs/>
                <w:color w:val="000000"/>
              </w:rPr>
              <w:t>837</w:t>
            </w:r>
            <w:r w:rsidRPr="001B6C76">
              <w:rPr>
                <w:rFonts w:eastAsia="Arial" w:cstheme="minorHAnsi"/>
                <w:b/>
                <w:bCs/>
                <w:color w:val="000000"/>
              </w:rPr>
              <w:t>,</w:t>
            </w:r>
            <w:r>
              <w:rPr>
                <w:rFonts w:eastAsia="Arial" w:cstheme="minorHAnsi"/>
                <w:b/>
                <w:bCs/>
                <w:color w:val="000000"/>
              </w:rPr>
              <w:t>095</w:t>
            </w:r>
          </w:p>
        </w:tc>
      </w:tr>
      <w:tr w:rsidR="008B729A" w:rsidRPr="006A437D" w14:paraId="7E5DAA96" w14:textId="77777777" w:rsidTr="00021BDE">
        <w:trPr>
          <w:cantSplit/>
        </w:trPr>
        <w:tc>
          <w:tcPr>
            <w:tcW w:w="2580" w:type="dxa"/>
          </w:tcPr>
          <w:p w14:paraId="2643C068" w14:textId="77777777" w:rsidR="008B729A" w:rsidRPr="006A437D" w:rsidRDefault="008B729A" w:rsidP="00021BDE">
            <w:pPr>
              <w:spacing w:afterLines="40" w:after="96" w:line="264" w:lineRule="auto"/>
              <w:rPr>
                <w:rFonts w:eastAsia="Arial" w:cstheme="minorHAnsi"/>
                <w:b/>
                <w:bCs/>
                <w:color w:val="000000"/>
              </w:rPr>
            </w:pPr>
            <w:r w:rsidRPr="006A437D">
              <w:rPr>
                <w:rFonts w:eastAsia="Arial" w:cstheme="minorHAnsi"/>
                <w:b/>
                <w:bCs/>
                <w:color w:val="000000"/>
              </w:rPr>
              <w:t>Complementary funding and partner support</w:t>
            </w:r>
          </w:p>
        </w:tc>
        <w:tc>
          <w:tcPr>
            <w:tcW w:w="12585" w:type="dxa"/>
          </w:tcPr>
          <w:p w14:paraId="10390F68" w14:textId="77777777" w:rsidR="008B729A" w:rsidRDefault="008B729A" w:rsidP="00021BDE">
            <w:pPr>
              <w:spacing w:afterLines="40" w:after="96" w:line="264" w:lineRule="auto"/>
              <w:rPr>
                <w:rFonts w:eastAsia="Arial" w:cstheme="minorHAnsi"/>
              </w:rPr>
            </w:pPr>
            <w:r>
              <w:rPr>
                <w:rFonts w:eastAsia="Arial" w:cstheme="minorHAnsi"/>
              </w:rPr>
              <w:t xml:space="preserve">Surveillance assessments were conducted in 2016 and 2018 to inform the current strategy, and have been evaluated regularly as part of MTR/MPR. Such assessments will regularly be conducted in a targeted way, informed and overseen by the SM&amp;E TWG and supported by the many partners in this space, to measure progress and identify areas for strengthening. </w:t>
            </w:r>
          </w:p>
          <w:p w14:paraId="7810B00A" w14:textId="77777777" w:rsidR="008B729A" w:rsidRDefault="008B729A" w:rsidP="00021BDE">
            <w:pPr>
              <w:spacing w:afterLines="40" w:after="96" w:line="264" w:lineRule="auto"/>
              <w:rPr>
                <w:rFonts w:eastAsia="Arial" w:cstheme="minorHAnsi"/>
              </w:rPr>
            </w:pPr>
            <w:r w:rsidRPr="001B6C76">
              <w:rPr>
                <w:rFonts w:eastAsia="Arial" w:cstheme="minorHAnsi"/>
              </w:rPr>
              <w:t>The MoH has utilized GF and government resources to ensure the regular supply of register books following partners support. However, major procurement challenges have been experienced due to bureaucratic procedures – leading to over a one year delay in procurement. PMI is providing funding support for technical assistance and some field work expense for the MIS</w:t>
            </w:r>
            <w:r>
              <w:rPr>
                <w:rFonts w:eastAsia="Arial" w:cstheme="minorHAnsi"/>
              </w:rPr>
              <w:t>/DHS</w:t>
            </w:r>
            <w:r w:rsidRPr="001B6C76">
              <w:rPr>
                <w:rFonts w:eastAsia="Arial" w:cstheme="minorHAnsi"/>
              </w:rPr>
              <w:t xml:space="preserve">, with the remaining gap budgeted under the RSSH funding request. </w:t>
            </w:r>
            <w:r w:rsidRPr="001B6C76">
              <w:rPr>
                <w:rFonts w:eastAsia="Arial" w:cstheme="minorHAnsi"/>
                <w:color w:val="000000"/>
              </w:rPr>
              <w:t xml:space="preserve">Complementary support is received from CHAI and the eGov Foundation (via BMGF) for tool development, testing, and technical support </w:t>
            </w:r>
            <w:r w:rsidRPr="001B6C76">
              <w:rPr>
                <w:rFonts w:eastAsia="Arial" w:cstheme="minorHAnsi"/>
              </w:rPr>
              <w:t>for campaign digitization.</w:t>
            </w:r>
            <w:r>
              <w:rPr>
                <w:rFonts w:eastAsia="Arial" w:cstheme="minorHAnsi"/>
              </w:rPr>
              <w:t xml:space="preserve"> With partner support the MOH IT Department (DTIC) is leading efforts at improving their management of the inventory of mobile devices used across the Ministry, spurred by expansion of digitization in malaria – including the use of common mobile device management (MDM) software to centrally manage devices, and establishment of a formal HelpDesk for user support. A digitization taskforce is being established, chaired by DIS with members from DTIC, DNSP, and partners – which will oversee these efforts. </w:t>
            </w:r>
          </w:p>
          <w:p w14:paraId="333E76BB" w14:textId="77777777" w:rsidR="008B729A" w:rsidRPr="001B6C76" w:rsidRDefault="008B729A" w:rsidP="00021BDE">
            <w:pPr>
              <w:spacing w:afterLines="40" w:after="96" w:line="264" w:lineRule="auto"/>
              <w:rPr>
                <w:rFonts w:eastAsia="Arial" w:cstheme="minorHAnsi"/>
                <w:color w:val="FF0000"/>
              </w:rPr>
            </w:pPr>
            <w:r>
              <w:rPr>
                <w:rFonts w:eastAsia="Arial" w:cstheme="minorHAnsi"/>
              </w:rPr>
              <w:t>Mozambique has been an early champion of the use of robust data analysis to inform MTR and MPR, and conduct stratification and sub-national tailoring for optimal allocation of resources. This will continue periodically, including continued strengthening of MOH capacity to conduct these analyses to inform programming. It has become quite ingrained in the structure of the partner working groups, and will be conducted through partner support – thus not requiring funding from this GF request.</w:t>
            </w:r>
          </w:p>
        </w:tc>
      </w:tr>
      <w:tr w:rsidR="008B729A" w:rsidRPr="006A437D" w14:paraId="1471857C" w14:textId="77777777" w:rsidTr="00021BDE">
        <w:trPr>
          <w:cantSplit/>
        </w:trPr>
        <w:tc>
          <w:tcPr>
            <w:tcW w:w="2580" w:type="dxa"/>
            <w:tcBorders>
              <w:bottom w:val="single" w:sz="4" w:space="0" w:color="auto"/>
            </w:tcBorders>
          </w:tcPr>
          <w:p w14:paraId="6A6647B5" w14:textId="77777777" w:rsidR="008B729A" w:rsidRPr="006A437D" w:rsidRDefault="008B729A" w:rsidP="00021BDE">
            <w:pPr>
              <w:spacing w:afterLines="40" w:after="96" w:line="264" w:lineRule="auto"/>
              <w:rPr>
                <w:rFonts w:eastAsia="Arial" w:cstheme="minorHAnsi"/>
                <w:b/>
                <w:bCs/>
                <w:color w:val="000000"/>
              </w:rPr>
            </w:pPr>
            <w:r w:rsidRPr="006A437D">
              <w:rPr>
                <w:rFonts w:eastAsia="Arial" w:cstheme="minorHAnsi"/>
                <w:b/>
                <w:bCs/>
                <w:color w:val="000000"/>
              </w:rPr>
              <w:t>Expected outcome</w:t>
            </w:r>
          </w:p>
        </w:tc>
        <w:tc>
          <w:tcPr>
            <w:tcW w:w="12585" w:type="dxa"/>
            <w:tcBorders>
              <w:bottom w:val="single" w:sz="4" w:space="0" w:color="auto"/>
            </w:tcBorders>
          </w:tcPr>
          <w:p w14:paraId="70D9D779" w14:textId="77777777" w:rsidR="008B729A" w:rsidRPr="001B6C76" w:rsidRDefault="008B729A" w:rsidP="00021BDE">
            <w:pPr>
              <w:numPr>
                <w:ilvl w:val="0"/>
                <w:numId w:val="37"/>
              </w:numPr>
              <w:pBdr>
                <w:top w:val="nil"/>
                <w:left w:val="nil"/>
                <w:bottom w:val="nil"/>
                <w:right w:val="nil"/>
                <w:between w:val="nil"/>
              </w:pBdr>
              <w:spacing w:after="0" w:line="240" w:lineRule="auto"/>
              <w:rPr>
                <w:rFonts w:eastAsia="Arial" w:cstheme="minorHAnsi"/>
              </w:rPr>
            </w:pPr>
            <w:r w:rsidRPr="001B6C76">
              <w:rPr>
                <w:rFonts w:eastAsia="Arial" w:cstheme="minorHAnsi"/>
                <w:color w:val="000000"/>
              </w:rPr>
              <w:t>Data collected at all HFs area standardize</w:t>
            </w:r>
            <w:r>
              <w:rPr>
                <w:rFonts w:eastAsia="Arial" w:cstheme="minorHAnsi"/>
                <w:color w:val="000000"/>
              </w:rPr>
              <w:t>d, with complete, timely and accurate data submission</w:t>
            </w:r>
          </w:p>
          <w:p w14:paraId="702C2C4C" w14:textId="77777777" w:rsidR="008B729A" w:rsidRDefault="008B729A" w:rsidP="00021BDE">
            <w:pPr>
              <w:numPr>
                <w:ilvl w:val="0"/>
                <w:numId w:val="37"/>
              </w:numPr>
              <w:pBdr>
                <w:top w:val="nil"/>
                <w:left w:val="nil"/>
                <w:bottom w:val="nil"/>
                <w:right w:val="nil"/>
                <w:between w:val="nil"/>
              </w:pBdr>
              <w:spacing w:after="0" w:line="240" w:lineRule="auto"/>
              <w:rPr>
                <w:rFonts w:eastAsia="Arial" w:cstheme="minorHAnsi"/>
              </w:rPr>
            </w:pPr>
            <w:r w:rsidRPr="001B6C76">
              <w:rPr>
                <w:rFonts w:eastAsia="Arial" w:cstheme="minorHAnsi"/>
                <w:color w:val="000000"/>
              </w:rPr>
              <w:t>Improved data quality for decision-making</w:t>
            </w:r>
          </w:p>
          <w:p w14:paraId="69AC5CD0" w14:textId="77777777" w:rsidR="008B729A" w:rsidRPr="00904F66" w:rsidRDefault="008B729A" w:rsidP="00021BDE">
            <w:pPr>
              <w:numPr>
                <w:ilvl w:val="0"/>
                <w:numId w:val="37"/>
              </w:numPr>
              <w:pBdr>
                <w:top w:val="nil"/>
                <w:left w:val="nil"/>
                <w:bottom w:val="nil"/>
                <w:right w:val="nil"/>
                <w:between w:val="nil"/>
              </w:pBdr>
              <w:spacing w:after="0" w:line="240" w:lineRule="auto"/>
              <w:rPr>
                <w:rFonts w:eastAsia="Arial" w:cstheme="minorHAnsi"/>
              </w:rPr>
            </w:pPr>
            <w:r w:rsidRPr="00904F66">
              <w:rPr>
                <w:rFonts w:eastAsia="Arial" w:cstheme="minorHAnsi"/>
                <w:color w:val="000000"/>
              </w:rPr>
              <w:t xml:space="preserve">Early detection of epidemics and responses </w:t>
            </w:r>
          </w:p>
        </w:tc>
      </w:tr>
    </w:tbl>
    <w:p w14:paraId="621AAB6E" w14:textId="77777777" w:rsidR="008B729A" w:rsidRDefault="008B729A" w:rsidP="008B729A">
      <w:r>
        <w:br w:type="page"/>
      </w:r>
    </w:p>
    <w:tbl>
      <w:tblPr>
        <w:tblW w:w="151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0"/>
        <w:gridCol w:w="12585"/>
      </w:tblGrid>
      <w:tr w:rsidR="008B729A" w:rsidRPr="006A437D" w14:paraId="6E53CBAD" w14:textId="77777777" w:rsidTr="00021BDE">
        <w:trPr>
          <w:cantSplit/>
        </w:trPr>
        <w:tc>
          <w:tcPr>
            <w:tcW w:w="2580" w:type="dxa"/>
          </w:tcPr>
          <w:p w14:paraId="342F7C72" w14:textId="77777777" w:rsidR="008B729A" w:rsidRPr="006A437D" w:rsidRDefault="008B729A" w:rsidP="00021BDE">
            <w:pPr>
              <w:spacing w:afterLines="40" w:after="96" w:line="264" w:lineRule="auto"/>
              <w:rPr>
                <w:rFonts w:eastAsia="Arial" w:cstheme="minorHAnsi"/>
                <w:b/>
                <w:bCs/>
                <w:color w:val="000000"/>
              </w:rPr>
            </w:pPr>
            <w:r w:rsidRPr="006A437D">
              <w:rPr>
                <w:rFonts w:eastAsia="Arial" w:cstheme="minorHAnsi"/>
                <w:b/>
                <w:bCs/>
                <w:color w:val="000000"/>
              </w:rPr>
              <w:t xml:space="preserve">MODULE </w:t>
            </w:r>
            <w:r>
              <w:rPr>
                <w:rFonts w:eastAsia="Arial" w:cstheme="minorHAnsi"/>
                <w:b/>
                <w:bCs/>
                <w:color w:val="000000"/>
              </w:rPr>
              <w:t>6</w:t>
            </w:r>
          </w:p>
        </w:tc>
        <w:tc>
          <w:tcPr>
            <w:tcW w:w="12585" w:type="dxa"/>
          </w:tcPr>
          <w:p w14:paraId="1CC5E0F5" w14:textId="77777777" w:rsidR="008B729A" w:rsidRPr="00F032DB" w:rsidRDefault="008B729A" w:rsidP="00021BDE">
            <w:pPr>
              <w:spacing w:afterLines="40" w:after="96" w:line="264" w:lineRule="auto"/>
              <w:rPr>
                <w:rFonts w:eastAsia="Arial" w:cstheme="minorHAnsi"/>
              </w:rPr>
            </w:pPr>
            <w:r w:rsidRPr="006A437D">
              <w:rPr>
                <w:rFonts w:eastAsia="Arial" w:cstheme="minorHAnsi"/>
                <w:b/>
                <w:color w:val="000000"/>
              </w:rPr>
              <w:t xml:space="preserve">RSSH: </w:t>
            </w:r>
            <w:r>
              <w:rPr>
                <w:rFonts w:eastAsia="Arial" w:cstheme="minorHAnsi"/>
                <w:b/>
                <w:color w:val="000000"/>
              </w:rPr>
              <w:t>Health products management systems</w:t>
            </w:r>
          </w:p>
        </w:tc>
      </w:tr>
      <w:tr w:rsidR="008B729A" w:rsidRPr="006A437D" w14:paraId="71378BC8" w14:textId="77777777" w:rsidTr="00021BDE">
        <w:trPr>
          <w:cantSplit/>
        </w:trPr>
        <w:tc>
          <w:tcPr>
            <w:tcW w:w="2580" w:type="dxa"/>
          </w:tcPr>
          <w:p w14:paraId="1FB9A04A" w14:textId="77777777" w:rsidR="008B729A" w:rsidRPr="006A437D" w:rsidRDefault="008B729A" w:rsidP="00021BDE">
            <w:pPr>
              <w:pBdr>
                <w:top w:val="nil"/>
                <w:left w:val="nil"/>
                <w:bottom w:val="nil"/>
                <w:right w:val="nil"/>
                <w:between w:val="nil"/>
              </w:pBdr>
              <w:spacing w:afterLines="40" w:after="96" w:line="264" w:lineRule="auto"/>
              <w:rPr>
                <w:rFonts w:eastAsia="Arial" w:cstheme="minorHAnsi"/>
                <w:b/>
                <w:bCs/>
                <w:color w:val="000000"/>
              </w:rPr>
            </w:pPr>
            <w:r w:rsidRPr="006A437D">
              <w:rPr>
                <w:rFonts w:eastAsia="Arial" w:cstheme="minorHAnsi"/>
                <w:b/>
                <w:bCs/>
                <w:color w:val="000000"/>
              </w:rPr>
              <w:t>Intervention(s)</w:t>
            </w:r>
          </w:p>
          <w:p w14:paraId="2F46F4DA" w14:textId="77777777" w:rsidR="008B729A" w:rsidRPr="006A437D" w:rsidRDefault="008B729A" w:rsidP="00021BDE">
            <w:pPr>
              <w:spacing w:afterLines="40" w:after="96" w:line="264" w:lineRule="auto"/>
              <w:rPr>
                <w:rFonts w:eastAsia="Arial" w:cstheme="minorHAnsi"/>
                <w:b/>
                <w:bCs/>
                <w:color w:val="000000"/>
              </w:rPr>
            </w:pPr>
          </w:p>
        </w:tc>
        <w:tc>
          <w:tcPr>
            <w:tcW w:w="12585" w:type="dxa"/>
          </w:tcPr>
          <w:p w14:paraId="502C0AFD" w14:textId="77777777" w:rsidR="008B729A" w:rsidRPr="001B6C76" w:rsidRDefault="008B729A" w:rsidP="00021BDE">
            <w:pPr>
              <w:pBdr>
                <w:top w:val="nil"/>
                <w:left w:val="nil"/>
                <w:bottom w:val="nil"/>
                <w:right w:val="nil"/>
                <w:between w:val="nil"/>
              </w:pBdr>
              <w:spacing w:afterLines="40" w:after="96" w:line="264" w:lineRule="auto"/>
              <w:rPr>
                <w:rFonts w:eastAsia="Arial" w:cstheme="minorHAnsi"/>
                <w:b/>
                <w:bCs/>
                <w:color w:val="000000"/>
              </w:rPr>
            </w:pPr>
            <w:r w:rsidRPr="001B6C76">
              <w:rPr>
                <w:rFonts w:eastAsia="Arial" w:cstheme="minorHAnsi"/>
                <w:b/>
                <w:color w:val="000000"/>
              </w:rPr>
              <w:t xml:space="preserve">Intervention: </w:t>
            </w:r>
            <w:r w:rsidRPr="001B6C76">
              <w:rPr>
                <w:rFonts w:eastAsia="Arial" w:cstheme="minorHAnsi"/>
                <w:color w:val="000000"/>
              </w:rPr>
              <w:t>Augmenting national supply chain system with outsourcing (</w:t>
            </w:r>
            <w:r w:rsidRPr="001B6C76">
              <w:rPr>
                <w:rFonts w:eastAsia="Arial" w:cstheme="minorHAnsi"/>
                <w:b/>
                <w:bCs/>
                <w:color w:val="000000"/>
                <w:u w:val="single"/>
              </w:rPr>
              <w:t>malaria-specific under RSSH module)</w:t>
            </w:r>
          </w:p>
          <w:p w14:paraId="44AE63CD" w14:textId="77777777" w:rsidR="008B729A" w:rsidRPr="001B6C76" w:rsidRDefault="008B729A" w:rsidP="00021BDE">
            <w:pPr>
              <w:pBdr>
                <w:top w:val="nil"/>
                <w:left w:val="nil"/>
                <w:bottom w:val="nil"/>
                <w:right w:val="nil"/>
                <w:between w:val="nil"/>
              </w:pBdr>
              <w:spacing w:afterLines="40" w:after="96" w:line="264" w:lineRule="auto"/>
              <w:rPr>
                <w:rFonts w:eastAsia="Arial" w:cstheme="minorHAnsi"/>
                <w:color w:val="000000"/>
              </w:rPr>
            </w:pPr>
            <w:r w:rsidRPr="001B6C76">
              <w:rPr>
                <w:rFonts w:eastAsia="Arial" w:cstheme="minorHAnsi"/>
                <w:color w:val="000000"/>
              </w:rPr>
              <w:t xml:space="preserve">Change in Programming from current grant: </w:t>
            </w:r>
            <w:r w:rsidRPr="001B6C76">
              <w:rPr>
                <w:rFonts w:ascii="Segoe UI Symbol" w:eastAsia="MS Gothic" w:hAnsi="Segoe UI Symbol" w:cs="Segoe UI Symbol"/>
                <w:color w:val="000000"/>
              </w:rPr>
              <w:t>☐</w:t>
            </w:r>
            <w:r w:rsidRPr="001B6C76">
              <w:rPr>
                <w:rFonts w:eastAsia="Arial" w:cstheme="minorHAnsi"/>
                <w:color w:val="000000"/>
              </w:rPr>
              <w:t xml:space="preserve"> New, </w:t>
            </w:r>
            <w:r w:rsidRPr="001B6C76">
              <w:rPr>
                <w:rFonts w:ascii="Segoe UI Symbol" w:eastAsia="MS Gothic" w:hAnsi="Segoe UI Symbol" w:cs="Segoe UI Symbol"/>
                <w:color w:val="000000"/>
              </w:rPr>
              <w:t>☐</w:t>
            </w:r>
            <w:r w:rsidRPr="001B6C76">
              <w:rPr>
                <w:rFonts w:eastAsia="Arial" w:cstheme="minorHAnsi"/>
                <w:color w:val="000000"/>
              </w:rPr>
              <w:t xml:space="preserve"> Scale-up, </w:t>
            </w:r>
            <w:r w:rsidRPr="001B6C76">
              <w:rPr>
                <w:rFonts w:ascii="Segoe UI Symbol" w:eastAsia="MS Gothic" w:hAnsi="Segoe UI Symbol" w:cs="Segoe UI Symbol"/>
                <w:color w:val="000000"/>
              </w:rPr>
              <w:t>☒</w:t>
            </w:r>
            <w:r w:rsidRPr="001B6C76">
              <w:rPr>
                <w:rFonts w:eastAsia="Arial" w:cstheme="minorHAnsi"/>
                <w:color w:val="000000"/>
              </w:rPr>
              <w:t xml:space="preserve"> Continuation, or </w:t>
            </w:r>
            <w:r w:rsidRPr="001B6C76">
              <w:rPr>
                <w:rFonts w:ascii="Segoe UI Symbol" w:eastAsia="MS Gothic" w:hAnsi="Segoe UI Symbol" w:cs="Segoe UI Symbol"/>
                <w:color w:val="000000"/>
              </w:rPr>
              <w:t>☐</w:t>
            </w:r>
            <w:r w:rsidRPr="001B6C76">
              <w:rPr>
                <w:rFonts w:eastAsia="Arial" w:cstheme="minorHAnsi"/>
                <w:color w:val="000000"/>
              </w:rPr>
              <w:t xml:space="preserve"> Scale-down</w:t>
            </w:r>
          </w:p>
        </w:tc>
      </w:tr>
      <w:tr w:rsidR="008B729A" w:rsidRPr="006A437D" w14:paraId="4952A0CD" w14:textId="77777777" w:rsidTr="00021BDE">
        <w:trPr>
          <w:cantSplit/>
        </w:trPr>
        <w:tc>
          <w:tcPr>
            <w:tcW w:w="2580" w:type="dxa"/>
          </w:tcPr>
          <w:p w14:paraId="7AFA6F77" w14:textId="77777777" w:rsidR="008B729A" w:rsidRPr="006A437D" w:rsidRDefault="008B729A" w:rsidP="00021BDE">
            <w:pPr>
              <w:spacing w:afterLines="40" w:after="96" w:line="264" w:lineRule="auto"/>
              <w:rPr>
                <w:rFonts w:eastAsia="Arial" w:cstheme="minorHAnsi"/>
                <w:b/>
                <w:bCs/>
                <w:color w:val="000000"/>
              </w:rPr>
            </w:pPr>
            <w:r w:rsidRPr="006A437D">
              <w:rPr>
                <w:rFonts w:eastAsia="Arial" w:cstheme="minorHAnsi"/>
                <w:b/>
                <w:bCs/>
                <w:color w:val="000000"/>
              </w:rPr>
              <w:t>Population</w:t>
            </w:r>
            <w:r>
              <w:rPr>
                <w:rFonts w:eastAsia="Arial" w:cstheme="minorHAnsi"/>
                <w:b/>
                <w:bCs/>
                <w:color w:val="000000"/>
              </w:rPr>
              <w:t>, geographies and/or barriers addressed</w:t>
            </w:r>
          </w:p>
        </w:tc>
        <w:tc>
          <w:tcPr>
            <w:tcW w:w="12585" w:type="dxa"/>
          </w:tcPr>
          <w:p w14:paraId="74931326" w14:textId="77777777" w:rsidR="008B729A" w:rsidRPr="001B6C76" w:rsidRDefault="008B729A" w:rsidP="00021BDE">
            <w:pPr>
              <w:spacing w:afterLines="40" w:after="96" w:line="264" w:lineRule="auto"/>
              <w:rPr>
                <w:rFonts w:eastAsia="Arial" w:cstheme="minorHAnsi"/>
              </w:rPr>
            </w:pPr>
            <w:r w:rsidRPr="001B6C76">
              <w:rPr>
                <w:rFonts w:eastAsia="Arial" w:cstheme="minorHAnsi"/>
                <w:color w:val="000000"/>
              </w:rPr>
              <w:t>Rural population served by APSs, by ensuring consistent and organized stock.</w:t>
            </w:r>
            <w:r>
              <w:rPr>
                <w:rFonts w:eastAsia="Arial" w:cstheme="minorHAnsi"/>
                <w:color w:val="000000"/>
              </w:rPr>
              <w:t xml:space="preserve"> </w:t>
            </w:r>
            <w:r w:rsidRPr="001B6C76">
              <w:rPr>
                <w:rFonts w:eastAsia="Arial" w:cstheme="minorHAnsi"/>
                <w:color w:val="000000"/>
              </w:rPr>
              <w:t>The primary barriers to access to malaria diagnosis and treatment services relate to the general inequities arising from location (rural/urban) and socioeconomic status. The revitalization of the APE program seeks to address these discrepancies through the provision of ICCM and integrated health promotion at the local level. One identified barrier to these integrated services has been the issue of stock availability, including malaria RDTs and ACTs, without which service to rural communities is compromised.</w:t>
            </w:r>
          </w:p>
        </w:tc>
      </w:tr>
      <w:tr w:rsidR="008B729A" w:rsidRPr="006A437D" w14:paraId="1BE586FB" w14:textId="77777777" w:rsidTr="00021BDE">
        <w:trPr>
          <w:cantSplit/>
        </w:trPr>
        <w:tc>
          <w:tcPr>
            <w:tcW w:w="2580" w:type="dxa"/>
          </w:tcPr>
          <w:p w14:paraId="01EFA607" w14:textId="77777777" w:rsidR="008B729A" w:rsidRPr="006A437D" w:rsidRDefault="008B729A" w:rsidP="00021BDE">
            <w:pPr>
              <w:spacing w:afterLines="40" w:after="96" w:line="264" w:lineRule="auto"/>
              <w:rPr>
                <w:rFonts w:eastAsia="Arial" w:cstheme="minorHAnsi"/>
                <w:b/>
                <w:bCs/>
                <w:color w:val="000000"/>
              </w:rPr>
            </w:pPr>
            <w:r>
              <w:rPr>
                <w:rFonts w:eastAsia="Arial" w:cstheme="minorHAnsi"/>
                <w:b/>
                <w:bCs/>
                <w:color w:val="000000"/>
              </w:rPr>
              <w:t>List of activities</w:t>
            </w:r>
          </w:p>
        </w:tc>
        <w:tc>
          <w:tcPr>
            <w:tcW w:w="12585" w:type="dxa"/>
          </w:tcPr>
          <w:p w14:paraId="61C10DF1" w14:textId="77777777" w:rsidR="008B729A" w:rsidRDefault="008B729A" w:rsidP="00021BDE">
            <w:pPr>
              <w:spacing w:afterLines="40" w:after="96" w:line="264" w:lineRule="auto"/>
              <w:rPr>
                <w:rFonts w:eastAsia="Arial" w:cstheme="minorHAnsi"/>
                <w:b/>
                <w:bCs/>
                <w:color w:val="000000"/>
                <w:u w:val="single"/>
              </w:rPr>
            </w:pPr>
            <w:r w:rsidRPr="001B6C76">
              <w:rPr>
                <w:rFonts w:eastAsia="Arial" w:cstheme="minorHAnsi"/>
                <w:b/>
                <w:color w:val="000000"/>
              </w:rPr>
              <w:t xml:space="preserve">Intervention: </w:t>
            </w:r>
            <w:r w:rsidRPr="001B6C76">
              <w:rPr>
                <w:rFonts w:eastAsia="Arial" w:cstheme="minorHAnsi"/>
                <w:color w:val="000000"/>
              </w:rPr>
              <w:t>Augmenting national supply chain system with outsourcing (</w:t>
            </w:r>
            <w:r w:rsidRPr="001B6C76">
              <w:rPr>
                <w:rFonts w:eastAsia="Arial" w:cstheme="minorHAnsi"/>
                <w:b/>
                <w:bCs/>
                <w:color w:val="000000"/>
                <w:u w:val="single"/>
              </w:rPr>
              <w:t>malaria-specific under RSSH module)</w:t>
            </w:r>
          </w:p>
          <w:p w14:paraId="4640C79F" w14:textId="77777777" w:rsidR="008B729A" w:rsidRPr="001B6C76" w:rsidRDefault="008B729A" w:rsidP="00021BDE">
            <w:pPr>
              <w:pBdr>
                <w:top w:val="nil"/>
                <w:left w:val="nil"/>
                <w:bottom w:val="nil"/>
                <w:right w:val="nil"/>
                <w:between w:val="nil"/>
              </w:pBdr>
              <w:spacing w:afterLines="40" w:after="96" w:line="264" w:lineRule="auto"/>
              <w:rPr>
                <w:rFonts w:eastAsia="Arial" w:cstheme="minorHAnsi"/>
                <w:color w:val="000000"/>
              </w:rPr>
            </w:pPr>
            <w:r w:rsidRPr="001B6C76">
              <w:rPr>
                <w:rFonts w:eastAsia="Arial" w:cstheme="minorHAnsi"/>
                <w:color w:val="000000"/>
              </w:rPr>
              <w:t xml:space="preserve">Key </w:t>
            </w:r>
            <w:r w:rsidRPr="001B6C76">
              <w:rPr>
                <w:rFonts w:eastAsia="Arial" w:cstheme="minorHAnsi"/>
                <w:color w:val="000000"/>
                <w:u w:val="single"/>
              </w:rPr>
              <w:t>malaria-specific activities</w:t>
            </w:r>
            <w:r w:rsidRPr="001B6C76">
              <w:rPr>
                <w:rFonts w:eastAsia="Arial" w:cstheme="minorHAnsi"/>
                <w:color w:val="000000"/>
              </w:rPr>
              <w:t xml:space="preserve"> under this intervention include:</w:t>
            </w:r>
          </w:p>
          <w:p w14:paraId="3E36ECEA" w14:textId="77777777" w:rsidR="008B729A" w:rsidRPr="001B6C76" w:rsidRDefault="008B729A" w:rsidP="00021BDE">
            <w:pPr>
              <w:numPr>
                <w:ilvl w:val="0"/>
                <w:numId w:val="36"/>
              </w:numPr>
              <w:pBdr>
                <w:top w:val="nil"/>
                <w:left w:val="nil"/>
                <w:bottom w:val="nil"/>
                <w:right w:val="nil"/>
                <w:between w:val="nil"/>
              </w:pBdr>
              <w:spacing w:after="0" w:line="264" w:lineRule="auto"/>
              <w:rPr>
                <w:rFonts w:eastAsia="Arial" w:cstheme="minorHAnsi"/>
                <w:color w:val="000000"/>
              </w:rPr>
            </w:pPr>
            <w:r w:rsidRPr="001B6C76">
              <w:rPr>
                <w:rFonts w:eastAsia="Arial" w:cstheme="minorHAnsi"/>
                <w:b/>
                <w:bCs/>
                <w:color w:val="000000"/>
              </w:rPr>
              <w:t>APS malaria kit assembly and distribution</w:t>
            </w:r>
            <w:r w:rsidRPr="001B6C76">
              <w:rPr>
                <w:rFonts w:eastAsia="Arial" w:cstheme="minorHAnsi"/>
                <w:color w:val="000000"/>
              </w:rPr>
              <w:t xml:space="preserve"> will be supported to ensure CMAM has adequate capacity for supporting ICCM commodities for the nearly 8,000 active APEs nationwide. Costs include kit materials (boxes/straps/sealing/tape/ pallets), and transport to the district level. </w:t>
            </w:r>
          </w:p>
          <w:p w14:paraId="5C2B91CA" w14:textId="77777777" w:rsidR="008B729A" w:rsidRDefault="008B729A" w:rsidP="00021BDE">
            <w:pPr>
              <w:numPr>
                <w:ilvl w:val="0"/>
                <w:numId w:val="36"/>
              </w:numPr>
              <w:pBdr>
                <w:top w:val="nil"/>
                <w:left w:val="nil"/>
                <w:bottom w:val="nil"/>
                <w:right w:val="nil"/>
                <w:between w:val="nil"/>
              </w:pBdr>
              <w:spacing w:after="0" w:line="264" w:lineRule="auto"/>
              <w:rPr>
                <w:rFonts w:eastAsia="Arial" w:cstheme="minorHAnsi"/>
                <w:color w:val="000000"/>
              </w:rPr>
            </w:pPr>
            <w:r w:rsidRPr="001B6C76">
              <w:rPr>
                <w:rFonts w:eastAsia="Arial" w:cstheme="minorHAnsi"/>
                <w:color w:val="000000"/>
              </w:rPr>
              <w:t xml:space="preserve">Implementation challenges have been experienced with this activity during NFM3 implementation. The tender was published two times with no success, first due to non-familiarity with the specifications by local providers and then the second time due to challenges with document completeness due to overly complex specifications. As of 2023 the local service providers have been sensitized, and the specifications sufficiently sensitized, that the NMCP and CMAM feel confident in identifying a provider by Q2 2023. This service provider will be contracted through December 2023, and if this request is approved would be envisioned for extension through the GC7 implementation period. </w:t>
            </w:r>
          </w:p>
          <w:p w14:paraId="0E84E8D9" w14:textId="77777777" w:rsidR="008B729A" w:rsidRPr="00904F66" w:rsidRDefault="008B729A" w:rsidP="00021BDE">
            <w:pPr>
              <w:numPr>
                <w:ilvl w:val="0"/>
                <w:numId w:val="36"/>
              </w:numPr>
              <w:pBdr>
                <w:top w:val="nil"/>
                <w:left w:val="nil"/>
                <w:bottom w:val="nil"/>
                <w:right w:val="nil"/>
                <w:between w:val="nil"/>
              </w:pBdr>
              <w:spacing w:after="0" w:line="264" w:lineRule="auto"/>
              <w:rPr>
                <w:rFonts w:eastAsia="Arial" w:cstheme="minorHAnsi"/>
                <w:color w:val="000000"/>
              </w:rPr>
            </w:pPr>
            <w:r w:rsidRPr="00904F66">
              <w:rPr>
                <w:rFonts w:eastAsia="Arial" w:cstheme="minorHAnsi"/>
                <w:color w:val="000000"/>
              </w:rPr>
              <w:t xml:space="preserve">The 3-year cost of this support is </w:t>
            </w:r>
            <w:r w:rsidRPr="00904F66">
              <w:rPr>
                <w:rFonts w:eastAsia="Arial" w:cstheme="minorHAnsi"/>
                <w:b/>
                <w:bCs/>
                <w:color w:val="000000"/>
              </w:rPr>
              <w:t>$2,144,381</w:t>
            </w:r>
            <w:r w:rsidRPr="00904F66">
              <w:rPr>
                <w:rFonts w:eastAsia="Arial" w:cstheme="minorHAnsi"/>
                <w:color w:val="000000"/>
              </w:rPr>
              <w:t>.</w:t>
            </w:r>
          </w:p>
        </w:tc>
      </w:tr>
      <w:tr w:rsidR="008B729A" w:rsidRPr="006A437D" w14:paraId="488B5730" w14:textId="77777777" w:rsidTr="00021BDE">
        <w:trPr>
          <w:cantSplit/>
        </w:trPr>
        <w:tc>
          <w:tcPr>
            <w:tcW w:w="2580" w:type="dxa"/>
          </w:tcPr>
          <w:p w14:paraId="4F77FCDC" w14:textId="77777777" w:rsidR="008B729A" w:rsidRPr="006A437D" w:rsidRDefault="008B729A" w:rsidP="00021BDE">
            <w:pPr>
              <w:spacing w:afterLines="40" w:after="96" w:line="264" w:lineRule="auto"/>
              <w:rPr>
                <w:rFonts w:eastAsia="Arial" w:cstheme="minorHAnsi"/>
                <w:b/>
                <w:bCs/>
                <w:color w:val="000000"/>
              </w:rPr>
            </w:pPr>
            <w:r>
              <w:rPr>
                <w:rFonts w:eastAsia="Arial" w:cstheme="minorHAnsi"/>
                <w:b/>
                <w:bCs/>
                <w:color w:val="000000"/>
              </w:rPr>
              <w:t>Amount requested</w:t>
            </w:r>
          </w:p>
        </w:tc>
        <w:tc>
          <w:tcPr>
            <w:tcW w:w="12585" w:type="dxa"/>
          </w:tcPr>
          <w:p w14:paraId="492C6E2C" w14:textId="77777777" w:rsidR="008B729A" w:rsidRPr="001B6C76" w:rsidRDefault="008B729A" w:rsidP="00021BDE">
            <w:pPr>
              <w:pBdr>
                <w:top w:val="nil"/>
                <w:left w:val="nil"/>
                <w:bottom w:val="nil"/>
                <w:right w:val="nil"/>
                <w:between w:val="nil"/>
              </w:pBdr>
              <w:spacing w:afterLines="40" w:after="96" w:line="264" w:lineRule="auto"/>
              <w:rPr>
                <w:rFonts w:eastAsia="Arial" w:cstheme="minorHAnsi"/>
                <w:b/>
                <w:bCs/>
                <w:color w:val="000000"/>
              </w:rPr>
            </w:pPr>
            <w:r w:rsidRPr="001B6C76">
              <w:rPr>
                <w:rFonts w:eastAsia="Arial" w:cstheme="minorHAnsi"/>
                <w:b/>
                <w:bCs/>
                <w:color w:val="000000"/>
              </w:rPr>
              <w:t>Main allocation: $2,144,381</w:t>
            </w:r>
          </w:p>
        </w:tc>
      </w:tr>
      <w:tr w:rsidR="008B729A" w:rsidRPr="006A437D" w14:paraId="44BE8DB5" w14:textId="77777777" w:rsidTr="00021BDE">
        <w:trPr>
          <w:cantSplit/>
        </w:trPr>
        <w:tc>
          <w:tcPr>
            <w:tcW w:w="2580" w:type="dxa"/>
          </w:tcPr>
          <w:p w14:paraId="249CB809" w14:textId="77777777" w:rsidR="008B729A" w:rsidRPr="006A437D" w:rsidRDefault="008B729A" w:rsidP="00021BDE">
            <w:pPr>
              <w:spacing w:afterLines="40" w:after="96" w:line="264" w:lineRule="auto"/>
              <w:rPr>
                <w:rFonts w:eastAsia="Arial" w:cstheme="minorHAnsi"/>
                <w:b/>
                <w:bCs/>
                <w:color w:val="000000"/>
              </w:rPr>
            </w:pPr>
            <w:r w:rsidRPr="006A437D">
              <w:rPr>
                <w:rFonts w:eastAsia="Arial" w:cstheme="minorHAnsi"/>
                <w:b/>
                <w:bCs/>
                <w:color w:val="000000"/>
              </w:rPr>
              <w:t>Complementary funding and partner support</w:t>
            </w:r>
          </w:p>
        </w:tc>
        <w:tc>
          <w:tcPr>
            <w:tcW w:w="12585" w:type="dxa"/>
          </w:tcPr>
          <w:p w14:paraId="2B4D04D1" w14:textId="77777777" w:rsidR="008B729A" w:rsidRPr="00F032DB" w:rsidRDefault="008B729A" w:rsidP="00021BDE">
            <w:pPr>
              <w:spacing w:afterLines="40" w:after="96" w:line="264" w:lineRule="auto"/>
              <w:rPr>
                <w:rFonts w:eastAsia="Arial" w:cstheme="minorHAnsi"/>
              </w:rPr>
            </w:pPr>
            <w:r w:rsidRPr="00F972C4">
              <w:rPr>
                <w:rFonts w:eastAsia="Arial" w:cstheme="minorHAnsi"/>
                <w:color w:val="000000"/>
              </w:rPr>
              <w:t>AP</w:t>
            </w:r>
            <w:r>
              <w:rPr>
                <w:rFonts w:eastAsia="Arial" w:cstheme="minorHAnsi"/>
                <w:color w:val="000000"/>
              </w:rPr>
              <w:t>S</w:t>
            </w:r>
            <w:r w:rsidRPr="00F972C4">
              <w:rPr>
                <w:rFonts w:eastAsia="Arial" w:cstheme="minorHAnsi"/>
                <w:color w:val="000000"/>
              </w:rPr>
              <w:t xml:space="preserve"> RDTs and ACTs are accounted for under the facility-based treatment intervention, with cost sharing from PMI, and non-malaria ICCM commodities are procured by the Government of Mozambique.</w:t>
            </w:r>
            <w:r>
              <w:rPr>
                <w:rFonts w:eastAsia="Arial" w:cstheme="minorHAnsi"/>
                <w:color w:val="000000"/>
              </w:rPr>
              <w:t xml:space="preserve"> PMI will no longer support malaria kit assemblage due to budgetary constraints, however s</w:t>
            </w:r>
            <w:r w:rsidRPr="00F972C4">
              <w:rPr>
                <w:rFonts w:eastAsia="Arial" w:cstheme="minorHAnsi"/>
                <w:color w:val="000000"/>
              </w:rPr>
              <w:t xml:space="preserve">everal activities to strengthen </w:t>
            </w:r>
            <w:r>
              <w:rPr>
                <w:rFonts w:eastAsia="Arial" w:cstheme="minorHAnsi"/>
                <w:color w:val="000000"/>
              </w:rPr>
              <w:t xml:space="preserve">overall </w:t>
            </w:r>
            <w:r w:rsidRPr="00F972C4">
              <w:rPr>
                <w:rFonts w:eastAsia="Arial" w:cstheme="minorHAnsi"/>
                <w:color w:val="000000"/>
              </w:rPr>
              <w:t xml:space="preserve">supply chain capacity are budgeted under the </w:t>
            </w:r>
            <w:r>
              <w:rPr>
                <w:rFonts w:eastAsia="Arial" w:cstheme="minorHAnsi"/>
                <w:color w:val="000000"/>
              </w:rPr>
              <w:t>RSSH</w:t>
            </w:r>
            <w:r w:rsidRPr="00F972C4">
              <w:rPr>
                <w:rFonts w:eastAsia="Arial" w:cstheme="minorHAnsi"/>
                <w:color w:val="000000"/>
              </w:rPr>
              <w:t xml:space="preserve"> funding request components. </w:t>
            </w:r>
          </w:p>
        </w:tc>
      </w:tr>
      <w:tr w:rsidR="008B729A" w:rsidRPr="006A437D" w14:paraId="5E6BF98F" w14:textId="77777777" w:rsidTr="00021BDE">
        <w:trPr>
          <w:cantSplit/>
        </w:trPr>
        <w:tc>
          <w:tcPr>
            <w:tcW w:w="2580" w:type="dxa"/>
          </w:tcPr>
          <w:p w14:paraId="5D4F330B" w14:textId="77777777" w:rsidR="008B729A" w:rsidRPr="006A437D" w:rsidRDefault="008B729A" w:rsidP="00021BDE">
            <w:pPr>
              <w:spacing w:afterLines="40" w:after="96" w:line="264" w:lineRule="auto"/>
              <w:rPr>
                <w:rFonts w:eastAsia="Arial" w:cstheme="minorHAnsi"/>
                <w:b/>
                <w:bCs/>
                <w:color w:val="000000"/>
              </w:rPr>
            </w:pPr>
            <w:r w:rsidRPr="006A437D">
              <w:rPr>
                <w:rFonts w:eastAsia="Arial" w:cstheme="minorHAnsi"/>
                <w:b/>
                <w:bCs/>
                <w:color w:val="000000"/>
              </w:rPr>
              <w:t>Expected outcome</w:t>
            </w:r>
          </w:p>
        </w:tc>
        <w:tc>
          <w:tcPr>
            <w:tcW w:w="12585" w:type="dxa"/>
          </w:tcPr>
          <w:p w14:paraId="4266021D" w14:textId="77777777" w:rsidR="008B729A" w:rsidRPr="00F972C4" w:rsidRDefault="008B729A" w:rsidP="00021BDE">
            <w:pPr>
              <w:spacing w:afterLines="40" w:after="96" w:line="264" w:lineRule="auto"/>
              <w:rPr>
                <w:rFonts w:eastAsia="Arial" w:cstheme="minorHAnsi"/>
                <w:color w:val="000000"/>
              </w:rPr>
            </w:pPr>
            <w:r w:rsidRPr="001B6C76">
              <w:rPr>
                <w:rFonts w:eastAsia="Arial" w:cstheme="minorHAnsi"/>
                <w:color w:val="000000"/>
              </w:rPr>
              <w:t>Improved stock availability at community level, leading to increased access to malaria diagnosis and treatment for the most at-risk communities</w:t>
            </w:r>
          </w:p>
        </w:tc>
      </w:tr>
    </w:tbl>
    <w:p w14:paraId="6D6C26D6" w14:textId="77777777" w:rsidR="008B729A" w:rsidRDefault="008B729A" w:rsidP="00B1166C">
      <w:pPr>
        <w:spacing w:after="0"/>
        <w:rPr>
          <w:b/>
          <w:bCs/>
          <w:sz w:val="28"/>
          <w:szCs w:val="28"/>
        </w:rPr>
      </w:pPr>
    </w:p>
    <w:p w14:paraId="46B21CCD" w14:textId="77777777" w:rsidR="008B729A" w:rsidRDefault="008B729A">
      <w:pPr>
        <w:spacing w:after="200"/>
        <w:rPr>
          <w:b/>
          <w:bCs/>
          <w:sz w:val="28"/>
          <w:szCs w:val="28"/>
        </w:rPr>
      </w:pPr>
      <w:r>
        <w:rPr>
          <w:b/>
          <w:bCs/>
          <w:sz w:val="28"/>
          <w:szCs w:val="28"/>
        </w:rPr>
        <w:br w:type="page"/>
      </w:r>
    </w:p>
    <w:p w14:paraId="2A217240" w14:textId="691ADD8B" w:rsidR="0063373E" w:rsidRPr="00B1166C" w:rsidRDefault="0026004E" w:rsidP="00B1166C">
      <w:pPr>
        <w:spacing w:after="0"/>
        <w:rPr>
          <w:lang w:val="en-GB"/>
        </w:rPr>
      </w:pPr>
      <w:r w:rsidRPr="00B1166C">
        <w:rPr>
          <w:b/>
          <w:bCs/>
          <w:sz w:val="28"/>
          <w:szCs w:val="28"/>
          <w:lang w:val="en-GB"/>
        </w:rPr>
        <w:t>RSSH Funding Request</w:t>
      </w:r>
      <w:r w:rsidRPr="00B1166C">
        <w:rPr>
          <w:b/>
          <w:bCs/>
          <w:lang w:val="en-GB"/>
        </w:rPr>
        <w:t xml:space="preserve">: </w:t>
      </w:r>
      <w:r w:rsidR="00B13E3E" w:rsidRPr="00B1166C">
        <w:rPr>
          <w:lang w:val="en-GB"/>
        </w:rPr>
        <w:t xml:space="preserve">The country coordinating mechanism (CCM), together with Global Fund, made the decision to integrate the cross-cutting RSSH requests into the malaria funding request. To prioritize these cross-cutting RSSH requests, a working group was formed which identified the following. </w:t>
      </w:r>
      <w:r w:rsidR="00B1166C" w:rsidRPr="00B1166C">
        <w:rPr>
          <w:lang w:val="en-GB"/>
        </w:rPr>
        <w:t>The budget for cross-cutting RSSH needs is summarized as follows, including the $7,000,000 in matching funds from the RSSH Innovation Fund:</w:t>
      </w:r>
    </w:p>
    <w:p w14:paraId="7B73E0D6" w14:textId="47B7414B" w:rsidR="00B1166C" w:rsidRDefault="00A246BA">
      <w:pPr>
        <w:spacing w:after="200"/>
        <w:rPr>
          <w:sz w:val="24"/>
          <w:lang w:val="en-GB"/>
        </w:rPr>
      </w:pPr>
      <w:r w:rsidRPr="00A246BA">
        <w:rPr>
          <w:noProof/>
        </w:rPr>
        <w:drawing>
          <wp:inline distT="0" distB="0" distL="0" distR="0" wp14:anchorId="28356693" wp14:editId="2AA3FB83">
            <wp:extent cx="7721600" cy="1282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21600" cy="1282700"/>
                    </a:xfrm>
                    <a:prstGeom prst="rect">
                      <a:avLst/>
                    </a:prstGeom>
                    <a:noFill/>
                    <a:ln>
                      <a:noFill/>
                    </a:ln>
                  </pic:spPr>
                </pic:pic>
              </a:graphicData>
            </a:graphic>
          </wp:inline>
        </w:drawing>
      </w:r>
    </w:p>
    <w:tbl>
      <w:tblPr>
        <w:tblW w:w="15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82"/>
        <w:gridCol w:w="123"/>
        <w:gridCol w:w="12600"/>
        <w:gridCol w:w="68"/>
      </w:tblGrid>
      <w:tr w:rsidR="00B13E3E" w:rsidRPr="002C2C75" w14:paraId="036FFA53" w14:textId="77777777" w:rsidTr="00E74D8B">
        <w:trPr>
          <w:cantSplit/>
          <w:trHeight w:val="358"/>
        </w:trPr>
        <w:tc>
          <w:tcPr>
            <w:tcW w:w="2482" w:type="dxa"/>
          </w:tcPr>
          <w:p w14:paraId="5860B45D" w14:textId="7C775644" w:rsidR="00B13E3E" w:rsidRPr="002C2C75" w:rsidRDefault="00FC2901" w:rsidP="00021BDE">
            <w:pPr>
              <w:pBdr>
                <w:top w:val="nil"/>
                <w:left w:val="nil"/>
                <w:bottom w:val="nil"/>
                <w:right w:val="nil"/>
                <w:between w:val="nil"/>
              </w:pBdr>
              <w:spacing w:line="264" w:lineRule="auto"/>
              <w:rPr>
                <w:rFonts w:cstheme="minorHAnsi"/>
                <w:b/>
                <w:bCs/>
                <w:color w:val="000000"/>
              </w:rPr>
            </w:pPr>
            <w:r w:rsidRPr="002C2C75">
              <w:rPr>
                <w:rFonts w:cstheme="minorHAnsi"/>
                <w:b/>
                <w:bCs/>
                <w:color w:val="000000"/>
              </w:rPr>
              <w:t>MODULE 7</w:t>
            </w:r>
          </w:p>
        </w:tc>
        <w:tc>
          <w:tcPr>
            <w:tcW w:w="12791" w:type="dxa"/>
            <w:gridSpan w:val="3"/>
          </w:tcPr>
          <w:p w14:paraId="10F433B2" w14:textId="4BA620B7" w:rsidR="00B13E3E" w:rsidRPr="002C2C75" w:rsidRDefault="003874B9" w:rsidP="00021BDE">
            <w:pPr>
              <w:pBdr>
                <w:top w:val="nil"/>
                <w:left w:val="nil"/>
                <w:bottom w:val="nil"/>
                <w:right w:val="nil"/>
                <w:between w:val="nil"/>
              </w:pBdr>
              <w:spacing w:line="264" w:lineRule="auto"/>
              <w:rPr>
                <w:rFonts w:cstheme="minorHAnsi"/>
                <w:b/>
                <w:bCs/>
              </w:rPr>
            </w:pPr>
            <w:r w:rsidRPr="002C2C75">
              <w:rPr>
                <w:rFonts w:cstheme="minorHAnsi"/>
                <w:b/>
                <w:bCs/>
                <w:color w:val="000000"/>
              </w:rPr>
              <w:t xml:space="preserve">RSSH: </w:t>
            </w:r>
            <w:r w:rsidR="00B13E3E" w:rsidRPr="002C2C75">
              <w:rPr>
                <w:rFonts w:cstheme="minorHAnsi"/>
                <w:b/>
                <w:bCs/>
                <w:color w:val="000000"/>
              </w:rPr>
              <w:t>Health Sector Planning and Governance for Integrated People centered Services</w:t>
            </w:r>
          </w:p>
        </w:tc>
      </w:tr>
      <w:tr w:rsidR="00B13E3E" w:rsidRPr="002C2C75" w14:paraId="52ED1349" w14:textId="77777777" w:rsidTr="00E74D8B">
        <w:trPr>
          <w:cantSplit/>
          <w:trHeight w:val="716"/>
        </w:trPr>
        <w:tc>
          <w:tcPr>
            <w:tcW w:w="2482" w:type="dxa"/>
          </w:tcPr>
          <w:p w14:paraId="79E300A4" w14:textId="3A07AF40" w:rsidR="00B13E3E" w:rsidRPr="008B729A" w:rsidRDefault="00B13E3E" w:rsidP="00021BDE">
            <w:pPr>
              <w:pBdr>
                <w:top w:val="nil"/>
                <w:left w:val="nil"/>
                <w:bottom w:val="nil"/>
                <w:right w:val="nil"/>
                <w:between w:val="nil"/>
              </w:pBdr>
              <w:spacing w:line="264" w:lineRule="auto"/>
              <w:rPr>
                <w:rFonts w:cstheme="minorHAnsi"/>
                <w:b/>
                <w:bCs/>
                <w:color w:val="000000"/>
              </w:rPr>
            </w:pPr>
            <w:r w:rsidRPr="008B729A">
              <w:rPr>
                <w:rFonts w:cstheme="minorHAnsi"/>
                <w:b/>
                <w:bCs/>
                <w:color w:val="000000"/>
              </w:rPr>
              <w:t xml:space="preserve">Intervention(s) </w:t>
            </w:r>
          </w:p>
        </w:tc>
        <w:tc>
          <w:tcPr>
            <w:tcW w:w="12791" w:type="dxa"/>
            <w:gridSpan w:val="3"/>
          </w:tcPr>
          <w:p w14:paraId="661DE792" w14:textId="4A11FF35" w:rsidR="00B13E3E" w:rsidRPr="002C2C75" w:rsidRDefault="008B729A" w:rsidP="00021BDE">
            <w:pPr>
              <w:pBdr>
                <w:top w:val="nil"/>
                <w:left w:val="nil"/>
                <w:bottom w:val="nil"/>
                <w:right w:val="nil"/>
                <w:between w:val="nil"/>
              </w:pBdr>
              <w:spacing w:line="264" w:lineRule="auto"/>
              <w:rPr>
                <w:rFonts w:cstheme="minorHAnsi"/>
                <w:b/>
                <w:bCs/>
                <w:color w:val="000000"/>
              </w:rPr>
            </w:pPr>
            <w:r>
              <w:rPr>
                <w:rFonts w:cstheme="minorHAnsi"/>
                <w:b/>
                <w:bCs/>
                <w:color w:val="000000"/>
              </w:rPr>
              <w:t xml:space="preserve">Intervention: </w:t>
            </w:r>
            <w:r w:rsidR="00B13E3E" w:rsidRPr="008B729A">
              <w:rPr>
                <w:rFonts w:cstheme="minorHAnsi"/>
                <w:color w:val="000000"/>
              </w:rPr>
              <w:t>National health sector strategy, policy &amp; regulations</w:t>
            </w:r>
          </w:p>
          <w:p w14:paraId="149C8027" w14:textId="2B036410" w:rsidR="001059BC" w:rsidRPr="008B729A" w:rsidRDefault="00B13E3E" w:rsidP="008B729A">
            <w:pPr>
              <w:pBdr>
                <w:top w:val="nil"/>
                <w:left w:val="nil"/>
                <w:bottom w:val="nil"/>
                <w:right w:val="nil"/>
                <w:between w:val="nil"/>
              </w:pBdr>
              <w:spacing w:line="264" w:lineRule="auto"/>
              <w:rPr>
                <w:rFonts w:ascii="Segoe UI Symbol" w:eastAsia="Arial Unicode MS" w:hAnsi="Segoe UI Symbol" w:cs="Segoe UI Symbol"/>
                <w:color w:val="000000"/>
              </w:rPr>
            </w:pPr>
            <w:r w:rsidRPr="002C2C75">
              <w:rPr>
                <w:rFonts w:cstheme="minorHAnsi"/>
                <w:color w:val="000000"/>
              </w:rPr>
              <w:t xml:space="preserve">Change in Programming from current grant: </w:t>
            </w:r>
            <w:r w:rsidR="008B729A" w:rsidRPr="001B6C76">
              <w:rPr>
                <w:rFonts w:ascii="Segoe UI Symbol" w:eastAsia="MS Gothic" w:hAnsi="Segoe UI Symbol" w:cs="Segoe UI Symbol"/>
                <w:color w:val="000000"/>
              </w:rPr>
              <w:t>☒</w:t>
            </w:r>
            <w:r w:rsidRPr="002C2C75">
              <w:rPr>
                <w:rFonts w:cstheme="minorHAnsi"/>
                <w:color w:val="000000"/>
              </w:rPr>
              <w:t xml:space="preserve"> New, </w:t>
            </w:r>
            <w:sdt>
              <w:sdtPr>
                <w:rPr>
                  <w:rFonts w:cstheme="minorHAnsi"/>
                </w:rPr>
                <w:tag w:val="goog_rdk_1"/>
                <w:id w:val="138703564"/>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Scale-up, </w:t>
            </w:r>
            <w:sdt>
              <w:sdtPr>
                <w:rPr>
                  <w:rFonts w:cstheme="minorHAnsi"/>
                </w:rPr>
                <w:tag w:val="goog_rdk_2"/>
                <w:id w:val="1236434615"/>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Continuation, or </w:t>
            </w:r>
            <w:sdt>
              <w:sdtPr>
                <w:rPr>
                  <w:rFonts w:cstheme="minorHAnsi"/>
                </w:rPr>
                <w:tag w:val="goog_rdk_3"/>
                <w:id w:val="2082403766"/>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Scale-down</w:t>
            </w:r>
            <w:r w:rsidRPr="002C2C75">
              <w:rPr>
                <w:rFonts w:cstheme="minorHAnsi"/>
              </w:rPr>
              <w:t xml:space="preserve"> </w:t>
            </w:r>
            <w:r w:rsidR="001059BC" w:rsidRPr="008B729A">
              <w:rPr>
                <w:rFonts w:cstheme="minorHAnsi"/>
                <w:b/>
                <w:bCs/>
                <w:color w:val="000000"/>
              </w:rPr>
              <w:t xml:space="preserve"> </w:t>
            </w:r>
          </w:p>
        </w:tc>
      </w:tr>
      <w:tr w:rsidR="000131CD" w:rsidRPr="002C2C75" w14:paraId="4C0FFF5F" w14:textId="77777777" w:rsidTr="00E74D8B">
        <w:trPr>
          <w:cantSplit/>
          <w:trHeight w:val="716"/>
        </w:trPr>
        <w:tc>
          <w:tcPr>
            <w:tcW w:w="2482" w:type="dxa"/>
          </w:tcPr>
          <w:p w14:paraId="48EED6D1" w14:textId="43BC6FB6" w:rsidR="000131CD" w:rsidRPr="008B729A" w:rsidRDefault="000131CD" w:rsidP="00021BDE">
            <w:pPr>
              <w:pBdr>
                <w:top w:val="nil"/>
                <w:left w:val="nil"/>
                <w:bottom w:val="nil"/>
                <w:right w:val="nil"/>
                <w:between w:val="nil"/>
              </w:pBdr>
              <w:spacing w:line="264" w:lineRule="auto"/>
              <w:rPr>
                <w:rFonts w:cstheme="minorHAnsi"/>
                <w:b/>
                <w:bCs/>
                <w:color w:val="000000"/>
              </w:rPr>
            </w:pPr>
            <w:r w:rsidRPr="008B729A">
              <w:rPr>
                <w:rFonts w:cstheme="minorHAnsi"/>
                <w:b/>
                <w:bCs/>
                <w:color w:val="000000"/>
              </w:rPr>
              <w:t>Population, geographies and/or barriers addressed</w:t>
            </w:r>
          </w:p>
        </w:tc>
        <w:tc>
          <w:tcPr>
            <w:tcW w:w="12791" w:type="dxa"/>
            <w:gridSpan w:val="3"/>
          </w:tcPr>
          <w:p w14:paraId="497D5F1B" w14:textId="77777777" w:rsidR="000131CD" w:rsidRPr="00110008" w:rsidRDefault="000131CD" w:rsidP="000131CD">
            <w:pPr>
              <w:pBdr>
                <w:top w:val="nil"/>
                <w:left w:val="nil"/>
                <w:bottom w:val="nil"/>
                <w:right w:val="nil"/>
                <w:between w:val="nil"/>
              </w:pBdr>
              <w:spacing w:line="264" w:lineRule="auto"/>
              <w:jc w:val="both"/>
              <w:rPr>
                <w:rFonts w:cstheme="minorHAnsi"/>
                <w:color w:val="000000"/>
              </w:rPr>
            </w:pPr>
            <w:r w:rsidRPr="00110008">
              <w:rPr>
                <w:rFonts w:cstheme="minorHAnsi"/>
                <w:color w:val="000000"/>
              </w:rPr>
              <w:t>A recent review of the current health sector planning system recommended the development of a capacity strengthening plan to ensure alignment between different levels and health services that is participatory, inclusive and results-oriented, and in compliance with the principle of a Single Plan, a Single Budget and a Single Monitoring and Evaluation.</w:t>
            </w:r>
          </w:p>
          <w:p w14:paraId="69B659A9" w14:textId="77777777" w:rsidR="000131CD" w:rsidRPr="00110008" w:rsidRDefault="000131CD" w:rsidP="000131CD">
            <w:pPr>
              <w:pBdr>
                <w:top w:val="nil"/>
                <w:left w:val="nil"/>
                <w:bottom w:val="nil"/>
                <w:right w:val="nil"/>
                <w:between w:val="nil"/>
              </w:pBdr>
              <w:spacing w:line="264" w:lineRule="auto"/>
              <w:jc w:val="both"/>
              <w:rPr>
                <w:rFonts w:cstheme="minorHAnsi"/>
                <w:color w:val="000000"/>
              </w:rPr>
            </w:pPr>
            <w:r w:rsidRPr="00110008">
              <w:rPr>
                <w:rFonts w:cstheme="minorHAnsi"/>
                <w:color w:val="000000"/>
              </w:rPr>
              <w:t>Global fund funding rules require VAT exemption on the purchase of goods and services. For this purpose, the Government approved the Fiscal Mechanism for VAT Regularization, which, for its implementation, requires the respective certification. The growing volume of projects, and consequently of requests for VAT certification, requires hiring more staff to speed up this process, as well as reinforcing the supervision and monitoring activities of these projects. In addition,  will be acquired an electronic Platform for the registration and management of all ongoing projects in the health sector, which also meets the monitoring needs of the Fiscal Mechanism for VAT Regularization.</w:t>
            </w:r>
          </w:p>
          <w:p w14:paraId="0DB3F6CE" w14:textId="77777777" w:rsidR="000131CD" w:rsidRDefault="000131CD" w:rsidP="00021BDE">
            <w:pPr>
              <w:pBdr>
                <w:top w:val="nil"/>
                <w:left w:val="nil"/>
                <w:bottom w:val="nil"/>
                <w:right w:val="nil"/>
                <w:between w:val="nil"/>
              </w:pBdr>
              <w:spacing w:line="264" w:lineRule="auto"/>
              <w:rPr>
                <w:rFonts w:cstheme="minorHAnsi"/>
                <w:b/>
                <w:bCs/>
                <w:color w:val="000000"/>
              </w:rPr>
            </w:pPr>
          </w:p>
        </w:tc>
      </w:tr>
      <w:tr w:rsidR="00B13E3E" w:rsidRPr="002C2C75" w14:paraId="16C2E2EA" w14:textId="77777777" w:rsidTr="00E74D8B">
        <w:trPr>
          <w:cantSplit/>
          <w:trHeight w:val="3111"/>
        </w:trPr>
        <w:tc>
          <w:tcPr>
            <w:tcW w:w="2482" w:type="dxa"/>
          </w:tcPr>
          <w:p w14:paraId="6C09BD6B" w14:textId="36CFD3E4" w:rsidR="00B13E3E" w:rsidRPr="008B729A" w:rsidRDefault="00B13E3E" w:rsidP="00021BDE">
            <w:pPr>
              <w:pBdr>
                <w:top w:val="nil"/>
                <w:left w:val="nil"/>
                <w:bottom w:val="nil"/>
                <w:right w:val="nil"/>
                <w:between w:val="nil"/>
              </w:pBdr>
              <w:spacing w:line="264" w:lineRule="auto"/>
              <w:rPr>
                <w:rFonts w:cstheme="minorHAnsi"/>
                <w:b/>
                <w:bCs/>
                <w:color w:val="000000"/>
              </w:rPr>
            </w:pPr>
          </w:p>
        </w:tc>
        <w:tc>
          <w:tcPr>
            <w:tcW w:w="12791" w:type="dxa"/>
            <w:gridSpan w:val="3"/>
          </w:tcPr>
          <w:p w14:paraId="1B96B98F" w14:textId="32D8EFD0" w:rsidR="00110008" w:rsidRPr="00110008" w:rsidRDefault="00110008" w:rsidP="00110008">
            <w:pPr>
              <w:pBdr>
                <w:top w:val="nil"/>
                <w:left w:val="nil"/>
                <w:bottom w:val="nil"/>
                <w:right w:val="nil"/>
                <w:between w:val="nil"/>
              </w:pBdr>
              <w:spacing w:line="264" w:lineRule="auto"/>
              <w:jc w:val="both"/>
              <w:rPr>
                <w:rFonts w:cstheme="minorHAnsi"/>
                <w:color w:val="000000"/>
              </w:rPr>
            </w:pPr>
            <w:r w:rsidRPr="00110008">
              <w:rPr>
                <w:rFonts w:cstheme="minorHAnsi"/>
                <w:color w:val="000000"/>
              </w:rPr>
              <w:t>The considerable amount of financial resources managed by the sector requires increased attention from execution monitoring bodies. Hence the need to strengthen the oversee capacity of the sector. The involvement of community actors in health promotion actions began in 1978, after the Alma-Ata Declaration on Primary Health Care (PHC), when the country established the category of Agente Polivalente Elemerar (APE). Over the years, the expansion of community services related to maternal and child health, malaria, HIV/AIDS, and tuberculosis, among others, coupled with a shortage of human resources, led to the introduction of various other categories of community actors, both by the Government and Non-Governmental Organizations (NGOs), Civil Society Organizations (CSOs), and other cooperating partners. Local community actor’s categories were also institutionalized, such as traditional midwives and traditional medicine practitioners (HTM), to promote and prevent diseases in the communities.</w:t>
            </w:r>
            <w:r>
              <w:rPr>
                <w:rFonts w:cstheme="minorHAnsi"/>
                <w:color w:val="000000"/>
              </w:rPr>
              <w:t xml:space="preserve"> </w:t>
            </w:r>
            <w:r w:rsidRPr="00110008">
              <w:rPr>
                <w:rFonts w:cstheme="minorHAnsi"/>
                <w:color w:val="000000"/>
              </w:rPr>
              <w:t>The aforementioned efforts resulted in fragmentation of interventions, inadequate community involvement, duplication of efforts, lack of integration and complementarity of actions carried out by different actors, and gaps in the provision of healthcare.</w:t>
            </w:r>
          </w:p>
          <w:p w14:paraId="4A5CED0E" w14:textId="59791FCB" w:rsidR="00110008" w:rsidRPr="00110008" w:rsidRDefault="00110008" w:rsidP="00110008">
            <w:pPr>
              <w:pBdr>
                <w:top w:val="nil"/>
                <w:left w:val="nil"/>
                <w:bottom w:val="nil"/>
                <w:right w:val="nil"/>
                <w:between w:val="nil"/>
              </w:pBdr>
              <w:spacing w:line="264" w:lineRule="auto"/>
              <w:jc w:val="both"/>
              <w:rPr>
                <w:rFonts w:cstheme="minorHAnsi"/>
                <w:color w:val="000000"/>
              </w:rPr>
            </w:pPr>
            <w:r w:rsidRPr="00110008">
              <w:rPr>
                <w:rFonts w:cstheme="minorHAnsi"/>
                <w:color w:val="000000"/>
              </w:rPr>
              <w:t>The Community Health Strategy (2021-2025) aims to address these challenges, improve healthcare efficiency and coverage, reduce health inequities, and integrate programs and community actors in order to contribute to the provision of the Essential Community Health Package. This includes intervention on Case Management for HIV, TB and Malaria; interventions on Maternal and Child health and nutrition; intervention for health promotion and early diagnosis. Additionally, the strategy intends to establish a community health surveillance system.  All that is expected to contribute to the strengthening of the National Health System, as well as to the achievement of the Sustainable Development Goals (SDGs) and Universal Health Coverage (UHC), leaving no one behind.</w:t>
            </w:r>
            <w:r w:rsidR="000131CD">
              <w:rPr>
                <w:rFonts w:cstheme="minorHAnsi"/>
                <w:color w:val="000000"/>
              </w:rPr>
              <w:t xml:space="preserve"> </w:t>
            </w:r>
            <w:r w:rsidRPr="00110008">
              <w:rPr>
                <w:rFonts w:cstheme="minorHAnsi"/>
                <w:color w:val="000000"/>
              </w:rPr>
              <w:t xml:space="preserve">The pilot phase of the community subsystem strategy started in 2022 and has been fully implemented and documented in 22 districts of 9 provinces of Mozambique. Full implementation includes selection, pre-service training, supervision, and technical support to the new cadre of CHWs (Agente Polivalente de Saúde - APS). </w:t>
            </w:r>
          </w:p>
          <w:p w14:paraId="69FF2084" w14:textId="77777777" w:rsidR="00110008" w:rsidRPr="00110008" w:rsidRDefault="00110008" w:rsidP="00110008">
            <w:pPr>
              <w:pBdr>
                <w:top w:val="nil"/>
                <w:left w:val="nil"/>
                <w:bottom w:val="nil"/>
                <w:right w:val="nil"/>
                <w:between w:val="nil"/>
              </w:pBdr>
              <w:spacing w:line="264" w:lineRule="auto"/>
              <w:jc w:val="both"/>
              <w:rPr>
                <w:rFonts w:cstheme="minorHAnsi"/>
                <w:color w:val="000000"/>
              </w:rPr>
            </w:pPr>
            <w:r w:rsidRPr="00110008">
              <w:rPr>
                <w:rFonts w:cstheme="minorHAnsi"/>
                <w:color w:val="000000"/>
              </w:rPr>
              <w:t xml:space="preserve">The APS will work and integrate into a team of community health workers (CHW) already existing in the communities, as previously described. The MoH has established a ratio of 1 CHW (APS) per 1000 inhabitants. Therefore, due to the lack of existing APS at this stage, whenever possible, teams will consist of at least 1 APS + 2 or 3 CHW from NGOs and/or local CHW, who are specialized in providing interventions outlined in the community PECS. Whenever no APS available, the CHWs will team up with an APE or other CHW to contribute to 1:1000 CHW expected ratio. </w:t>
            </w:r>
          </w:p>
          <w:p w14:paraId="7B8F57F8" w14:textId="77777777" w:rsidR="00110008" w:rsidRPr="00110008" w:rsidRDefault="00110008" w:rsidP="00110008">
            <w:pPr>
              <w:pBdr>
                <w:top w:val="nil"/>
                <w:left w:val="nil"/>
                <w:bottom w:val="nil"/>
                <w:right w:val="nil"/>
                <w:between w:val="nil"/>
              </w:pBdr>
              <w:spacing w:line="264" w:lineRule="auto"/>
              <w:jc w:val="both"/>
              <w:rPr>
                <w:rFonts w:cstheme="minorHAnsi"/>
                <w:color w:val="000000"/>
              </w:rPr>
            </w:pPr>
            <w:r w:rsidRPr="00110008">
              <w:rPr>
                <w:rFonts w:cstheme="minorHAnsi"/>
                <w:color w:val="000000"/>
              </w:rPr>
              <w:t>The APS, as the lead member of the CHW teams, will make the liaison with the primary healthcare facility of reference, where a specific supervisor will support and mentor the APS/and the team, in all their tasks and performance.</w:t>
            </w:r>
          </w:p>
          <w:p w14:paraId="452EB423" w14:textId="77777777" w:rsidR="00110008" w:rsidRPr="00110008" w:rsidRDefault="00110008" w:rsidP="00110008">
            <w:pPr>
              <w:pBdr>
                <w:top w:val="nil"/>
                <w:left w:val="nil"/>
                <w:bottom w:val="nil"/>
                <w:right w:val="nil"/>
                <w:between w:val="nil"/>
              </w:pBdr>
              <w:spacing w:line="264" w:lineRule="auto"/>
              <w:jc w:val="both"/>
              <w:rPr>
                <w:rFonts w:cstheme="minorHAnsi"/>
                <w:color w:val="000000"/>
              </w:rPr>
            </w:pPr>
            <w:r w:rsidRPr="00110008">
              <w:rPr>
                <w:rFonts w:cstheme="minorHAnsi"/>
                <w:color w:val="000000"/>
              </w:rPr>
              <w:t>The APS will be trained on competency-based skills, using an updated competency-based curricula integrated in the APS courses conducted by the Provincial Health Institutes (IdF).  Currently, the MoH is  finalizing the development of the competency-based curricula for specific CHW interventions, clustered in the following areas: Mother and Child Health package, Case Management for HIV, TB, Malaria and NCDs package, and Health Promotion package. Those packages are integrated in the community PECS. The technical working group within the MoH and partners are working to align the training package for all CHW, in order to standardize the approaches for the provision of the health community services. Additionally, in that sense, the Community Health Development Committees (government structure), placed in each community, will serve as a dialogue space for integration and coordination of all actors and local workforce, including traditional medicine practitioners.</w:t>
            </w:r>
          </w:p>
          <w:p w14:paraId="2BC1840C" w14:textId="77777777" w:rsidR="00110008" w:rsidRPr="00110008" w:rsidRDefault="00110008" w:rsidP="00110008">
            <w:pPr>
              <w:pBdr>
                <w:top w:val="nil"/>
                <w:left w:val="nil"/>
                <w:bottom w:val="nil"/>
                <w:right w:val="nil"/>
                <w:between w:val="nil"/>
              </w:pBdr>
              <w:spacing w:line="264" w:lineRule="auto"/>
              <w:jc w:val="both"/>
              <w:rPr>
                <w:rFonts w:cstheme="minorHAnsi"/>
                <w:color w:val="000000"/>
              </w:rPr>
            </w:pPr>
            <w:r w:rsidRPr="00110008">
              <w:rPr>
                <w:rFonts w:cstheme="minorHAnsi"/>
                <w:color w:val="000000"/>
              </w:rPr>
              <w:t>For the period 2024-2026, the main milestones are based on the lessons learnt on the first phase of the pilot:</w:t>
            </w:r>
          </w:p>
          <w:p w14:paraId="39F39853" w14:textId="07346018" w:rsidR="00110008" w:rsidRPr="00110008" w:rsidRDefault="00110008" w:rsidP="00110008">
            <w:pPr>
              <w:pStyle w:val="ListParagraph"/>
              <w:numPr>
                <w:ilvl w:val="0"/>
                <w:numId w:val="87"/>
              </w:numPr>
              <w:pBdr>
                <w:top w:val="nil"/>
                <w:left w:val="nil"/>
                <w:bottom w:val="nil"/>
                <w:right w:val="nil"/>
                <w:between w:val="nil"/>
              </w:pBdr>
              <w:spacing w:line="264" w:lineRule="auto"/>
              <w:jc w:val="both"/>
              <w:rPr>
                <w:rFonts w:cstheme="minorHAnsi"/>
                <w:color w:val="000000"/>
              </w:rPr>
            </w:pPr>
            <w:r w:rsidRPr="00110008">
              <w:rPr>
                <w:rFonts w:cstheme="minorHAnsi"/>
                <w:color w:val="000000"/>
              </w:rPr>
              <w:t>To train APS with capacity and competencies to offer quality health community services, by improving the quality of the training to be conducted in the Health Training Institutes (IdF) and using an updated curricula based on the required competencies.</w:t>
            </w:r>
          </w:p>
          <w:p w14:paraId="51278B6E" w14:textId="63A7FC22" w:rsidR="00110008" w:rsidRPr="00110008" w:rsidRDefault="00110008" w:rsidP="00110008">
            <w:pPr>
              <w:pStyle w:val="ListParagraph"/>
              <w:numPr>
                <w:ilvl w:val="0"/>
                <w:numId w:val="87"/>
              </w:numPr>
              <w:pBdr>
                <w:top w:val="nil"/>
                <w:left w:val="nil"/>
                <w:bottom w:val="nil"/>
                <w:right w:val="nil"/>
                <w:between w:val="nil"/>
              </w:pBdr>
              <w:spacing w:line="264" w:lineRule="auto"/>
              <w:jc w:val="both"/>
              <w:rPr>
                <w:rFonts w:cstheme="minorHAnsi"/>
                <w:color w:val="000000"/>
              </w:rPr>
            </w:pPr>
            <w:r w:rsidRPr="00110008">
              <w:rPr>
                <w:rFonts w:cstheme="minorHAnsi"/>
                <w:color w:val="000000"/>
              </w:rPr>
              <w:t>To establish community health workers teams, coordination mechanisms and supervision systems to improve the performance of the community health subsystem.</w:t>
            </w:r>
          </w:p>
          <w:p w14:paraId="751CEEA6" w14:textId="62D1EB55" w:rsidR="00110008" w:rsidRPr="00110008" w:rsidRDefault="00110008" w:rsidP="00110008">
            <w:pPr>
              <w:pStyle w:val="ListParagraph"/>
              <w:numPr>
                <w:ilvl w:val="0"/>
                <w:numId w:val="87"/>
              </w:numPr>
              <w:pBdr>
                <w:top w:val="nil"/>
                <w:left w:val="nil"/>
                <w:bottom w:val="nil"/>
                <w:right w:val="nil"/>
                <w:between w:val="nil"/>
              </w:pBdr>
              <w:spacing w:line="264" w:lineRule="auto"/>
              <w:jc w:val="both"/>
              <w:rPr>
                <w:rFonts w:cstheme="minorHAnsi"/>
                <w:color w:val="000000"/>
              </w:rPr>
            </w:pPr>
            <w:r w:rsidRPr="00110008">
              <w:rPr>
                <w:rFonts w:cstheme="minorHAnsi"/>
                <w:color w:val="000000"/>
              </w:rPr>
              <w:t>To integrate a community health surveillance into the community health subsystem, liaising with the National Health Service (PHC)</w:t>
            </w:r>
          </w:p>
          <w:p w14:paraId="71FC4186" w14:textId="2933010C" w:rsidR="00110008" w:rsidRPr="00110008" w:rsidRDefault="00110008" w:rsidP="00110008">
            <w:pPr>
              <w:pStyle w:val="ListParagraph"/>
              <w:numPr>
                <w:ilvl w:val="0"/>
                <w:numId w:val="87"/>
              </w:numPr>
              <w:pBdr>
                <w:top w:val="nil"/>
                <w:left w:val="nil"/>
                <w:bottom w:val="nil"/>
                <w:right w:val="nil"/>
                <w:between w:val="nil"/>
              </w:pBdr>
              <w:spacing w:line="264" w:lineRule="auto"/>
              <w:jc w:val="both"/>
              <w:rPr>
                <w:rFonts w:cstheme="minorHAnsi"/>
                <w:color w:val="000000"/>
              </w:rPr>
            </w:pPr>
            <w:r w:rsidRPr="00110008">
              <w:rPr>
                <w:rFonts w:cstheme="minorHAnsi"/>
                <w:color w:val="000000"/>
              </w:rPr>
              <w:t>To digitize the registration and monitoring community health tools to improve the community Information health systems to improve data quality and guarantee the interoperability with the SISMA (place at health health facility).</w:t>
            </w:r>
          </w:p>
          <w:p w14:paraId="756AAF2F" w14:textId="5A13215F" w:rsidR="00110008" w:rsidRPr="00110008" w:rsidRDefault="00110008" w:rsidP="00110008">
            <w:pPr>
              <w:pStyle w:val="ListParagraph"/>
              <w:numPr>
                <w:ilvl w:val="0"/>
                <w:numId w:val="87"/>
              </w:numPr>
              <w:pBdr>
                <w:top w:val="nil"/>
                <w:left w:val="nil"/>
                <w:bottom w:val="nil"/>
                <w:right w:val="nil"/>
                <w:between w:val="nil"/>
              </w:pBdr>
              <w:spacing w:line="264" w:lineRule="auto"/>
              <w:jc w:val="both"/>
              <w:rPr>
                <w:rFonts w:cstheme="minorHAnsi"/>
                <w:color w:val="000000"/>
              </w:rPr>
            </w:pPr>
            <w:r w:rsidRPr="00110008">
              <w:rPr>
                <w:rFonts w:cstheme="minorHAnsi"/>
                <w:color w:val="000000"/>
              </w:rPr>
              <w:t>To integrate the provision of community health services, enabling the integration of HIV, TB, NCDs and malaria program interventions.</w:t>
            </w:r>
          </w:p>
          <w:p w14:paraId="18CF8182" w14:textId="74E143F6" w:rsidR="00110008" w:rsidRPr="00110008" w:rsidRDefault="00110008" w:rsidP="00110008">
            <w:pPr>
              <w:pStyle w:val="ListParagraph"/>
              <w:numPr>
                <w:ilvl w:val="0"/>
                <w:numId w:val="87"/>
              </w:numPr>
              <w:pBdr>
                <w:top w:val="nil"/>
                <w:left w:val="nil"/>
                <w:bottom w:val="nil"/>
                <w:right w:val="nil"/>
                <w:between w:val="nil"/>
              </w:pBdr>
              <w:spacing w:line="264" w:lineRule="auto"/>
              <w:jc w:val="both"/>
              <w:rPr>
                <w:rFonts w:cstheme="minorHAnsi"/>
                <w:color w:val="000000"/>
              </w:rPr>
            </w:pPr>
            <w:r w:rsidRPr="00110008">
              <w:rPr>
                <w:rFonts w:cstheme="minorHAnsi"/>
                <w:color w:val="000000"/>
              </w:rPr>
              <w:t>To establish the structure of the Community Health Structure governance.</w:t>
            </w:r>
          </w:p>
          <w:p w14:paraId="4B4E5294" w14:textId="290F477A" w:rsidR="00B13E3E" w:rsidRPr="002C2C75" w:rsidRDefault="00110008" w:rsidP="00110008">
            <w:pPr>
              <w:pBdr>
                <w:top w:val="nil"/>
                <w:left w:val="nil"/>
                <w:bottom w:val="nil"/>
                <w:right w:val="nil"/>
                <w:between w:val="nil"/>
              </w:pBdr>
              <w:spacing w:line="264" w:lineRule="auto"/>
              <w:jc w:val="both"/>
              <w:rPr>
                <w:rFonts w:cstheme="minorHAnsi"/>
              </w:rPr>
            </w:pPr>
            <w:r w:rsidRPr="00110008">
              <w:rPr>
                <w:rFonts w:cstheme="minorHAnsi"/>
                <w:color w:val="000000"/>
              </w:rPr>
              <w:t>Based on lessons learned and operational research anticipated under M&amp;E systems module below, the targets defined in this strategy will be updated to guide activity planning for achieving relevant targets of the community Health Strategy and relevant milestones, including the SDGs by 2030. To ensure stakeholders ownership of the strategy, it will also be disseminated at all levels of the sector through implementation of an advocacy, communication, and social mobilization plan.</w:t>
            </w:r>
          </w:p>
        </w:tc>
      </w:tr>
      <w:tr w:rsidR="008B729A" w:rsidRPr="002C2C75" w14:paraId="68813B86" w14:textId="77777777" w:rsidTr="00E74D8B">
        <w:trPr>
          <w:cantSplit/>
          <w:trHeight w:val="735"/>
        </w:trPr>
        <w:tc>
          <w:tcPr>
            <w:tcW w:w="2482" w:type="dxa"/>
          </w:tcPr>
          <w:p w14:paraId="057A675C" w14:textId="514E5302" w:rsidR="008B729A" w:rsidRPr="008B729A" w:rsidRDefault="008B729A" w:rsidP="00F23FD1">
            <w:pPr>
              <w:pBdr>
                <w:top w:val="nil"/>
                <w:left w:val="nil"/>
                <w:bottom w:val="nil"/>
                <w:right w:val="nil"/>
                <w:between w:val="nil"/>
              </w:pBdr>
              <w:spacing w:line="264" w:lineRule="auto"/>
              <w:rPr>
                <w:rFonts w:cstheme="minorHAnsi"/>
                <w:b/>
                <w:bCs/>
                <w:color w:val="000000"/>
              </w:rPr>
            </w:pPr>
            <w:r>
              <w:rPr>
                <w:rFonts w:cstheme="minorHAnsi"/>
                <w:b/>
                <w:bCs/>
                <w:color w:val="000000"/>
              </w:rPr>
              <w:t>List of activities</w:t>
            </w:r>
          </w:p>
        </w:tc>
        <w:tc>
          <w:tcPr>
            <w:tcW w:w="12791" w:type="dxa"/>
            <w:gridSpan w:val="3"/>
          </w:tcPr>
          <w:p w14:paraId="745BE848" w14:textId="77777777" w:rsidR="00110008" w:rsidRPr="00110008" w:rsidRDefault="00110008" w:rsidP="00110008">
            <w:pPr>
              <w:numPr>
                <w:ilvl w:val="0"/>
                <w:numId w:val="62"/>
              </w:numPr>
              <w:pBdr>
                <w:top w:val="nil"/>
                <w:left w:val="nil"/>
                <w:bottom w:val="nil"/>
                <w:right w:val="nil"/>
                <w:between w:val="nil"/>
              </w:pBdr>
              <w:spacing w:after="0" w:line="264" w:lineRule="auto"/>
              <w:rPr>
                <w:rFonts w:cstheme="minorHAnsi"/>
                <w:color w:val="000000"/>
              </w:rPr>
            </w:pPr>
            <w:r w:rsidRPr="00110008">
              <w:rPr>
                <w:rFonts w:cstheme="minorHAnsi"/>
                <w:color w:val="000000"/>
              </w:rPr>
              <w:t>Develop a Plan to strengthen the health sector planning system.</w:t>
            </w:r>
          </w:p>
          <w:p w14:paraId="04EAFFA1" w14:textId="77777777" w:rsidR="00110008" w:rsidRPr="00110008" w:rsidRDefault="00110008" w:rsidP="00110008">
            <w:pPr>
              <w:numPr>
                <w:ilvl w:val="0"/>
                <w:numId w:val="62"/>
              </w:numPr>
              <w:pBdr>
                <w:top w:val="nil"/>
                <w:left w:val="nil"/>
                <w:bottom w:val="nil"/>
                <w:right w:val="nil"/>
                <w:between w:val="nil"/>
              </w:pBdr>
              <w:spacing w:after="0" w:line="264" w:lineRule="auto"/>
              <w:rPr>
                <w:rFonts w:cstheme="minorHAnsi"/>
                <w:color w:val="000000"/>
              </w:rPr>
            </w:pPr>
            <w:r w:rsidRPr="00110008">
              <w:rPr>
                <w:rFonts w:cstheme="minorHAnsi"/>
                <w:color w:val="000000"/>
              </w:rPr>
              <w:t>Hire staff to speed up the VAT certification process</w:t>
            </w:r>
          </w:p>
          <w:p w14:paraId="465D8580" w14:textId="77777777" w:rsidR="00110008" w:rsidRPr="00110008" w:rsidRDefault="00110008" w:rsidP="00110008">
            <w:pPr>
              <w:numPr>
                <w:ilvl w:val="0"/>
                <w:numId w:val="62"/>
              </w:numPr>
              <w:pBdr>
                <w:top w:val="nil"/>
                <w:left w:val="nil"/>
                <w:bottom w:val="nil"/>
                <w:right w:val="nil"/>
                <w:between w:val="nil"/>
              </w:pBdr>
              <w:spacing w:after="0" w:line="264" w:lineRule="auto"/>
              <w:rPr>
                <w:rFonts w:cstheme="minorHAnsi"/>
                <w:color w:val="000000"/>
              </w:rPr>
            </w:pPr>
            <w:r w:rsidRPr="00110008">
              <w:rPr>
                <w:rFonts w:cstheme="minorHAnsi"/>
                <w:color w:val="000000"/>
              </w:rPr>
              <w:t>Disseminate the Community Health Subsystem strategy at the national and subnational level in 2024</w:t>
            </w:r>
          </w:p>
          <w:p w14:paraId="0CD75A51" w14:textId="2B19662A" w:rsidR="00110008" w:rsidRPr="00110008" w:rsidRDefault="00110008" w:rsidP="00110008">
            <w:pPr>
              <w:numPr>
                <w:ilvl w:val="0"/>
                <w:numId w:val="62"/>
              </w:numPr>
              <w:pBdr>
                <w:top w:val="nil"/>
                <w:left w:val="nil"/>
                <w:bottom w:val="nil"/>
                <w:right w:val="nil"/>
                <w:between w:val="nil"/>
              </w:pBdr>
              <w:spacing w:after="0" w:line="264" w:lineRule="auto"/>
              <w:rPr>
                <w:rFonts w:cstheme="minorHAnsi"/>
                <w:color w:val="000000"/>
              </w:rPr>
            </w:pPr>
            <w:r w:rsidRPr="00110008">
              <w:rPr>
                <w:rFonts w:cstheme="minorHAnsi"/>
                <w:color w:val="000000"/>
              </w:rPr>
              <w:t xml:space="preserve">Update the Community Health Subsystem Strategy targets in 2025      </w:t>
            </w:r>
          </w:p>
          <w:p w14:paraId="5EAD3306" w14:textId="77777777" w:rsidR="008B729A" w:rsidRPr="002C2C75" w:rsidRDefault="008B729A" w:rsidP="008B729A">
            <w:pPr>
              <w:pBdr>
                <w:top w:val="nil"/>
                <w:left w:val="nil"/>
                <w:bottom w:val="nil"/>
                <w:right w:val="nil"/>
                <w:between w:val="nil"/>
              </w:pBdr>
              <w:spacing w:after="0" w:line="264" w:lineRule="auto"/>
              <w:rPr>
                <w:rFonts w:cstheme="minorHAnsi"/>
                <w:color w:val="000000"/>
              </w:rPr>
            </w:pPr>
          </w:p>
          <w:p w14:paraId="358B4406" w14:textId="77777777" w:rsidR="008B729A" w:rsidRDefault="008B729A" w:rsidP="008B729A">
            <w:pPr>
              <w:pBdr>
                <w:top w:val="nil"/>
                <w:left w:val="nil"/>
                <w:bottom w:val="nil"/>
                <w:right w:val="nil"/>
                <w:between w:val="nil"/>
              </w:pBdr>
              <w:spacing w:after="0" w:line="264" w:lineRule="auto"/>
              <w:rPr>
                <w:rFonts w:cstheme="minorHAnsi"/>
                <w:b/>
                <w:bCs/>
                <w:color w:val="000000"/>
              </w:rPr>
            </w:pPr>
            <w:r w:rsidRPr="002C2C75">
              <w:rPr>
                <w:rFonts w:cstheme="minorHAnsi"/>
                <w:b/>
                <w:bCs/>
                <w:color w:val="000000"/>
              </w:rPr>
              <w:t xml:space="preserve">PAAR: </w:t>
            </w:r>
          </w:p>
          <w:p w14:paraId="77218B04" w14:textId="77777777" w:rsidR="00110008" w:rsidRPr="00110008" w:rsidRDefault="00110008" w:rsidP="00110008">
            <w:pPr>
              <w:pStyle w:val="ListParagraph"/>
              <w:numPr>
                <w:ilvl w:val="0"/>
                <w:numId w:val="86"/>
              </w:numPr>
              <w:pBdr>
                <w:top w:val="nil"/>
                <w:left w:val="nil"/>
                <w:bottom w:val="nil"/>
                <w:right w:val="nil"/>
                <w:between w:val="nil"/>
              </w:pBdr>
              <w:spacing w:after="0" w:line="264" w:lineRule="auto"/>
              <w:rPr>
                <w:rFonts w:cstheme="minorHAnsi"/>
                <w:color w:val="000000"/>
              </w:rPr>
            </w:pPr>
            <w:r w:rsidRPr="00110008">
              <w:rPr>
                <w:rFonts w:cstheme="minorHAnsi"/>
                <w:color w:val="000000"/>
              </w:rPr>
              <w:t>Conduct integrated planning meetings with stakeholders of the Community Health Subsystem at the national and subnational levels, including in communities is Prioritized Above Allocation Request (PAAR -$509,300)</w:t>
            </w:r>
          </w:p>
          <w:p w14:paraId="5CDF1BE1" w14:textId="77777777" w:rsidR="00110008" w:rsidRPr="00110008" w:rsidRDefault="00110008" w:rsidP="00110008">
            <w:pPr>
              <w:pStyle w:val="ListParagraph"/>
              <w:numPr>
                <w:ilvl w:val="0"/>
                <w:numId w:val="86"/>
              </w:numPr>
              <w:pBdr>
                <w:top w:val="nil"/>
                <w:left w:val="nil"/>
                <w:bottom w:val="nil"/>
                <w:right w:val="nil"/>
                <w:between w:val="nil"/>
              </w:pBdr>
              <w:spacing w:after="0" w:line="264" w:lineRule="auto"/>
              <w:rPr>
                <w:rFonts w:cstheme="minorHAnsi"/>
                <w:color w:val="000000"/>
              </w:rPr>
            </w:pPr>
            <w:r w:rsidRPr="00110008">
              <w:rPr>
                <w:rFonts w:cstheme="minorHAnsi"/>
                <w:color w:val="000000"/>
              </w:rPr>
              <w:t>Establish an electronic Platform for the registration and management of all ongoing projects (PAAR - $100,000.00)</w:t>
            </w:r>
          </w:p>
          <w:p w14:paraId="43DBF636" w14:textId="763D5CAE" w:rsidR="008B729A" w:rsidRPr="002C2C75" w:rsidRDefault="00110008" w:rsidP="00110008">
            <w:pPr>
              <w:numPr>
                <w:ilvl w:val="0"/>
                <w:numId w:val="86"/>
              </w:numPr>
              <w:pBdr>
                <w:top w:val="nil"/>
                <w:left w:val="nil"/>
                <w:bottom w:val="nil"/>
                <w:right w:val="nil"/>
                <w:between w:val="nil"/>
              </w:pBdr>
              <w:spacing w:after="0" w:line="264" w:lineRule="auto"/>
              <w:rPr>
                <w:rFonts w:cstheme="minorHAnsi"/>
                <w:color w:val="000000"/>
              </w:rPr>
            </w:pPr>
            <w:r w:rsidRPr="00110008">
              <w:rPr>
                <w:rFonts w:cstheme="minorHAnsi"/>
                <w:color w:val="000000"/>
              </w:rPr>
              <w:t xml:space="preserve">Increase Health Inspection General capacity to oversee budget holders (PAAR - $200,000.00)  </w:t>
            </w:r>
          </w:p>
        </w:tc>
      </w:tr>
      <w:tr w:rsidR="00F23FD1" w:rsidRPr="002C2C75" w14:paraId="0359B7E5" w14:textId="77777777" w:rsidTr="00E74D8B">
        <w:trPr>
          <w:cantSplit/>
          <w:trHeight w:val="735"/>
        </w:trPr>
        <w:tc>
          <w:tcPr>
            <w:tcW w:w="2482" w:type="dxa"/>
          </w:tcPr>
          <w:p w14:paraId="23D1F774" w14:textId="77777777" w:rsidR="00F23FD1" w:rsidRPr="008B729A" w:rsidRDefault="00F23FD1" w:rsidP="00F23FD1">
            <w:pPr>
              <w:pBdr>
                <w:top w:val="nil"/>
                <w:left w:val="nil"/>
                <w:bottom w:val="nil"/>
                <w:right w:val="nil"/>
                <w:between w:val="nil"/>
              </w:pBdr>
              <w:spacing w:line="264" w:lineRule="auto"/>
              <w:rPr>
                <w:rFonts w:cstheme="minorHAnsi"/>
                <w:b/>
                <w:bCs/>
                <w:color w:val="000000"/>
              </w:rPr>
            </w:pPr>
            <w:r w:rsidRPr="008B729A">
              <w:rPr>
                <w:rFonts w:cstheme="minorHAnsi"/>
                <w:b/>
                <w:bCs/>
                <w:color w:val="000000"/>
              </w:rPr>
              <w:t>Amount requested</w:t>
            </w:r>
          </w:p>
        </w:tc>
        <w:tc>
          <w:tcPr>
            <w:tcW w:w="12791" w:type="dxa"/>
            <w:gridSpan w:val="3"/>
          </w:tcPr>
          <w:p w14:paraId="490EE1C6" w14:textId="2D0E8037" w:rsidR="00F23FD1" w:rsidRPr="002C2C75" w:rsidRDefault="00F23FD1" w:rsidP="00F23FD1">
            <w:pPr>
              <w:pBdr>
                <w:top w:val="nil"/>
                <w:left w:val="nil"/>
                <w:bottom w:val="nil"/>
                <w:right w:val="nil"/>
                <w:between w:val="nil"/>
              </w:pBdr>
              <w:spacing w:line="264" w:lineRule="auto"/>
              <w:rPr>
                <w:rFonts w:cstheme="minorHAnsi"/>
                <w:b/>
                <w:color w:val="000000"/>
              </w:rPr>
            </w:pPr>
            <w:r w:rsidRPr="002C2C75">
              <w:rPr>
                <w:rFonts w:cstheme="minorHAnsi"/>
                <w:b/>
                <w:color w:val="000000"/>
              </w:rPr>
              <w:t>Within Allocation: $5</w:t>
            </w:r>
            <w:r w:rsidR="00702907">
              <w:rPr>
                <w:rFonts w:cstheme="minorHAnsi"/>
                <w:b/>
                <w:color w:val="000000"/>
              </w:rPr>
              <w:t>4</w:t>
            </w:r>
            <w:r w:rsidRPr="002C2C75">
              <w:rPr>
                <w:rFonts w:cstheme="minorHAnsi"/>
                <w:b/>
                <w:color w:val="000000"/>
              </w:rPr>
              <w:t>0,000</w:t>
            </w:r>
          </w:p>
          <w:p w14:paraId="5AF85174" w14:textId="4D263F06" w:rsidR="00F23FD1" w:rsidRPr="002C2C75" w:rsidRDefault="00F23FD1" w:rsidP="00F23FD1">
            <w:pPr>
              <w:pBdr>
                <w:top w:val="nil"/>
                <w:left w:val="nil"/>
                <w:bottom w:val="nil"/>
                <w:right w:val="nil"/>
                <w:between w:val="nil"/>
              </w:pBdr>
              <w:spacing w:line="264" w:lineRule="auto"/>
              <w:rPr>
                <w:rFonts w:cstheme="minorHAnsi"/>
                <w:color w:val="000000"/>
              </w:rPr>
            </w:pPr>
            <w:r w:rsidRPr="002C2C75">
              <w:rPr>
                <w:rFonts w:cstheme="minorHAnsi"/>
                <w:b/>
                <w:color w:val="000000"/>
              </w:rPr>
              <w:t xml:space="preserve">PAAR: </w:t>
            </w:r>
            <w:r w:rsidR="001059BC">
              <w:rPr>
                <w:rFonts w:cstheme="minorHAnsi"/>
                <w:b/>
                <w:color w:val="000000"/>
              </w:rPr>
              <w:t>8</w:t>
            </w:r>
            <w:r w:rsidRPr="002C2C75">
              <w:rPr>
                <w:rFonts w:cstheme="minorHAnsi"/>
                <w:b/>
                <w:color w:val="000000"/>
              </w:rPr>
              <w:t>09,300</w:t>
            </w:r>
          </w:p>
        </w:tc>
      </w:tr>
      <w:tr w:rsidR="008B729A" w:rsidRPr="002C2C75" w14:paraId="23A180FD" w14:textId="77777777" w:rsidTr="00E74D8B">
        <w:trPr>
          <w:cantSplit/>
          <w:trHeight w:val="735"/>
        </w:trPr>
        <w:tc>
          <w:tcPr>
            <w:tcW w:w="2482" w:type="dxa"/>
            <w:tcBorders>
              <w:top w:val="single" w:sz="4" w:space="0" w:color="000000"/>
              <w:left w:val="single" w:sz="4" w:space="0" w:color="000000"/>
              <w:bottom w:val="single" w:sz="4" w:space="0" w:color="000000"/>
              <w:right w:val="single" w:sz="4" w:space="0" w:color="000000"/>
            </w:tcBorders>
            <w:shd w:val="clear" w:color="auto" w:fill="auto"/>
          </w:tcPr>
          <w:p w14:paraId="3C4E630A" w14:textId="11443F20" w:rsidR="008B729A" w:rsidRPr="008B729A" w:rsidRDefault="008B729A" w:rsidP="008B729A">
            <w:pPr>
              <w:pBdr>
                <w:top w:val="nil"/>
                <w:left w:val="nil"/>
                <w:bottom w:val="nil"/>
                <w:right w:val="nil"/>
                <w:between w:val="nil"/>
              </w:pBdr>
              <w:spacing w:line="264" w:lineRule="auto"/>
              <w:rPr>
                <w:rFonts w:cstheme="minorHAnsi"/>
                <w:b/>
                <w:bCs/>
                <w:i/>
                <w:iCs/>
                <w:color w:val="000000"/>
              </w:rPr>
            </w:pPr>
            <w:r w:rsidRPr="008B729A">
              <w:rPr>
                <w:rFonts w:cstheme="minorHAnsi"/>
                <w:b/>
                <w:bCs/>
                <w:i/>
                <w:iCs/>
                <w:color w:val="000000"/>
              </w:rPr>
              <w:t>MODULE 7 TOTAL</w:t>
            </w:r>
          </w:p>
        </w:tc>
        <w:tc>
          <w:tcPr>
            <w:tcW w:w="12791" w:type="dxa"/>
            <w:gridSpan w:val="3"/>
            <w:tcBorders>
              <w:top w:val="single" w:sz="4" w:space="0" w:color="000000"/>
              <w:left w:val="single" w:sz="4" w:space="0" w:color="000000"/>
              <w:bottom w:val="single" w:sz="4" w:space="0" w:color="000000"/>
              <w:right w:val="single" w:sz="4" w:space="0" w:color="000000"/>
            </w:tcBorders>
            <w:shd w:val="clear" w:color="auto" w:fill="auto"/>
          </w:tcPr>
          <w:p w14:paraId="646ADE9C" w14:textId="34D2EADF" w:rsidR="008B729A" w:rsidRPr="002C2C75" w:rsidRDefault="008B729A" w:rsidP="008B729A">
            <w:pPr>
              <w:pBdr>
                <w:top w:val="nil"/>
                <w:left w:val="nil"/>
                <w:bottom w:val="nil"/>
                <w:right w:val="nil"/>
                <w:between w:val="nil"/>
              </w:pBdr>
              <w:spacing w:line="264" w:lineRule="auto"/>
              <w:rPr>
                <w:rFonts w:cstheme="minorHAnsi"/>
                <w:bCs/>
                <w:i/>
                <w:iCs/>
                <w:color w:val="000000"/>
              </w:rPr>
            </w:pPr>
            <w:r w:rsidRPr="002C2C75">
              <w:rPr>
                <w:rFonts w:cstheme="minorHAnsi"/>
                <w:bCs/>
                <w:i/>
                <w:iCs/>
                <w:color w:val="000000"/>
              </w:rPr>
              <w:t>Within allocation: $</w:t>
            </w:r>
            <w:r w:rsidR="00110008">
              <w:rPr>
                <w:rFonts w:cstheme="minorHAnsi"/>
                <w:bCs/>
                <w:i/>
                <w:iCs/>
                <w:color w:val="000000"/>
              </w:rPr>
              <w:t>540,000</w:t>
            </w:r>
          </w:p>
          <w:p w14:paraId="263A3F77" w14:textId="55FFC530" w:rsidR="008B729A" w:rsidRPr="002C2C75" w:rsidRDefault="008B729A" w:rsidP="008B729A">
            <w:pPr>
              <w:pBdr>
                <w:top w:val="nil"/>
                <w:left w:val="nil"/>
                <w:bottom w:val="nil"/>
                <w:right w:val="nil"/>
                <w:between w:val="nil"/>
              </w:pBdr>
              <w:spacing w:line="264" w:lineRule="auto"/>
              <w:rPr>
                <w:rFonts w:cstheme="minorHAnsi"/>
                <w:bCs/>
                <w:i/>
                <w:iCs/>
                <w:color w:val="000000"/>
              </w:rPr>
            </w:pPr>
            <w:r w:rsidRPr="002C2C75">
              <w:rPr>
                <w:rFonts w:cstheme="minorHAnsi"/>
                <w:bCs/>
                <w:i/>
                <w:iCs/>
                <w:color w:val="000000"/>
              </w:rPr>
              <w:t>PAAR: $</w:t>
            </w:r>
            <w:r w:rsidR="00110008">
              <w:rPr>
                <w:rFonts w:cstheme="minorHAnsi"/>
                <w:bCs/>
                <w:i/>
                <w:iCs/>
                <w:color w:val="000000"/>
              </w:rPr>
              <w:t>809,300</w:t>
            </w:r>
          </w:p>
        </w:tc>
      </w:tr>
      <w:tr w:rsidR="00A05026" w:rsidRPr="002C2C75" w14:paraId="6C86298B" w14:textId="77777777" w:rsidTr="00E74D8B">
        <w:trPr>
          <w:gridAfter w:val="1"/>
          <w:wAfter w:w="68" w:type="dxa"/>
          <w:cantSplit/>
        </w:trPr>
        <w:tc>
          <w:tcPr>
            <w:tcW w:w="2482" w:type="dxa"/>
          </w:tcPr>
          <w:p w14:paraId="30504277" w14:textId="256A61CA" w:rsidR="00A05026" w:rsidRPr="002C2C75" w:rsidRDefault="00A05026" w:rsidP="00021BDE">
            <w:pPr>
              <w:pBdr>
                <w:top w:val="nil"/>
                <w:left w:val="nil"/>
                <w:bottom w:val="nil"/>
                <w:right w:val="nil"/>
                <w:between w:val="nil"/>
              </w:pBdr>
              <w:spacing w:line="264" w:lineRule="auto"/>
              <w:rPr>
                <w:b/>
                <w:bCs/>
                <w:color w:val="000000"/>
                <w:sz w:val="24"/>
                <w:szCs w:val="24"/>
              </w:rPr>
            </w:pPr>
            <w:r w:rsidRPr="002C2C75">
              <w:rPr>
                <w:b/>
                <w:bCs/>
                <w:color w:val="000000"/>
                <w:sz w:val="24"/>
                <w:szCs w:val="24"/>
              </w:rPr>
              <w:t>MODULE 8</w:t>
            </w:r>
          </w:p>
        </w:tc>
        <w:tc>
          <w:tcPr>
            <w:tcW w:w="12723" w:type="dxa"/>
            <w:gridSpan w:val="2"/>
          </w:tcPr>
          <w:p w14:paraId="12128BB4" w14:textId="77777777" w:rsidR="00A05026" w:rsidRPr="002C2C75" w:rsidRDefault="00A05026" w:rsidP="00021BDE">
            <w:pPr>
              <w:pBdr>
                <w:top w:val="nil"/>
                <w:left w:val="nil"/>
                <w:bottom w:val="nil"/>
                <w:right w:val="nil"/>
                <w:between w:val="nil"/>
              </w:pBdr>
              <w:spacing w:line="264" w:lineRule="auto"/>
              <w:rPr>
                <w:b/>
                <w:bCs/>
                <w:color w:val="000000"/>
              </w:rPr>
            </w:pPr>
            <w:r w:rsidRPr="002C2C75">
              <w:rPr>
                <w:b/>
                <w:bCs/>
                <w:color w:val="000000"/>
              </w:rPr>
              <w:t xml:space="preserve">RSSH: Community Systems Strengthening </w:t>
            </w:r>
          </w:p>
        </w:tc>
      </w:tr>
      <w:tr w:rsidR="00A05026" w:rsidRPr="002C2C75" w14:paraId="1113A644" w14:textId="77777777" w:rsidTr="00E74D8B">
        <w:trPr>
          <w:gridAfter w:val="1"/>
          <w:wAfter w:w="68" w:type="dxa"/>
          <w:cantSplit/>
        </w:trPr>
        <w:tc>
          <w:tcPr>
            <w:tcW w:w="2482" w:type="dxa"/>
          </w:tcPr>
          <w:p w14:paraId="71F49954" w14:textId="44787028" w:rsidR="00A05026" w:rsidRPr="000326D2" w:rsidRDefault="0026004E" w:rsidP="00021BDE">
            <w:pPr>
              <w:pBdr>
                <w:top w:val="nil"/>
                <w:left w:val="nil"/>
                <w:bottom w:val="nil"/>
                <w:right w:val="nil"/>
                <w:between w:val="nil"/>
              </w:pBdr>
              <w:spacing w:line="264" w:lineRule="auto"/>
              <w:rPr>
                <w:rFonts w:cstheme="minorHAnsi"/>
                <w:b/>
                <w:bCs/>
                <w:color w:val="000000"/>
              </w:rPr>
            </w:pPr>
            <w:r w:rsidRPr="000326D2">
              <w:rPr>
                <w:rFonts w:cstheme="minorHAnsi"/>
                <w:b/>
                <w:bCs/>
                <w:color w:val="000000"/>
              </w:rPr>
              <w:t xml:space="preserve">Intervention(s) </w:t>
            </w:r>
          </w:p>
        </w:tc>
        <w:tc>
          <w:tcPr>
            <w:tcW w:w="12723" w:type="dxa"/>
            <w:gridSpan w:val="2"/>
          </w:tcPr>
          <w:p w14:paraId="4FAB11A4" w14:textId="77777777" w:rsidR="00A05026" w:rsidRPr="002C2C75" w:rsidRDefault="00A05026" w:rsidP="00021BDE">
            <w:pPr>
              <w:rPr>
                <w:rFonts w:cstheme="minorHAnsi"/>
                <w:b/>
              </w:rPr>
            </w:pPr>
            <w:r w:rsidRPr="002C2C75">
              <w:rPr>
                <w:rFonts w:cstheme="minorHAnsi"/>
                <w:b/>
              </w:rPr>
              <w:t xml:space="preserve">Intervention: </w:t>
            </w:r>
            <w:r w:rsidRPr="00E51982">
              <w:rPr>
                <w:rFonts w:cstheme="minorHAnsi"/>
                <w:bCs/>
              </w:rPr>
              <w:t>Community-led Monitoring (CLM)</w:t>
            </w:r>
            <w:r w:rsidRPr="002C2C75">
              <w:rPr>
                <w:rFonts w:cstheme="minorHAnsi"/>
                <w:b/>
              </w:rPr>
              <w:t xml:space="preserve"> </w:t>
            </w:r>
          </w:p>
          <w:p w14:paraId="70D0B098" w14:textId="15ED6C14" w:rsidR="00A05026" w:rsidRPr="000326D2" w:rsidRDefault="00A05026" w:rsidP="000326D2">
            <w:pPr>
              <w:pBdr>
                <w:top w:val="nil"/>
                <w:left w:val="nil"/>
                <w:bottom w:val="nil"/>
                <w:right w:val="nil"/>
                <w:between w:val="nil"/>
              </w:pBdr>
              <w:spacing w:line="264" w:lineRule="auto"/>
              <w:rPr>
                <w:rFonts w:cstheme="minorHAnsi"/>
                <w:color w:val="000000"/>
              </w:rPr>
            </w:pPr>
            <w:r w:rsidRPr="002C2C75">
              <w:rPr>
                <w:rFonts w:cstheme="minorHAnsi"/>
                <w:color w:val="000000"/>
              </w:rPr>
              <w:t xml:space="preserve">Change in Programming from current grant: </w:t>
            </w:r>
            <w:sdt>
              <w:sdtPr>
                <w:rPr>
                  <w:rFonts w:cstheme="minorHAnsi"/>
                </w:rPr>
                <w:tag w:val="goog_rdk_96"/>
                <w:id w:val="-1641035119"/>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New, </w:t>
            </w:r>
            <w:sdt>
              <w:sdtPr>
                <w:rPr>
                  <w:rFonts w:cstheme="minorHAnsi"/>
                  <w:bCs/>
                  <w:color w:val="000000"/>
                </w:rPr>
                <w:tag w:val="goog_rdk_33"/>
                <w:id w:val="1344361046"/>
              </w:sdtPr>
              <w:sdtContent>
                <w:r w:rsidR="008B729A" w:rsidRPr="002C2C75">
                  <w:rPr>
                    <w:rFonts w:ascii="Segoe UI Symbol" w:hAnsi="Segoe UI Symbol" w:cs="Segoe UI Symbol"/>
                    <w:bCs/>
                    <w:color w:val="000000"/>
                  </w:rPr>
                  <w:t>☒</w:t>
                </w:r>
              </w:sdtContent>
            </w:sdt>
            <w:r w:rsidRPr="002C2C75">
              <w:rPr>
                <w:rFonts w:cstheme="minorHAnsi"/>
                <w:color w:val="000000"/>
              </w:rPr>
              <w:t xml:space="preserve"> Scale-up, </w:t>
            </w:r>
            <w:r w:rsidRPr="002C2C75">
              <w:rPr>
                <w:rFonts w:ascii="Segoe UI Symbol" w:eastAsia="Arial Unicode MS" w:hAnsi="Segoe UI Symbol" w:cs="Segoe UI Symbol"/>
                <w:color w:val="000000"/>
              </w:rPr>
              <w:t>☐</w:t>
            </w:r>
            <w:r w:rsidRPr="002C2C75">
              <w:rPr>
                <w:rFonts w:cstheme="minorHAnsi"/>
                <w:color w:val="000000"/>
              </w:rPr>
              <w:t xml:space="preserve"> Continuation, or </w:t>
            </w:r>
            <w:sdt>
              <w:sdtPr>
                <w:rPr>
                  <w:rFonts w:cstheme="minorHAnsi"/>
                </w:rPr>
                <w:tag w:val="goog_rdk_99"/>
                <w:id w:val="1331096544"/>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Scale-down </w:t>
            </w:r>
          </w:p>
        </w:tc>
      </w:tr>
      <w:tr w:rsidR="00A05026" w:rsidRPr="002C2C75" w14:paraId="2E20543C" w14:textId="77777777" w:rsidTr="00E74D8B">
        <w:trPr>
          <w:gridAfter w:val="1"/>
          <w:wAfter w:w="68" w:type="dxa"/>
          <w:cantSplit/>
        </w:trPr>
        <w:tc>
          <w:tcPr>
            <w:tcW w:w="2482" w:type="dxa"/>
          </w:tcPr>
          <w:p w14:paraId="39DE39AC" w14:textId="77777777" w:rsidR="00A05026" w:rsidRPr="000326D2" w:rsidRDefault="00A05026" w:rsidP="00021BDE">
            <w:pPr>
              <w:pBdr>
                <w:top w:val="nil"/>
                <w:left w:val="nil"/>
                <w:bottom w:val="nil"/>
                <w:right w:val="nil"/>
                <w:between w:val="nil"/>
              </w:pBdr>
              <w:rPr>
                <w:b/>
                <w:bCs/>
              </w:rPr>
            </w:pPr>
            <w:r w:rsidRPr="000326D2">
              <w:rPr>
                <w:b/>
                <w:bCs/>
              </w:rPr>
              <w:t>Population, geographies and/or barriers addressed</w:t>
            </w:r>
          </w:p>
        </w:tc>
        <w:tc>
          <w:tcPr>
            <w:tcW w:w="12723" w:type="dxa"/>
            <w:gridSpan w:val="2"/>
          </w:tcPr>
          <w:p w14:paraId="1A195F46" w14:textId="77777777" w:rsidR="00971088" w:rsidRDefault="00971088" w:rsidP="00971088">
            <w:r>
              <w:t>Service providers/decision-makers do not routinely include perspectives and experiences of clients to improve accessibility, acceptability, affordability, and quality (AAAQ) of services. Therefore, an independent, robust, and community-hosted, owned, and led CLM program is essential for providing sufficient, ongoing monitoring with a focus on poorly performing facilities and underserved populations such as KPs. This program must be hosted and coordinated by CSO, PLHIV, and KP communities themselves, with direct funding to them for this work to improve the quality and accessibility of services.</w:t>
            </w:r>
          </w:p>
          <w:p w14:paraId="5A68C5E3" w14:textId="77777777" w:rsidR="00971088" w:rsidRDefault="00971088" w:rsidP="00971088">
            <w:r>
              <w:t>There is low coverage of HIV, TB, malaria, GBV and other gender and human rights related issues that different community actors, particularly traditional medical practitioners are better suited to help address at the community level.</w:t>
            </w:r>
          </w:p>
          <w:p w14:paraId="087FE928" w14:textId="007C7DEB" w:rsidR="00A05026" w:rsidRPr="002C2C75" w:rsidRDefault="00971088" w:rsidP="00971088">
            <w:r>
              <w:t>Programming for key, and vulnerable populations is not reaching specific groups, or is under-performing because of persistent structural barriers that undermine their reach and impact.</w:t>
            </w:r>
          </w:p>
        </w:tc>
      </w:tr>
      <w:tr w:rsidR="00A05026" w:rsidRPr="002C2C75" w14:paraId="5047845E" w14:textId="77777777" w:rsidTr="00E74D8B">
        <w:trPr>
          <w:gridAfter w:val="1"/>
          <w:wAfter w:w="68" w:type="dxa"/>
          <w:cantSplit/>
        </w:trPr>
        <w:tc>
          <w:tcPr>
            <w:tcW w:w="2482" w:type="dxa"/>
          </w:tcPr>
          <w:p w14:paraId="05751905" w14:textId="61D6AA43" w:rsidR="00A05026" w:rsidRPr="000326D2" w:rsidRDefault="000326D2" w:rsidP="00A05026">
            <w:pPr>
              <w:pBdr>
                <w:top w:val="nil"/>
                <w:left w:val="nil"/>
                <w:bottom w:val="nil"/>
                <w:right w:val="nil"/>
                <w:between w:val="nil"/>
              </w:pBdr>
              <w:spacing w:line="264" w:lineRule="auto"/>
              <w:rPr>
                <w:b/>
                <w:bCs/>
                <w:color w:val="000000"/>
              </w:rPr>
            </w:pPr>
            <w:r>
              <w:rPr>
                <w:b/>
                <w:bCs/>
                <w:color w:val="000000"/>
              </w:rPr>
              <w:t>List of activities</w:t>
            </w:r>
          </w:p>
        </w:tc>
        <w:tc>
          <w:tcPr>
            <w:tcW w:w="12723" w:type="dxa"/>
            <w:gridSpan w:val="2"/>
          </w:tcPr>
          <w:p w14:paraId="11556AF8" w14:textId="77777777" w:rsidR="00971088" w:rsidRPr="00971088" w:rsidRDefault="00971088" w:rsidP="00971088">
            <w:pPr>
              <w:numPr>
                <w:ilvl w:val="0"/>
                <w:numId w:val="69"/>
              </w:numPr>
              <w:pBdr>
                <w:top w:val="nil"/>
                <w:left w:val="nil"/>
                <w:bottom w:val="nil"/>
                <w:right w:val="nil"/>
                <w:between w:val="nil"/>
              </w:pBdr>
              <w:spacing w:after="0"/>
              <w:rPr>
                <w:color w:val="000000"/>
              </w:rPr>
            </w:pPr>
            <w:r w:rsidRPr="00971088">
              <w:rPr>
                <w:color w:val="000000"/>
              </w:rPr>
              <w:t xml:space="preserve">Improve and harmonize the current CLM guide considering the current implementation experience and from other different CLM experiences in the country. The guide will cover CLM activities at the health facilities and community level implementation guide and ensure that all intervenients use the same approach for CLM. </w:t>
            </w:r>
          </w:p>
          <w:p w14:paraId="14F57860" w14:textId="77777777" w:rsidR="00971088" w:rsidRPr="00971088" w:rsidRDefault="00971088" w:rsidP="00971088">
            <w:pPr>
              <w:numPr>
                <w:ilvl w:val="0"/>
                <w:numId w:val="69"/>
              </w:numPr>
              <w:pBdr>
                <w:top w:val="nil"/>
                <w:left w:val="nil"/>
                <w:bottom w:val="nil"/>
                <w:right w:val="nil"/>
                <w:between w:val="nil"/>
              </w:pBdr>
              <w:spacing w:after="0"/>
              <w:rPr>
                <w:color w:val="000000"/>
              </w:rPr>
            </w:pPr>
            <w:r w:rsidRPr="00971088">
              <w:rPr>
                <w:color w:val="000000"/>
              </w:rPr>
              <w:t>Create tools for monitoring the implementation of CLM at the health facilities and community level</w:t>
            </w:r>
          </w:p>
          <w:p w14:paraId="2817AAE8" w14:textId="77777777" w:rsidR="00971088" w:rsidRPr="00971088" w:rsidRDefault="00971088" w:rsidP="00971088">
            <w:pPr>
              <w:numPr>
                <w:ilvl w:val="0"/>
                <w:numId w:val="69"/>
              </w:numPr>
              <w:pBdr>
                <w:top w:val="nil"/>
                <w:left w:val="nil"/>
                <w:bottom w:val="nil"/>
                <w:right w:val="nil"/>
                <w:between w:val="nil"/>
              </w:pBdr>
              <w:spacing w:after="0"/>
              <w:rPr>
                <w:color w:val="000000"/>
              </w:rPr>
            </w:pPr>
            <w:r w:rsidRPr="00971088">
              <w:rPr>
                <w:color w:val="000000"/>
              </w:rPr>
              <w:t xml:space="preserve">Develop a standard package for the training of CLM trainers to empower CBOs on the implementation of CLM at community level </w:t>
            </w:r>
          </w:p>
          <w:p w14:paraId="2F044A51" w14:textId="77777777" w:rsidR="00971088" w:rsidRPr="00971088" w:rsidRDefault="00971088" w:rsidP="00971088">
            <w:pPr>
              <w:numPr>
                <w:ilvl w:val="0"/>
                <w:numId w:val="69"/>
              </w:numPr>
              <w:pBdr>
                <w:top w:val="nil"/>
                <w:left w:val="nil"/>
                <w:bottom w:val="nil"/>
                <w:right w:val="nil"/>
                <w:between w:val="nil"/>
              </w:pBdr>
              <w:spacing w:after="0"/>
              <w:rPr>
                <w:color w:val="000000"/>
              </w:rPr>
            </w:pPr>
            <w:r w:rsidRPr="00971088">
              <w:rPr>
                <w:color w:val="000000"/>
              </w:rPr>
              <w:t>Train CSOs in CLM</w:t>
            </w:r>
          </w:p>
          <w:p w14:paraId="52A3DC91" w14:textId="77777777" w:rsidR="00971088" w:rsidRPr="00971088" w:rsidRDefault="00971088" w:rsidP="00971088">
            <w:pPr>
              <w:numPr>
                <w:ilvl w:val="0"/>
                <w:numId w:val="69"/>
              </w:numPr>
              <w:pBdr>
                <w:top w:val="nil"/>
                <w:left w:val="nil"/>
                <w:bottom w:val="nil"/>
                <w:right w:val="nil"/>
                <w:between w:val="nil"/>
              </w:pBdr>
              <w:spacing w:after="0"/>
              <w:rPr>
                <w:color w:val="000000"/>
              </w:rPr>
            </w:pPr>
            <w:r w:rsidRPr="00971088">
              <w:rPr>
                <w:color w:val="000000"/>
              </w:rPr>
              <w:t xml:space="preserve">Expand MLC to more primary level health facilities including MLC to the community level activities such as functioning of community health committees and monitoring of HTM. </w:t>
            </w:r>
          </w:p>
          <w:p w14:paraId="73518A07" w14:textId="77777777" w:rsidR="00971088" w:rsidRPr="00971088" w:rsidRDefault="00971088" w:rsidP="00971088">
            <w:pPr>
              <w:numPr>
                <w:ilvl w:val="0"/>
                <w:numId w:val="69"/>
              </w:numPr>
              <w:pBdr>
                <w:top w:val="nil"/>
                <w:left w:val="nil"/>
                <w:bottom w:val="nil"/>
                <w:right w:val="nil"/>
                <w:between w:val="nil"/>
              </w:pBdr>
              <w:spacing w:after="0"/>
              <w:rPr>
                <w:color w:val="000000"/>
              </w:rPr>
            </w:pPr>
            <w:r w:rsidRPr="00971088">
              <w:rPr>
                <w:color w:val="000000"/>
              </w:rPr>
              <w:t>Monitor the changes agreed between the Government of Mozambique (GM) and CSOs</w:t>
            </w:r>
          </w:p>
          <w:p w14:paraId="1A292934" w14:textId="77777777" w:rsidR="00971088" w:rsidRPr="00971088" w:rsidRDefault="00971088" w:rsidP="00971088">
            <w:pPr>
              <w:numPr>
                <w:ilvl w:val="0"/>
                <w:numId w:val="69"/>
              </w:numPr>
              <w:pBdr>
                <w:top w:val="nil"/>
                <w:left w:val="nil"/>
                <w:bottom w:val="nil"/>
                <w:right w:val="nil"/>
                <w:between w:val="nil"/>
              </w:pBdr>
              <w:spacing w:after="0"/>
              <w:rPr>
                <w:color w:val="000000"/>
              </w:rPr>
            </w:pPr>
            <w:r w:rsidRPr="00971088">
              <w:rPr>
                <w:color w:val="000000"/>
              </w:rPr>
              <w:t>Hire technical assistance to strengthen PLASOC-M's capacity to perform MLC</w:t>
            </w:r>
          </w:p>
          <w:p w14:paraId="381E70B4" w14:textId="77777777" w:rsidR="00971088" w:rsidRPr="00971088" w:rsidRDefault="00971088" w:rsidP="00971088">
            <w:pPr>
              <w:numPr>
                <w:ilvl w:val="0"/>
                <w:numId w:val="69"/>
              </w:numPr>
              <w:pBdr>
                <w:top w:val="nil"/>
                <w:left w:val="nil"/>
                <w:bottom w:val="nil"/>
                <w:right w:val="nil"/>
                <w:between w:val="nil"/>
              </w:pBdr>
              <w:spacing w:after="0"/>
              <w:rPr>
                <w:color w:val="000000"/>
              </w:rPr>
            </w:pPr>
            <w:r w:rsidRPr="00971088">
              <w:rPr>
                <w:color w:val="000000"/>
              </w:rPr>
              <w:t>Map population groups that are not covered by the CLM program focusing on the introduction of new indicators that will capture  populations affected by TB Malaria and AGYW</w:t>
            </w:r>
          </w:p>
          <w:p w14:paraId="784D807F" w14:textId="02D687CE" w:rsidR="00A05026" w:rsidRPr="000326D2" w:rsidRDefault="00971088" w:rsidP="00971088">
            <w:pPr>
              <w:numPr>
                <w:ilvl w:val="0"/>
                <w:numId w:val="69"/>
              </w:numPr>
              <w:pBdr>
                <w:top w:val="nil"/>
                <w:left w:val="nil"/>
                <w:bottom w:val="nil"/>
                <w:right w:val="nil"/>
                <w:between w:val="nil"/>
              </w:pBdr>
              <w:spacing w:after="0"/>
              <w:rPr>
                <w:color w:val="000000"/>
              </w:rPr>
            </w:pPr>
            <w:r w:rsidRPr="00971088">
              <w:rPr>
                <w:color w:val="000000"/>
              </w:rPr>
              <w:t>Monitor the performance and functioning of existing community health committees</w:t>
            </w:r>
          </w:p>
        </w:tc>
      </w:tr>
      <w:tr w:rsidR="00A05026" w:rsidRPr="002C2C75" w14:paraId="2387C71A" w14:textId="77777777" w:rsidTr="00E74D8B">
        <w:trPr>
          <w:gridAfter w:val="1"/>
          <w:wAfter w:w="68" w:type="dxa"/>
          <w:cantSplit/>
        </w:trPr>
        <w:tc>
          <w:tcPr>
            <w:tcW w:w="2482" w:type="dxa"/>
          </w:tcPr>
          <w:p w14:paraId="3C1D7067" w14:textId="77777777" w:rsidR="00A05026" w:rsidRPr="000326D2" w:rsidRDefault="00A05026" w:rsidP="00A05026">
            <w:pPr>
              <w:pBdr>
                <w:top w:val="nil"/>
                <w:left w:val="nil"/>
                <w:bottom w:val="nil"/>
                <w:right w:val="nil"/>
                <w:between w:val="nil"/>
              </w:pBdr>
              <w:spacing w:line="264" w:lineRule="auto"/>
              <w:rPr>
                <w:b/>
                <w:bCs/>
                <w:color w:val="000000"/>
              </w:rPr>
            </w:pPr>
            <w:r w:rsidRPr="000326D2">
              <w:rPr>
                <w:b/>
                <w:bCs/>
                <w:color w:val="000000"/>
              </w:rPr>
              <w:t>Amount requested</w:t>
            </w:r>
          </w:p>
        </w:tc>
        <w:tc>
          <w:tcPr>
            <w:tcW w:w="12723" w:type="dxa"/>
            <w:gridSpan w:val="2"/>
          </w:tcPr>
          <w:p w14:paraId="3D48D5CF" w14:textId="77777777" w:rsidR="00A05026" w:rsidRDefault="006B3104" w:rsidP="00A05026">
            <w:pPr>
              <w:pBdr>
                <w:top w:val="nil"/>
                <w:left w:val="nil"/>
                <w:bottom w:val="nil"/>
                <w:right w:val="nil"/>
                <w:between w:val="nil"/>
              </w:pBdr>
              <w:spacing w:line="264" w:lineRule="auto"/>
              <w:rPr>
                <w:b/>
                <w:color w:val="000000"/>
              </w:rPr>
            </w:pPr>
            <w:r w:rsidRPr="002C2C75">
              <w:rPr>
                <w:b/>
                <w:color w:val="000000"/>
              </w:rPr>
              <w:t xml:space="preserve">Within allocation: </w:t>
            </w:r>
            <w:r w:rsidR="00A05026" w:rsidRPr="002C2C75">
              <w:rPr>
                <w:b/>
                <w:color w:val="000000"/>
              </w:rPr>
              <w:t>$3,157,61</w:t>
            </w:r>
            <w:r w:rsidRPr="002C2C75">
              <w:rPr>
                <w:b/>
                <w:color w:val="000000"/>
              </w:rPr>
              <w:t>1</w:t>
            </w:r>
          </w:p>
          <w:p w14:paraId="506DE8C6" w14:textId="0AE8E354" w:rsidR="001059BC" w:rsidRPr="001059BC" w:rsidRDefault="001059BC" w:rsidP="00A05026">
            <w:pPr>
              <w:pBdr>
                <w:top w:val="nil"/>
                <w:left w:val="nil"/>
                <w:bottom w:val="nil"/>
                <w:right w:val="nil"/>
                <w:between w:val="nil"/>
              </w:pBdr>
              <w:spacing w:line="264" w:lineRule="auto"/>
              <w:rPr>
                <w:b/>
                <w:color w:val="000000"/>
              </w:rPr>
            </w:pPr>
            <w:r>
              <w:rPr>
                <w:b/>
                <w:color w:val="000000"/>
              </w:rPr>
              <w:t>PAAR: $235,199</w:t>
            </w:r>
          </w:p>
        </w:tc>
      </w:tr>
      <w:tr w:rsidR="000326D2" w:rsidRPr="002C2C75" w14:paraId="09B346E5" w14:textId="77777777" w:rsidTr="00E74D8B">
        <w:trPr>
          <w:gridAfter w:val="1"/>
          <w:wAfter w:w="68" w:type="dxa"/>
          <w:cantSplit/>
        </w:trPr>
        <w:tc>
          <w:tcPr>
            <w:tcW w:w="2482" w:type="dxa"/>
          </w:tcPr>
          <w:p w14:paraId="4BB7ED1C" w14:textId="14E01B19" w:rsidR="000326D2" w:rsidRPr="000326D2" w:rsidRDefault="000326D2" w:rsidP="000326D2">
            <w:pPr>
              <w:pBdr>
                <w:top w:val="nil"/>
                <w:left w:val="nil"/>
                <w:bottom w:val="nil"/>
                <w:right w:val="nil"/>
                <w:between w:val="nil"/>
              </w:pBdr>
              <w:spacing w:line="264" w:lineRule="auto"/>
              <w:rPr>
                <w:b/>
                <w:bCs/>
                <w:color w:val="000000"/>
              </w:rPr>
            </w:pPr>
            <w:r w:rsidRPr="000326D2">
              <w:rPr>
                <w:b/>
                <w:bCs/>
                <w:color w:val="000000"/>
              </w:rPr>
              <w:t>Expected outcome</w:t>
            </w:r>
          </w:p>
        </w:tc>
        <w:tc>
          <w:tcPr>
            <w:tcW w:w="12723" w:type="dxa"/>
            <w:gridSpan w:val="2"/>
          </w:tcPr>
          <w:p w14:paraId="6A102DA0" w14:textId="747C412E" w:rsidR="000326D2" w:rsidRPr="002C2C75" w:rsidRDefault="000326D2" w:rsidP="000326D2">
            <w:pPr>
              <w:pBdr>
                <w:top w:val="nil"/>
                <w:left w:val="nil"/>
                <w:bottom w:val="nil"/>
                <w:right w:val="nil"/>
                <w:between w:val="nil"/>
              </w:pBdr>
              <w:spacing w:line="264" w:lineRule="auto"/>
              <w:rPr>
                <w:b/>
                <w:color w:val="000000"/>
              </w:rPr>
            </w:pPr>
            <w:r w:rsidRPr="002C2C75">
              <w:t>CLM activities will improve accessibility and quality of health services by generating community evidence in service community-led advocacy efforts to resolve chronic problems uncovered through monitoring.</w:t>
            </w:r>
          </w:p>
        </w:tc>
      </w:tr>
      <w:tr w:rsidR="000326D2" w:rsidRPr="002C2C75" w14:paraId="03A0BB6A" w14:textId="77777777" w:rsidTr="00E74D8B">
        <w:trPr>
          <w:gridAfter w:val="1"/>
          <w:wAfter w:w="68" w:type="dxa"/>
          <w:cantSplit/>
        </w:trPr>
        <w:tc>
          <w:tcPr>
            <w:tcW w:w="2482" w:type="dxa"/>
          </w:tcPr>
          <w:p w14:paraId="0B32AFB1" w14:textId="48C47285" w:rsidR="000326D2" w:rsidRPr="009F575D" w:rsidRDefault="000326D2" w:rsidP="000326D2">
            <w:pPr>
              <w:pBdr>
                <w:top w:val="nil"/>
                <w:left w:val="nil"/>
                <w:bottom w:val="nil"/>
                <w:right w:val="nil"/>
                <w:between w:val="nil"/>
              </w:pBdr>
              <w:spacing w:line="264" w:lineRule="auto"/>
              <w:rPr>
                <w:b/>
                <w:bCs/>
                <w:color w:val="000000"/>
                <w:sz w:val="24"/>
                <w:szCs w:val="24"/>
              </w:rPr>
            </w:pPr>
            <w:r w:rsidRPr="009F575D">
              <w:rPr>
                <w:rFonts w:cstheme="minorHAnsi"/>
                <w:b/>
                <w:bCs/>
                <w:color w:val="000000"/>
              </w:rPr>
              <w:t xml:space="preserve">Intervention(s) </w:t>
            </w:r>
          </w:p>
        </w:tc>
        <w:tc>
          <w:tcPr>
            <w:tcW w:w="12723" w:type="dxa"/>
            <w:gridSpan w:val="2"/>
          </w:tcPr>
          <w:p w14:paraId="328ADDB6" w14:textId="347EB86E" w:rsidR="000326D2" w:rsidRPr="002C2C75" w:rsidRDefault="00E51982" w:rsidP="000326D2">
            <w:pPr>
              <w:rPr>
                <w:b/>
              </w:rPr>
            </w:pPr>
            <w:r>
              <w:rPr>
                <w:b/>
              </w:rPr>
              <w:t xml:space="preserve">Intervention: </w:t>
            </w:r>
            <w:r w:rsidR="000326D2" w:rsidRPr="00E51982">
              <w:rPr>
                <w:bCs/>
              </w:rPr>
              <w:t>Community-led Research and Advocacy</w:t>
            </w:r>
          </w:p>
          <w:p w14:paraId="146862BD" w14:textId="0FD7E8F6" w:rsidR="000326D2" w:rsidRPr="002C2C75" w:rsidRDefault="000326D2" w:rsidP="009F575D">
            <w:pPr>
              <w:pBdr>
                <w:top w:val="nil"/>
                <w:left w:val="nil"/>
                <w:bottom w:val="nil"/>
                <w:right w:val="nil"/>
                <w:between w:val="nil"/>
              </w:pBdr>
              <w:spacing w:line="264" w:lineRule="auto"/>
              <w:rPr>
                <w:color w:val="000000"/>
              </w:rPr>
            </w:pPr>
            <w:r w:rsidRPr="002C2C75">
              <w:rPr>
                <w:color w:val="000000"/>
              </w:rPr>
              <w:t xml:space="preserve">Change in Programming from current grant: </w:t>
            </w:r>
            <w:sdt>
              <w:sdtPr>
                <w:rPr>
                  <w:rFonts w:cstheme="minorHAnsi"/>
                  <w:bCs/>
                  <w:color w:val="000000"/>
                </w:rPr>
                <w:tag w:val="goog_rdk_33"/>
                <w:id w:val="-414085858"/>
              </w:sdtPr>
              <w:sdtContent>
                <w:r w:rsidR="00E51982" w:rsidRPr="002C2C75">
                  <w:rPr>
                    <w:rFonts w:ascii="Segoe UI Symbol" w:hAnsi="Segoe UI Symbol" w:cs="Segoe UI Symbol"/>
                    <w:bCs/>
                    <w:color w:val="000000"/>
                  </w:rPr>
                  <w:t>☒</w:t>
                </w:r>
              </w:sdtContent>
            </w:sdt>
            <w:r w:rsidRPr="002C2C75">
              <w:rPr>
                <w:color w:val="000000"/>
              </w:rPr>
              <w:t xml:space="preserve"> New, </w:t>
            </w:r>
            <w:r w:rsidRPr="002C2C75">
              <w:rPr>
                <w:rFonts w:ascii="Arial Unicode MS" w:eastAsia="Arial Unicode MS" w:hAnsi="Arial Unicode MS" w:cs="Arial Unicode MS"/>
                <w:color w:val="000000"/>
              </w:rPr>
              <w:t>☐</w:t>
            </w:r>
            <w:r w:rsidRPr="002C2C75">
              <w:rPr>
                <w:color w:val="000000"/>
              </w:rPr>
              <w:t xml:space="preserve"> Scale-up, </w:t>
            </w:r>
            <w:sdt>
              <w:sdtPr>
                <w:tag w:val="goog_rdk_103"/>
                <w:id w:val="-133575428"/>
              </w:sdtPr>
              <w:sdtContent>
                <w:r w:rsidRPr="002C2C75">
                  <w:rPr>
                    <w:rFonts w:ascii="Arial Unicode MS" w:eastAsia="Arial Unicode MS" w:hAnsi="Arial Unicode MS" w:cs="Arial Unicode MS"/>
                    <w:color w:val="000000"/>
                  </w:rPr>
                  <w:t>☐</w:t>
                </w:r>
              </w:sdtContent>
            </w:sdt>
            <w:r w:rsidRPr="002C2C75">
              <w:rPr>
                <w:color w:val="000000"/>
              </w:rPr>
              <w:t xml:space="preserve"> Continuation, or </w:t>
            </w:r>
            <w:r w:rsidRPr="002C2C75">
              <w:rPr>
                <w:rFonts w:ascii="Arial Unicode MS" w:eastAsia="Arial Unicode MS" w:hAnsi="Arial Unicode MS" w:cs="Arial Unicode MS"/>
                <w:color w:val="000000"/>
              </w:rPr>
              <w:t>☐</w:t>
            </w:r>
            <w:r w:rsidRPr="002C2C75">
              <w:rPr>
                <w:color w:val="000000"/>
              </w:rPr>
              <w:t xml:space="preserve"> Scale-down</w:t>
            </w:r>
          </w:p>
        </w:tc>
      </w:tr>
      <w:tr w:rsidR="000326D2" w:rsidRPr="002C2C75" w14:paraId="36C6BE17" w14:textId="77777777" w:rsidTr="00E74D8B">
        <w:trPr>
          <w:gridAfter w:val="1"/>
          <w:wAfter w:w="68" w:type="dxa"/>
          <w:cantSplit/>
        </w:trPr>
        <w:tc>
          <w:tcPr>
            <w:tcW w:w="2482" w:type="dxa"/>
          </w:tcPr>
          <w:p w14:paraId="48428150" w14:textId="77777777" w:rsidR="000326D2" w:rsidRPr="009F575D" w:rsidRDefault="000326D2" w:rsidP="000326D2">
            <w:pPr>
              <w:pBdr>
                <w:top w:val="nil"/>
                <w:left w:val="nil"/>
                <w:bottom w:val="nil"/>
                <w:right w:val="nil"/>
                <w:between w:val="nil"/>
              </w:pBdr>
              <w:spacing w:line="264" w:lineRule="auto"/>
              <w:rPr>
                <w:b/>
                <w:bCs/>
                <w:color w:val="000000"/>
                <w:sz w:val="24"/>
                <w:szCs w:val="24"/>
              </w:rPr>
            </w:pPr>
            <w:r w:rsidRPr="009F575D">
              <w:rPr>
                <w:b/>
                <w:bCs/>
                <w:color w:val="000000"/>
              </w:rPr>
              <w:t>Population, geographies and/or barriers addressed</w:t>
            </w:r>
          </w:p>
        </w:tc>
        <w:tc>
          <w:tcPr>
            <w:tcW w:w="12723" w:type="dxa"/>
            <w:gridSpan w:val="2"/>
          </w:tcPr>
          <w:p w14:paraId="3A67AF8E" w14:textId="77777777" w:rsidR="000326D2" w:rsidRPr="002C2C75" w:rsidRDefault="000326D2" w:rsidP="000326D2">
            <w:r w:rsidRPr="002C2C75">
              <w:t>Programming for key, and vulnerable populations is not reaching specific groups, or is under-performing because of persistent structural barriers that undermine their reach and impact.</w:t>
            </w:r>
          </w:p>
        </w:tc>
      </w:tr>
      <w:tr w:rsidR="000326D2" w:rsidRPr="002C2C75" w14:paraId="6C2AE3EA" w14:textId="77777777" w:rsidTr="00E74D8B">
        <w:trPr>
          <w:gridAfter w:val="1"/>
          <w:wAfter w:w="68" w:type="dxa"/>
          <w:cantSplit/>
        </w:trPr>
        <w:tc>
          <w:tcPr>
            <w:tcW w:w="2482" w:type="dxa"/>
          </w:tcPr>
          <w:p w14:paraId="01775A97" w14:textId="69D8B72B" w:rsidR="000326D2" w:rsidRPr="009F575D" w:rsidRDefault="009F575D" w:rsidP="000326D2">
            <w:pPr>
              <w:pBdr>
                <w:top w:val="nil"/>
                <w:left w:val="nil"/>
                <w:bottom w:val="nil"/>
                <w:right w:val="nil"/>
                <w:between w:val="nil"/>
              </w:pBdr>
              <w:spacing w:line="264" w:lineRule="auto"/>
              <w:rPr>
                <w:b/>
                <w:bCs/>
                <w:color w:val="000000"/>
              </w:rPr>
            </w:pPr>
            <w:r>
              <w:rPr>
                <w:b/>
                <w:bCs/>
                <w:color w:val="000000"/>
              </w:rPr>
              <w:t>List of activities</w:t>
            </w:r>
          </w:p>
        </w:tc>
        <w:tc>
          <w:tcPr>
            <w:tcW w:w="12723" w:type="dxa"/>
            <w:gridSpan w:val="2"/>
          </w:tcPr>
          <w:p w14:paraId="0AC22B96" w14:textId="77777777" w:rsidR="00971088" w:rsidRPr="00971088" w:rsidRDefault="00971088" w:rsidP="00971088">
            <w:pPr>
              <w:numPr>
                <w:ilvl w:val="0"/>
                <w:numId w:val="85"/>
              </w:numPr>
              <w:pBdr>
                <w:top w:val="nil"/>
                <w:left w:val="nil"/>
                <w:bottom w:val="nil"/>
                <w:right w:val="nil"/>
                <w:between w:val="nil"/>
              </w:pBdr>
              <w:spacing w:after="0"/>
              <w:rPr>
                <w:color w:val="000000"/>
              </w:rPr>
            </w:pPr>
            <w:r w:rsidRPr="00971088">
              <w:rPr>
                <w:color w:val="000000"/>
              </w:rPr>
              <w:t>Conduct MLC operational research while the monitoring is being implemented to learn from the daily implementation. This will be used to inform the harmonization of the MLC guide</w:t>
            </w:r>
          </w:p>
          <w:p w14:paraId="560ED37C" w14:textId="77777777" w:rsidR="00971088" w:rsidRPr="00971088" w:rsidRDefault="00971088" w:rsidP="00971088">
            <w:pPr>
              <w:numPr>
                <w:ilvl w:val="0"/>
                <w:numId w:val="85"/>
              </w:numPr>
              <w:pBdr>
                <w:top w:val="nil"/>
                <w:left w:val="nil"/>
                <w:bottom w:val="nil"/>
                <w:right w:val="nil"/>
                <w:between w:val="nil"/>
              </w:pBdr>
              <w:spacing w:after="0"/>
              <w:rPr>
                <w:color w:val="000000"/>
              </w:rPr>
            </w:pPr>
            <w:r w:rsidRPr="00971088">
              <w:rPr>
                <w:color w:val="000000"/>
              </w:rPr>
              <w:t>Publish MLC research results including feedback to the communities covered by this activity</w:t>
            </w:r>
          </w:p>
          <w:p w14:paraId="11D42C84" w14:textId="77777777" w:rsidR="00971088" w:rsidRPr="00971088" w:rsidRDefault="00971088" w:rsidP="00971088">
            <w:pPr>
              <w:numPr>
                <w:ilvl w:val="0"/>
                <w:numId w:val="85"/>
              </w:numPr>
              <w:pBdr>
                <w:top w:val="nil"/>
                <w:left w:val="nil"/>
                <w:bottom w:val="nil"/>
                <w:right w:val="nil"/>
                <w:between w:val="nil"/>
              </w:pBdr>
              <w:spacing w:after="0"/>
              <w:rPr>
                <w:color w:val="000000"/>
              </w:rPr>
            </w:pPr>
            <w:r w:rsidRPr="00971088">
              <w:rPr>
                <w:color w:val="000000"/>
              </w:rPr>
              <w:t>Identify barriers to evidence generation at the community and health facility levels</w:t>
            </w:r>
          </w:p>
          <w:p w14:paraId="13BC9015" w14:textId="77777777" w:rsidR="00971088" w:rsidRPr="00971088" w:rsidRDefault="00971088" w:rsidP="00971088">
            <w:pPr>
              <w:numPr>
                <w:ilvl w:val="0"/>
                <w:numId w:val="85"/>
              </w:numPr>
              <w:pBdr>
                <w:top w:val="nil"/>
                <w:left w:val="nil"/>
                <w:bottom w:val="nil"/>
                <w:right w:val="nil"/>
                <w:between w:val="nil"/>
              </w:pBdr>
              <w:spacing w:after="0"/>
              <w:rPr>
                <w:color w:val="000000"/>
              </w:rPr>
            </w:pPr>
            <w:r w:rsidRPr="00971088">
              <w:rPr>
                <w:color w:val="000000"/>
              </w:rPr>
              <w:t>Based on the results from the MLC advocacy strategy will be implemented through policy briefs, and other tools to improve the quality of health and social services, especially for people with HIV-TB co-infection, key populations, and vulnerable social groups</w:t>
            </w:r>
          </w:p>
          <w:p w14:paraId="43F03E16" w14:textId="77777777" w:rsidR="00971088" w:rsidRPr="00971088" w:rsidRDefault="00971088" w:rsidP="00971088">
            <w:pPr>
              <w:numPr>
                <w:ilvl w:val="0"/>
                <w:numId w:val="85"/>
              </w:numPr>
              <w:pBdr>
                <w:top w:val="nil"/>
                <w:left w:val="nil"/>
                <w:bottom w:val="nil"/>
                <w:right w:val="nil"/>
                <w:between w:val="nil"/>
              </w:pBdr>
              <w:spacing w:after="0"/>
              <w:rPr>
                <w:color w:val="000000"/>
              </w:rPr>
            </w:pPr>
            <w:r w:rsidRPr="00971088">
              <w:rPr>
                <w:color w:val="000000"/>
              </w:rPr>
              <w:t>Map the needs of CSOs, who are they, where are located, the organizational capacity and assess the need of support for their operations, legalization, and capacity building</w:t>
            </w:r>
          </w:p>
          <w:p w14:paraId="728A9E44" w14:textId="77777777" w:rsidR="00971088" w:rsidRPr="00971088" w:rsidRDefault="00971088" w:rsidP="00971088">
            <w:pPr>
              <w:numPr>
                <w:ilvl w:val="0"/>
                <w:numId w:val="85"/>
              </w:numPr>
              <w:pBdr>
                <w:top w:val="nil"/>
                <w:left w:val="nil"/>
                <w:bottom w:val="nil"/>
                <w:right w:val="nil"/>
                <w:between w:val="nil"/>
              </w:pBdr>
              <w:spacing w:after="0"/>
              <w:rPr>
                <w:color w:val="000000"/>
              </w:rPr>
            </w:pPr>
            <w:r w:rsidRPr="00971088">
              <w:rPr>
                <w:color w:val="000000"/>
              </w:rPr>
              <w:t>Advocacy for the availability of harm reduction inputs (paraphernalia) in places of affluence of people who inject drugs</w:t>
            </w:r>
          </w:p>
          <w:p w14:paraId="4AE69375" w14:textId="77777777" w:rsidR="00971088" w:rsidRPr="00971088" w:rsidRDefault="00971088" w:rsidP="00971088">
            <w:pPr>
              <w:numPr>
                <w:ilvl w:val="0"/>
                <w:numId w:val="85"/>
              </w:numPr>
              <w:pBdr>
                <w:top w:val="nil"/>
                <w:left w:val="nil"/>
                <w:bottom w:val="nil"/>
                <w:right w:val="nil"/>
                <w:between w:val="nil"/>
              </w:pBdr>
              <w:spacing w:after="0"/>
              <w:rPr>
                <w:color w:val="000000"/>
              </w:rPr>
            </w:pPr>
            <w:r w:rsidRPr="00971088">
              <w:rPr>
                <w:color w:val="000000"/>
              </w:rPr>
              <w:t xml:space="preserve">Advocacy for revision of the national guideline of HIV and AIDS Prevention, Care and Treatment Services to include the specific recommendations for provision of services to Key Population </w:t>
            </w:r>
          </w:p>
          <w:p w14:paraId="0AB3D9FB" w14:textId="77777777" w:rsidR="00971088" w:rsidRPr="00971088" w:rsidRDefault="00971088" w:rsidP="00971088">
            <w:pPr>
              <w:numPr>
                <w:ilvl w:val="0"/>
                <w:numId w:val="85"/>
              </w:numPr>
              <w:pBdr>
                <w:top w:val="nil"/>
                <w:left w:val="nil"/>
                <w:bottom w:val="nil"/>
                <w:right w:val="nil"/>
                <w:between w:val="nil"/>
              </w:pBdr>
              <w:spacing w:after="0"/>
              <w:rPr>
                <w:color w:val="000000"/>
              </w:rPr>
            </w:pPr>
            <w:r w:rsidRPr="00971088">
              <w:rPr>
                <w:color w:val="000000"/>
              </w:rPr>
              <w:t>Advocate with the Government of Mozambique for the availability of supplies for the prevention of HIV, TB and other respiratory infections (condoms, lubricant gel, PrEP, masks, alcohol gel, and others), in prisons</w:t>
            </w:r>
          </w:p>
          <w:p w14:paraId="30BE29EE" w14:textId="77777777" w:rsidR="00971088" w:rsidRPr="00971088" w:rsidRDefault="00971088" w:rsidP="00971088">
            <w:pPr>
              <w:numPr>
                <w:ilvl w:val="0"/>
                <w:numId w:val="85"/>
              </w:numPr>
              <w:pBdr>
                <w:top w:val="nil"/>
                <w:left w:val="nil"/>
                <w:bottom w:val="nil"/>
                <w:right w:val="nil"/>
                <w:between w:val="nil"/>
              </w:pBdr>
              <w:spacing w:after="0"/>
              <w:rPr>
                <w:color w:val="000000"/>
              </w:rPr>
            </w:pPr>
            <w:r w:rsidRPr="00971088">
              <w:rPr>
                <w:color w:val="000000"/>
              </w:rPr>
              <w:t>Advocacy for the availability of pain relief supplies in the context of palliative care for patients with advanced disease</w:t>
            </w:r>
          </w:p>
          <w:p w14:paraId="0A5B6EB3" w14:textId="77777777" w:rsidR="00971088" w:rsidRPr="00971088" w:rsidRDefault="00971088" w:rsidP="00971088">
            <w:pPr>
              <w:numPr>
                <w:ilvl w:val="0"/>
                <w:numId w:val="85"/>
              </w:numPr>
              <w:pBdr>
                <w:top w:val="nil"/>
                <w:left w:val="nil"/>
                <w:bottom w:val="nil"/>
                <w:right w:val="nil"/>
                <w:between w:val="nil"/>
              </w:pBdr>
              <w:spacing w:after="0"/>
              <w:rPr>
                <w:color w:val="000000"/>
              </w:rPr>
            </w:pPr>
            <w:r w:rsidRPr="00971088">
              <w:rPr>
                <w:color w:val="000000"/>
              </w:rPr>
              <w:t>Advocate for the creation and expansion of functional units of pain in at least the main hospitals at province level.</w:t>
            </w:r>
          </w:p>
          <w:p w14:paraId="4EB761AC" w14:textId="07780DB5" w:rsidR="000326D2" w:rsidRPr="00971088" w:rsidRDefault="00971088" w:rsidP="00971088">
            <w:pPr>
              <w:numPr>
                <w:ilvl w:val="0"/>
                <w:numId w:val="85"/>
              </w:numPr>
              <w:pBdr>
                <w:top w:val="nil"/>
                <w:left w:val="nil"/>
                <w:bottom w:val="nil"/>
                <w:right w:val="nil"/>
                <w:between w:val="nil"/>
              </w:pBdr>
              <w:spacing w:after="0"/>
              <w:rPr>
                <w:color w:val="000000"/>
              </w:rPr>
            </w:pPr>
            <w:r w:rsidRPr="00971088">
              <w:rPr>
                <w:color w:val="000000"/>
              </w:rPr>
              <w:t>Advocate for the expansion of screening and treatment of viral hepatitis and expansion of 3HP and Vitamin B6 services in all health units</w:t>
            </w:r>
          </w:p>
        </w:tc>
      </w:tr>
      <w:tr w:rsidR="000326D2" w:rsidRPr="002C2C75" w14:paraId="6196B7CE" w14:textId="77777777" w:rsidTr="00E74D8B">
        <w:trPr>
          <w:gridAfter w:val="1"/>
          <w:wAfter w:w="68" w:type="dxa"/>
          <w:cantSplit/>
        </w:trPr>
        <w:tc>
          <w:tcPr>
            <w:tcW w:w="2482" w:type="dxa"/>
          </w:tcPr>
          <w:p w14:paraId="44767F72" w14:textId="77777777" w:rsidR="000326D2" w:rsidRPr="009F575D" w:rsidRDefault="000326D2" w:rsidP="000326D2">
            <w:pPr>
              <w:pBdr>
                <w:top w:val="nil"/>
                <w:left w:val="nil"/>
                <w:bottom w:val="nil"/>
                <w:right w:val="nil"/>
                <w:between w:val="nil"/>
              </w:pBdr>
              <w:spacing w:line="264" w:lineRule="auto"/>
              <w:rPr>
                <w:b/>
                <w:bCs/>
                <w:color w:val="000000"/>
              </w:rPr>
            </w:pPr>
            <w:r w:rsidRPr="009F575D">
              <w:rPr>
                <w:b/>
                <w:bCs/>
                <w:color w:val="000000"/>
              </w:rPr>
              <w:t>Amount requested</w:t>
            </w:r>
          </w:p>
        </w:tc>
        <w:tc>
          <w:tcPr>
            <w:tcW w:w="12723" w:type="dxa"/>
            <w:gridSpan w:val="2"/>
          </w:tcPr>
          <w:p w14:paraId="108A2EE2" w14:textId="77777777" w:rsidR="000326D2" w:rsidRDefault="000326D2" w:rsidP="000326D2">
            <w:pPr>
              <w:rPr>
                <w:b/>
              </w:rPr>
            </w:pPr>
            <w:r w:rsidRPr="002C2C75">
              <w:rPr>
                <w:b/>
              </w:rPr>
              <w:t>Within allocation: $1,958,855</w:t>
            </w:r>
          </w:p>
          <w:p w14:paraId="11040093" w14:textId="5CE05001" w:rsidR="000326D2" w:rsidRPr="002C2C75" w:rsidRDefault="000326D2" w:rsidP="000326D2">
            <w:pPr>
              <w:rPr>
                <w:b/>
              </w:rPr>
            </w:pPr>
            <w:r>
              <w:rPr>
                <w:b/>
              </w:rPr>
              <w:t>PAAR: $48,042</w:t>
            </w:r>
          </w:p>
        </w:tc>
      </w:tr>
      <w:tr w:rsidR="000326D2" w:rsidRPr="002C2C75" w14:paraId="0C58D1AF" w14:textId="77777777" w:rsidTr="00E74D8B">
        <w:trPr>
          <w:gridAfter w:val="1"/>
          <w:wAfter w:w="68" w:type="dxa"/>
          <w:cantSplit/>
        </w:trPr>
        <w:tc>
          <w:tcPr>
            <w:tcW w:w="2482" w:type="dxa"/>
          </w:tcPr>
          <w:p w14:paraId="6E1640B6" w14:textId="77777777" w:rsidR="000326D2" w:rsidRPr="009F575D" w:rsidRDefault="000326D2" w:rsidP="000326D2">
            <w:pPr>
              <w:pBdr>
                <w:top w:val="nil"/>
                <w:left w:val="nil"/>
                <w:bottom w:val="nil"/>
                <w:right w:val="nil"/>
                <w:between w:val="nil"/>
              </w:pBdr>
              <w:spacing w:line="264" w:lineRule="auto"/>
              <w:rPr>
                <w:b/>
                <w:bCs/>
                <w:color w:val="000000"/>
              </w:rPr>
            </w:pPr>
            <w:r w:rsidRPr="009F575D">
              <w:rPr>
                <w:b/>
                <w:bCs/>
                <w:color w:val="000000"/>
              </w:rPr>
              <w:t>Expected outcome</w:t>
            </w:r>
          </w:p>
        </w:tc>
        <w:tc>
          <w:tcPr>
            <w:tcW w:w="12723" w:type="dxa"/>
            <w:gridSpan w:val="2"/>
          </w:tcPr>
          <w:p w14:paraId="66BD6F04" w14:textId="7A636C17" w:rsidR="000326D2" w:rsidRPr="002C2C75" w:rsidRDefault="000326D2" w:rsidP="000326D2">
            <w:r w:rsidRPr="002C2C75">
              <w:t>Communities’ advocacy is evidence-based and effective, and communities define their own research agendas and priorities, and have the capacity and means to carry out operational research, particularly addressing the needs of key</w:t>
            </w:r>
            <w:r w:rsidR="000131CD">
              <w:t>/</w:t>
            </w:r>
            <w:r w:rsidRPr="002C2C75">
              <w:t>vulnerable populations.</w:t>
            </w:r>
          </w:p>
        </w:tc>
      </w:tr>
      <w:tr w:rsidR="000326D2" w:rsidRPr="002C2C75" w14:paraId="57F451E2" w14:textId="77777777" w:rsidTr="00E74D8B">
        <w:trPr>
          <w:gridAfter w:val="1"/>
          <w:wAfter w:w="68" w:type="dxa"/>
          <w:cantSplit/>
        </w:trPr>
        <w:tc>
          <w:tcPr>
            <w:tcW w:w="2482" w:type="dxa"/>
          </w:tcPr>
          <w:p w14:paraId="4670E943" w14:textId="0EDC14DA" w:rsidR="000326D2" w:rsidRPr="00E51982" w:rsidRDefault="000326D2" w:rsidP="000326D2">
            <w:pPr>
              <w:pBdr>
                <w:top w:val="nil"/>
                <w:left w:val="nil"/>
                <w:bottom w:val="nil"/>
                <w:right w:val="nil"/>
                <w:between w:val="nil"/>
              </w:pBdr>
              <w:spacing w:line="264" w:lineRule="auto"/>
              <w:rPr>
                <w:b/>
                <w:bCs/>
                <w:color w:val="000000"/>
              </w:rPr>
            </w:pPr>
            <w:r w:rsidRPr="00E51982">
              <w:rPr>
                <w:b/>
                <w:bCs/>
                <w:color w:val="000000"/>
              </w:rPr>
              <w:t xml:space="preserve">Intervention(s) </w:t>
            </w:r>
          </w:p>
        </w:tc>
        <w:tc>
          <w:tcPr>
            <w:tcW w:w="12723" w:type="dxa"/>
            <w:gridSpan w:val="2"/>
          </w:tcPr>
          <w:p w14:paraId="599C806D" w14:textId="5FA66E23" w:rsidR="000326D2" w:rsidRPr="002C2C75" w:rsidRDefault="00E51982" w:rsidP="000326D2">
            <w:pPr>
              <w:rPr>
                <w:b/>
              </w:rPr>
            </w:pPr>
            <w:r>
              <w:rPr>
                <w:b/>
              </w:rPr>
              <w:t xml:space="preserve">Intervention: </w:t>
            </w:r>
            <w:r w:rsidR="000326D2" w:rsidRPr="00E51982">
              <w:rPr>
                <w:bCs/>
              </w:rPr>
              <w:t>Community Engagement, Linkages and Coordination</w:t>
            </w:r>
          </w:p>
          <w:p w14:paraId="74B17C23" w14:textId="56DD6C44" w:rsidR="000326D2" w:rsidRPr="00E51982" w:rsidRDefault="000326D2" w:rsidP="00E51982">
            <w:pPr>
              <w:rPr>
                <w:b/>
              </w:rPr>
            </w:pPr>
            <w:r w:rsidRPr="002C2C75">
              <w:rPr>
                <w:color w:val="000000"/>
              </w:rPr>
              <w:t xml:space="preserve">Change in Programming from current grant: </w:t>
            </w:r>
            <w:sdt>
              <w:sdtPr>
                <w:rPr>
                  <w:rFonts w:cstheme="minorHAnsi"/>
                  <w:bCs/>
                  <w:color w:val="000000"/>
                </w:rPr>
                <w:tag w:val="goog_rdk_33"/>
                <w:id w:val="1215701424"/>
              </w:sdtPr>
              <w:sdtContent>
                <w:r w:rsidR="00E51982" w:rsidRPr="002C2C75">
                  <w:rPr>
                    <w:rFonts w:ascii="Segoe UI Symbol" w:hAnsi="Segoe UI Symbol" w:cs="Segoe UI Symbol"/>
                    <w:bCs/>
                    <w:color w:val="000000"/>
                  </w:rPr>
                  <w:t>☒</w:t>
                </w:r>
              </w:sdtContent>
            </w:sdt>
            <w:r w:rsidRPr="002C2C75">
              <w:rPr>
                <w:color w:val="000000"/>
              </w:rPr>
              <w:t xml:space="preserve"> New, </w:t>
            </w:r>
            <w:r w:rsidRPr="002C2C75">
              <w:rPr>
                <w:rFonts w:ascii="Arial Unicode MS" w:eastAsia="Arial Unicode MS" w:hAnsi="Arial Unicode MS" w:cs="Arial Unicode MS"/>
                <w:color w:val="000000"/>
              </w:rPr>
              <w:t>☐</w:t>
            </w:r>
            <w:r w:rsidRPr="002C2C75">
              <w:rPr>
                <w:color w:val="000000"/>
              </w:rPr>
              <w:t xml:space="preserve"> Scale-up, </w:t>
            </w:r>
            <w:sdt>
              <w:sdtPr>
                <w:tag w:val="goog_rdk_103"/>
                <w:id w:val="978270514"/>
              </w:sdtPr>
              <w:sdtContent>
                <w:r w:rsidRPr="002C2C75">
                  <w:rPr>
                    <w:rFonts w:ascii="Arial Unicode MS" w:eastAsia="Arial Unicode MS" w:hAnsi="Arial Unicode MS" w:cs="Arial Unicode MS"/>
                    <w:color w:val="000000"/>
                  </w:rPr>
                  <w:t>☐</w:t>
                </w:r>
              </w:sdtContent>
            </w:sdt>
            <w:r w:rsidRPr="002C2C75">
              <w:rPr>
                <w:color w:val="000000"/>
              </w:rPr>
              <w:t xml:space="preserve"> Continuation, or </w:t>
            </w:r>
            <w:r w:rsidRPr="002C2C75">
              <w:rPr>
                <w:rFonts w:ascii="Arial Unicode MS" w:eastAsia="Arial Unicode MS" w:hAnsi="Arial Unicode MS" w:cs="Arial Unicode MS"/>
                <w:color w:val="000000"/>
              </w:rPr>
              <w:t>☐</w:t>
            </w:r>
            <w:r w:rsidRPr="002C2C75">
              <w:rPr>
                <w:color w:val="000000"/>
              </w:rPr>
              <w:t xml:space="preserve"> Scale-down</w:t>
            </w:r>
          </w:p>
        </w:tc>
      </w:tr>
      <w:tr w:rsidR="000326D2" w:rsidRPr="002C2C75" w14:paraId="5EE46D0C" w14:textId="77777777" w:rsidTr="00E74D8B">
        <w:trPr>
          <w:gridAfter w:val="1"/>
          <w:wAfter w:w="68" w:type="dxa"/>
          <w:cantSplit/>
        </w:trPr>
        <w:tc>
          <w:tcPr>
            <w:tcW w:w="2482" w:type="dxa"/>
          </w:tcPr>
          <w:p w14:paraId="52F63F04" w14:textId="77777777" w:rsidR="000326D2" w:rsidRPr="00E51982" w:rsidRDefault="000326D2" w:rsidP="000326D2">
            <w:pPr>
              <w:pBdr>
                <w:top w:val="nil"/>
                <w:left w:val="nil"/>
                <w:bottom w:val="nil"/>
                <w:right w:val="nil"/>
                <w:between w:val="nil"/>
              </w:pBdr>
              <w:spacing w:line="264" w:lineRule="auto"/>
              <w:rPr>
                <w:b/>
                <w:bCs/>
                <w:color w:val="000000"/>
              </w:rPr>
            </w:pPr>
            <w:r w:rsidRPr="00E51982">
              <w:rPr>
                <w:b/>
                <w:bCs/>
                <w:color w:val="000000"/>
              </w:rPr>
              <w:t>Population, geographies and/or barriers addressed</w:t>
            </w:r>
          </w:p>
        </w:tc>
        <w:tc>
          <w:tcPr>
            <w:tcW w:w="12723" w:type="dxa"/>
            <w:gridSpan w:val="2"/>
          </w:tcPr>
          <w:p w14:paraId="4BDC5638" w14:textId="6FB2F607" w:rsidR="000326D2" w:rsidRPr="002C2C75" w:rsidRDefault="00971088" w:rsidP="000326D2">
            <w:pPr>
              <w:jc w:val="both"/>
            </w:pPr>
            <w:r w:rsidRPr="00971088">
              <w:t>Community involvement and engagement of local health system users and community members in all aspects of health planning, delivery, and governance is a central component of ensuring that the services provided are linked to the needs, priorities, and values of the population, with particular attention to vulnerable people. This can be achieved through community involvement and engagement in the design, financing, governance, and implementation of health services at community level. The new MOH Community Health Subsystem Strategy (August 2021) articulates that community leadership, engagement, and coordination are key to ensure that the community approach responds holistically to the health needs of people in communities and the strategy should reflect the ideas, needs, perspectives, and purposes of the communities themselves</w:t>
            </w:r>
            <w:r>
              <w:t>.</w:t>
            </w:r>
          </w:p>
        </w:tc>
      </w:tr>
      <w:tr w:rsidR="000326D2" w:rsidRPr="002C2C75" w14:paraId="4DB78121" w14:textId="77777777" w:rsidTr="00E74D8B">
        <w:trPr>
          <w:gridAfter w:val="1"/>
          <w:wAfter w:w="68" w:type="dxa"/>
          <w:cantSplit/>
        </w:trPr>
        <w:tc>
          <w:tcPr>
            <w:tcW w:w="2482" w:type="dxa"/>
          </w:tcPr>
          <w:p w14:paraId="7C3842DE" w14:textId="320A5F88" w:rsidR="000326D2" w:rsidRPr="00E51982" w:rsidRDefault="00E51982" w:rsidP="000326D2">
            <w:pPr>
              <w:pBdr>
                <w:top w:val="nil"/>
                <w:left w:val="nil"/>
                <w:bottom w:val="nil"/>
                <w:right w:val="nil"/>
                <w:between w:val="nil"/>
              </w:pBdr>
              <w:spacing w:line="264" w:lineRule="auto"/>
              <w:rPr>
                <w:b/>
                <w:bCs/>
                <w:color w:val="000000"/>
              </w:rPr>
            </w:pPr>
            <w:r>
              <w:rPr>
                <w:b/>
                <w:bCs/>
                <w:color w:val="000000"/>
              </w:rPr>
              <w:t>List of activities</w:t>
            </w:r>
          </w:p>
        </w:tc>
        <w:tc>
          <w:tcPr>
            <w:tcW w:w="12723" w:type="dxa"/>
            <w:gridSpan w:val="2"/>
          </w:tcPr>
          <w:p w14:paraId="21C39A6A" w14:textId="77777777" w:rsidR="00971088" w:rsidRPr="00971088" w:rsidRDefault="00971088" w:rsidP="00971088">
            <w:pPr>
              <w:numPr>
                <w:ilvl w:val="0"/>
                <w:numId w:val="66"/>
              </w:numPr>
              <w:pBdr>
                <w:top w:val="nil"/>
                <w:left w:val="nil"/>
                <w:bottom w:val="nil"/>
                <w:right w:val="nil"/>
                <w:between w:val="nil"/>
              </w:pBdr>
              <w:spacing w:after="0"/>
              <w:rPr>
                <w:color w:val="000000"/>
              </w:rPr>
            </w:pPr>
            <w:r w:rsidRPr="00971088">
              <w:rPr>
                <w:color w:val="000000"/>
              </w:rPr>
              <w:t>Mapping of CSO-led and community-based networks and their service packages</w:t>
            </w:r>
          </w:p>
          <w:p w14:paraId="680793AC" w14:textId="77777777" w:rsidR="00971088" w:rsidRPr="00971088" w:rsidRDefault="00971088" w:rsidP="00971088">
            <w:pPr>
              <w:numPr>
                <w:ilvl w:val="0"/>
                <w:numId w:val="66"/>
              </w:numPr>
              <w:pBdr>
                <w:top w:val="nil"/>
                <w:left w:val="nil"/>
                <w:bottom w:val="nil"/>
                <w:right w:val="nil"/>
                <w:between w:val="nil"/>
              </w:pBdr>
              <w:spacing w:after="0"/>
              <w:rPr>
                <w:color w:val="000000"/>
              </w:rPr>
            </w:pPr>
            <w:r w:rsidRPr="00971088">
              <w:rPr>
                <w:color w:val="000000"/>
              </w:rPr>
              <w:t>Establishment of community committees (traditional and community leaders, local authorities, police, religious institutions) to support CP, populations affected by diseases and vulnerable groups in cases of violation of their rights, stigma and discrimination (example of Lambda)</w:t>
            </w:r>
          </w:p>
          <w:p w14:paraId="05B90C0C" w14:textId="77777777" w:rsidR="00971088" w:rsidRPr="00971088" w:rsidRDefault="00971088" w:rsidP="00971088">
            <w:pPr>
              <w:numPr>
                <w:ilvl w:val="0"/>
                <w:numId w:val="66"/>
              </w:numPr>
              <w:pBdr>
                <w:top w:val="nil"/>
                <w:left w:val="nil"/>
                <w:bottom w:val="nil"/>
                <w:right w:val="nil"/>
                <w:between w:val="nil"/>
              </w:pBdr>
              <w:spacing w:after="0"/>
              <w:rPr>
                <w:color w:val="000000"/>
              </w:rPr>
            </w:pPr>
            <w:r w:rsidRPr="00971088">
              <w:rPr>
                <w:color w:val="000000"/>
              </w:rPr>
              <w:t>Establish a coordination and exchange mechanism with community human rights committee</w:t>
            </w:r>
          </w:p>
          <w:p w14:paraId="270FE4AE" w14:textId="77777777" w:rsidR="00971088" w:rsidRPr="00971088" w:rsidRDefault="00971088" w:rsidP="00971088">
            <w:pPr>
              <w:numPr>
                <w:ilvl w:val="0"/>
                <w:numId w:val="66"/>
              </w:numPr>
              <w:pBdr>
                <w:top w:val="nil"/>
                <w:left w:val="nil"/>
                <w:bottom w:val="nil"/>
                <w:right w:val="nil"/>
                <w:between w:val="nil"/>
              </w:pBdr>
              <w:spacing w:after="0"/>
              <w:rPr>
                <w:color w:val="000000"/>
              </w:rPr>
            </w:pPr>
            <w:r w:rsidRPr="00971088">
              <w:rPr>
                <w:color w:val="000000"/>
              </w:rPr>
              <w:t>Expand community philanthropy to the search for community solutions regarding access to and use of health services</w:t>
            </w:r>
          </w:p>
          <w:p w14:paraId="27C4A328" w14:textId="77777777" w:rsidR="00971088" w:rsidRPr="00971088" w:rsidRDefault="00971088" w:rsidP="00971088">
            <w:pPr>
              <w:numPr>
                <w:ilvl w:val="0"/>
                <w:numId w:val="66"/>
              </w:numPr>
              <w:pBdr>
                <w:top w:val="nil"/>
                <w:left w:val="nil"/>
                <w:bottom w:val="nil"/>
                <w:right w:val="nil"/>
                <w:between w:val="nil"/>
              </w:pBdr>
              <w:spacing w:after="0"/>
              <w:rPr>
                <w:color w:val="000000"/>
              </w:rPr>
            </w:pPr>
            <w:r w:rsidRPr="00971088">
              <w:rPr>
                <w:color w:val="000000"/>
              </w:rPr>
              <w:t xml:space="preserve">Expand community dialogues, community engagement, at district level, province and national level to monitor the implementation of National Strategic Plan (NSP V) and the grant implementation. </w:t>
            </w:r>
          </w:p>
          <w:p w14:paraId="3DB3F4FF" w14:textId="77777777" w:rsidR="00971088" w:rsidRPr="00971088" w:rsidRDefault="00971088" w:rsidP="00971088">
            <w:pPr>
              <w:numPr>
                <w:ilvl w:val="0"/>
                <w:numId w:val="66"/>
              </w:numPr>
              <w:pBdr>
                <w:top w:val="nil"/>
                <w:left w:val="nil"/>
                <w:bottom w:val="nil"/>
                <w:right w:val="nil"/>
                <w:between w:val="nil"/>
              </w:pBdr>
              <w:spacing w:after="0"/>
              <w:rPr>
                <w:color w:val="000000"/>
              </w:rPr>
            </w:pPr>
            <w:r w:rsidRPr="00971088">
              <w:rPr>
                <w:color w:val="000000"/>
              </w:rPr>
              <w:t>Meetings between decision-makers and focal points of PLASOC and HIV at the local level, to strengthen community involvement in decision-making on the provision of care for HIV, TB, malaria and other health problems</w:t>
            </w:r>
          </w:p>
          <w:p w14:paraId="3BCAAEB5" w14:textId="77777777" w:rsidR="00971088" w:rsidRPr="00971088" w:rsidRDefault="00971088" w:rsidP="00971088">
            <w:pPr>
              <w:numPr>
                <w:ilvl w:val="0"/>
                <w:numId w:val="66"/>
              </w:numPr>
              <w:pBdr>
                <w:top w:val="nil"/>
                <w:left w:val="nil"/>
                <w:bottom w:val="nil"/>
                <w:right w:val="nil"/>
                <w:between w:val="nil"/>
              </w:pBdr>
              <w:spacing w:after="0"/>
              <w:rPr>
                <w:color w:val="000000"/>
              </w:rPr>
            </w:pPr>
            <w:r w:rsidRPr="00971088">
              <w:rPr>
                <w:color w:val="000000"/>
              </w:rPr>
              <w:t xml:space="preserve">Community-led production, publication and dissemination of policies briefs on the interventions implementation at community level concerning KP populations </w:t>
            </w:r>
          </w:p>
          <w:p w14:paraId="699D27F3" w14:textId="77777777" w:rsidR="00971088" w:rsidRPr="00971088" w:rsidRDefault="00971088" w:rsidP="00971088">
            <w:pPr>
              <w:numPr>
                <w:ilvl w:val="0"/>
                <w:numId w:val="66"/>
              </w:numPr>
              <w:pBdr>
                <w:top w:val="nil"/>
                <w:left w:val="nil"/>
                <w:bottom w:val="nil"/>
                <w:right w:val="nil"/>
                <w:between w:val="nil"/>
              </w:pBdr>
              <w:spacing w:after="0"/>
              <w:rPr>
                <w:color w:val="000000"/>
              </w:rPr>
            </w:pPr>
            <w:r w:rsidRPr="00971088">
              <w:rPr>
                <w:color w:val="000000"/>
              </w:rPr>
              <w:t>Train the activists, volunteers and peer educators from CBO’s providing home care (palliative care,  APSS/PP and HIV and TB care). These CBOs ensure the linkage between the NGOs interventions and the health facility level to address advanced disease at community level (home care)</w:t>
            </w:r>
          </w:p>
          <w:p w14:paraId="4D127915" w14:textId="77777777" w:rsidR="00971088" w:rsidRPr="00971088" w:rsidRDefault="00971088" w:rsidP="00971088">
            <w:pPr>
              <w:numPr>
                <w:ilvl w:val="0"/>
                <w:numId w:val="66"/>
              </w:numPr>
              <w:pBdr>
                <w:top w:val="nil"/>
                <w:left w:val="nil"/>
                <w:bottom w:val="nil"/>
                <w:right w:val="nil"/>
                <w:between w:val="nil"/>
              </w:pBdr>
              <w:spacing w:after="0"/>
              <w:rPr>
                <w:color w:val="000000"/>
              </w:rPr>
            </w:pPr>
            <w:r w:rsidRPr="00971088">
              <w:rPr>
                <w:color w:val="000000"/>
              </w:rPr>
              <w:t>Continue to support groups for adherence and retention in ART and in the treatment of sensitive and multi-resistant TB.</w:t>
            </w:r>
          </w:p>
          <w:p w14:paraId="5CA554EA" w14:textId="318619DA" w:rsidR="000326D2" w:rsidRPr="00E51982" w:rsidRDefault="00971088" w:rsidP="00971088">
            <w:pPr>
              <w:numPr>
                <w:ilvl w:val="0"/>
                <w:numId w:val="66"/>
              </w:numPr>
              <w:pBdr>
                <w:top w:val="nil"/>
                <w:left w:val="nil"/>
                <w:bottom w:val="nil"/>
                <w:right w:val="nil"/>
                <w:between w:val="nil"/>
              </w:pBdr>
              <w:spacing w:after="0"/>
              <w:rPr>
                <w:b/>
                <w:color w:val="000000"/>
              </w:rPr>
            </w:pPr>
            <w:r>
              <w:rPr>
                <w:color w:val="000000"/>
              </w:rPr>
              <w:t>Provide</w:t>
            </w:r>
            <w:r w:rsidR="00E51982" w:rsidRPr="00E51982">
              <w:rPr>
                <w:color w:val="000000"/>
              </w:rPr>
              <w:t xml:space="preserve"> prevention interventions items, such as male and female condoms (100,000) to traditional medical practitioners to distribute to the communities</w:t>
            </w:r>
          </w:p>
        </w:tc>
      </w:tr>
      <w:tr w:rsidR="000326D2" w:rsidRPr="002C2C75" w14:paraId="56F35F50" w14:textId="77777777" w:rsidTr="00E74D8B">
        <w:trPr>
          <w:gridAfter w:val="1"/>
          <w:wAfter w:w="68" w:type="dxa"/>
          <w:cantSplit/>
        </w:trPr>
        <w:tc>
          <w:tcPr>
            <w:tcW w:w="2482" w:type="dxa"/>
          </w:tcPr>
          <w:p w14:paraId="13E1ACF4" w14:textId="77777777" w:rsidR="000326D2" w:rsidRPr="00E51982" w:rsidRDefault="000326D2" w:rsidP="000326D2">
            <w:pPr>
              <w:pBdr>
                <w:top w:val="nil"/>
                <w:left w:val="nil"/>
                <w:bottom w:val="nil"/>
                <w:right w:val="nil"/>
                <w:between w:val="nil"/>
              </w:pBdr>
              <w:spacing w:line="264" w:lineRule="auto"/>
              <w:rPr>
                <w:b/>
                <w:bCs/>
                <w:color w:val="000000"/>
              </w:rPr>
            </w:pPr>
            <w:r w:rsidRPr="00E51982">
              <w:rPr>
                <w:b/>
                <w:bCs/>
                <w:color w:val="000000"/>
              </w:rPr>
              <w:t>Amount requested</w:t>
            </w:r>
          </w:p>
        </w:tc>
        <w:tc>
          <w:tcPr>
            <w:tcW w:w="12723" w:type="dxa"/>
            <w:gridSpan w:val="2"/>
          </w:tcPr>
          <w:p w14:paraId="1497A595" w14:textId="77777777" w:rsidR="000326D2" w:rsidRDefault="000326D2" w:rsidP="000326D2">
            <w:pPr>
              <w:rPr>
                <w:b/>
              </w:rPr>
            </w:pPr>
            <w:r w:rsidRPr="002C2C75">
              <w:rPr>
                <w:b/>
              </w:rPr>
              <w:t>Within allocation: $657,804</w:t>
            </w:r>
          </w:p>
          <w:p w14:paraId="53B4B793" w14:textId="2BB05E67" w:rsidR="000326D2" w:rsidRPr="002C2C75" w:rsidRDefault="000326D2" w:rsidP="000326D2">
            <w:r>
              <w:rPr>
                <w:b/>
              </w:rPr>
              <w:t>PAAR: 4,888,836</w:t>
            </w:r>
          </w:p>
        </w:tc>
      </w:tr>
      <w:tr w:rsidR="000326D2" w:rsidRPr="002C2C75" w14:paraId="1F515120" w14:textId="77777777" w:rsidTr="00E74D8B">
        <w:trPr>
          <w:gridAfter w:val="1"/>
          <w:wAfter w:w="68" w:type="dxa"/>
          <w:cantSplit/>
        </w:trPr>
        <w:tc>
          <w:tcPr>
            <w:tcW w:w="2482" w:type="dxa"/>
          </w:tcPr>
          <w:p w14:paraId="519C62E4" w14:textId="77777777" w:rsidR="000326D2" w:rsidRPr="00E51982" w:rsidRDefault="000326D2" w:rsidP="000326D2">
            <w:pPr>
              <w:pBdr>
                <w:top w:val="nil"/>
                <w:left w:val="nil"/>
                <w:bottom w:val="nil"/>
                <w:right w:val="nil"/>
                <w:between w:val="nil"/>
              </w:pBdr>
              <w:spacing w:line="264" w:lineRule="auto"/>
              <w:rPr>
                <w:b/>
                <w:bCs/>
                <w:color w:val="000000"/>
              </w:rPr>
            </w:pPr>
            <w:r w:rsidRPr="00E51982">
              <w:rPr>
                <w:b/>
                <w:bCs/>
                <w:color w:val="000000"/>
              </w:rPr>
              <w:t>Expected outcome</w:t>
            </w:r>
          </w:p>
        </w:tc>
        <w:tc>
          <w:tcPr>
            <w:tcW w:w="12723" w:type="dxa"/>
            <w:gridSpan w:val="2"/>
          </w:tcPr>
          <w:p w14:paraId="778AB511" w14:textId="77777777" w:rsidR="000326D2" w:rsidRPr="002C2C75" w:rsidRDefault="000326D2" w:rsidP="000326D2">
            <w:r w:rsidRPr="002C2C75">
              <w:t>Community-led and community-based services are known and recognized; and organizations providing these services are engaged in joint planning and implementation, and their role and impact reflected in national planning and resource mobilization.</w:t>
            </w:r>
          </w:p>
        </w:tc>
      </w:tr>
      <w:tr w:rsidR="000326D2" w:rsidRPr="002C2C75" w14:paraId="5D589A86" w14:textId="77777777" w:rsidTr="00E74D8B">
        <w:trPr>
          <w:gridAfter w:val="1"/>
          <w:wAfter w:w="68" w:type="dxa"/>
          <w:cantSplit/>
        </w:trPr>
        <w:tc>
          <w:tcPr>
            <w:tcW w:w="2482" w:type="dxa"/>
          </w:tcPr>
          <w:p w14:paraId="0DA20D86" w14:textId="3152A033" w:rsidR="000326D2" w:rsidRPr="00E51982" w:rsidRDefault="000326D2" w:rsidP="000326D2">
            <w:pPr>
              <w:pBdr>
                <w:top w:val="nil"/>
                <w:left w:val="nil"/>
                <w:bottom w:val="nil"/>
                <w:right w:val="nil"/>
                <w:between w:val="nil"/>
              </w:pBdr>
              <w:spacing w:line="264" w:lineRule="auto"/>
              <w:rPr>
                <w:b/>
                <w:bCs/>
                <w:color w:val="000000"/>
              </w:rPr>
            </w:pPr>
            <w:r w:rsidRPr="00E51982">
              <w:rPr>
                <w:b/>
                <w:bCs/>
                <w:color w:val="000000"/>
              </w:rPr>
              <w:t xml:space="preserve">Intervention(s) </w:t>
            </w:r>
          </w:p>
        </w:tc>
        <w:tc>
          <w:tcPr>
            <w:tcW w:w="12723" w:type="dxa"/>
            <w:gridSpan w:val="2"/>
          </w:tcPr>
          <w:p w14:paraId="3A16663C" w14:textId="3FD89DF3" w:rsidR="000326D2" w:rsidRPr="002C2C75" w:rsidRDefault="00E51982" w:rsidP="000326D2">
            <w:pPr>
              <w:pBdr>
                <w:top w:val="nil"/>
                <w:left w:val="nil"/>
                <w:bottom w:val="nil"/>
                <w:right w:val="nil"/>
                <w:between w:val="nil"/>
              </w:pBdr>
              <w:spacing w:line="264" w:lineRule="auto"/>
              <w:rPr>
                <w:b/>
                <w:color w:val="000000"/>
              </w:rPr>
            </w:pPr>
            <w:r>
              <w:rPr>
                <w:b/>
                <w:color w:val="000000"/>
              </w:rPr>
              <w:t xml:space="preserve">Intervention: </w:t>
            </w:r>
            <w:r w:rsidR="000326D2" w:rsidRPr="00E51982">
              <w:rPr>
                <w:bCs/>
                <w:color w:val="000000"/>
              </w:rPr>
              <w:t>Capacity Development and Institutional Leadership</w:t>
            </w:r>
          </w:p>
          <w:p w14:paraId="1CED7971" w14:textId="69C93CE1" w:rsidR="000326D2" w:rsidRPr="00E51982" w:rsidRDefault="000326D2" w:rsidP="00E51982">
            <w:pPr>
              <w:rPr>
                <w:b/>
              </w:rPr>
            </w:pPr>
            <w:r w:rsidRPr="002C2C75">
              <w:rPr>
                <w:color w:val="000000"/>
              </w:rPr>
              <w:t xml:space="preserve">Change in Programming from current grant: </w:t>
            </w:r>
            <w:sdt>
              <w:sdtPr>
                <w:rPr>
                  <w:rFonts w:cstheme="minorHAnsi"/>
                  <w:bCs/>
                  <w:color w:val="000000"/>
                </w:rPr>
                <w:tag w:val="goog_rdk_33"/>
                <w:id w:val="1003100471"/>
              </w:sdtPr>
              <w:sdtContent>
                <w:r w:rsidR="00DD1637" w:rsidRPr="002C2C75">
                  <w:rPr>
                    <w:rFonts w:ascii="Arial Unicode MS" w:eastAsia="Arial Unicode MS" w:hAnsi="Arial Unicode MS" w:cs="Arial Unicode MS"/>
                    <w:color w:val="000000"/>
                  </w:rPr>
                  <w:t>☐</w:t>
                </w:r>
              </w:sdtContent>
            </w:sdt>
            <w:r w:rsidRPr="002C2C75">
              <w:rPr>
                <w:color w:val="000000"/>
              </w:rPr>
              <w:t xml:space="preserve"> New, </w:t>
            </w:r>
            <w:r w:rsidRPr="002C2C75">
              <w:rPr>
                <w:rFonts w:ascii="Arial Unicode MS" w:eastAsia="Arial Unicode MS" w:hAnsi="Arial Unicode MS" w:cs="Arial Unicode MS"/>
                <w:color w:val="000000"/>
              </w:rPr>
              <w:t>☐</w:t>
            </w:r>
            <w:r w:rsidRPr="002C2C75">
              <w:rPr>
                <w:color w:val="000000"/>
              </w:rPr>
              <w:t xml:space="preserve"> Scale-up, </w:t>
            </w:r>
            <w:sdt>
              <w:sdtPr>
                <w:tag w:val="goog_rdk_103"/>
                <w:id w:val="280615519"/>
              </w:sdtPr>
              <w:sdtContent>
                <w:sdt>
                  <w:sdtPr>
                    <w:rPr>
                      <w:rFonts w:cstheme="minorHAnsi"/>
                      <w:bCs/>
                      <w:color w:val="000000"/>
                    </w:rPr>
                    <w:tag w:val="goog_rdk_33"/>
                    <w:id w:val="779074183"/>
                  </w:sdtPr>
                  <w:sdtContent>
                    <w:r w:rsidR="00DD1637" w:rsidRPr="002C2C75">
                      <w:rPr>
                        <w:rFonts w:ascii="Segoe UI Symbol" w:hAnsi="Segoe UI Symbol" w:cs="Segoe UI Symbol"/>
                        <w:bCs/>
                        <w:color w:val="000000"/>
                      </w:rPr>
                      <w:t>☒</w:t>
                    </w:r>
                  </w:sdtContent>
                </w:sdt>
              </w:sdtContent>
            </w:sdt>
            <w:r w:rsidRPr="002C2C75">
              <w:rPr>
                <w:color w:val="000000"/>
              </w:rPr>
              <w:t xml:space="preserve"> Continuation, or </w:t>
            </w:r>
            <w:r w:rsidRPr="002C2C75">
              <w:rPr>
                <w:rFonts w:ascii="Arial Unicode MS" w:eastAsia="Arial Unicode MS" w:hAnsi="Arial Unicode MS" w:cs="Arial Unicode MS"/>
                <w:color w:val="000000"/>
              </w:rPr>
              <w:t>☐</w:t>
            </w:r>
            <w:r w:rsidRPr="002C2C75">
              <w:rPr>
                <w:color w:val="000000"/>
              </w:rPr>
              <w:t xml:space="preserve"> Scale-down</w:t>
            </w:r>
          </w:p>
        </w:tc>
      </w:tr>
      <w:tr w:rsidR="000326D2" w:rsidRPr="002C2C75" w14:paraId="1B7B315A" w14:textId="77777777" w:rsidTr="00E74D8B">
        <w:trPr>
          <w:gridAfter w:val="1"/>
          <w:wAfter w:w="68" w:type="dxa"/>
          <w:cantSplit/>
        </w:trPr>
        <w:tc>
          <w:tcPr>
            <w:tcW w:w="2482" w:type="dxa"/>
          </w:tcPr>
          <w:p w14:paraId="2B2CE28B" w14:textId="77777777" w:rsidR="000326D2" w:rsidRPr="00E51982" w:rsidRDefault="000326D2" w:rsidP="000326D2">
            <w:pPr>
              <w:pBdr>
                <w:top w:val="nil"/>
                <w:left w:val="nil"/>
                <w:bottom w:val="nil"/>
                <w:right w:val="nil"/>
                <w:between w:val="nil"/>
              </w:pBdr>
              <w:spacing w:line="264" w:lineRule="auto"/>
              <w:rPr>
                <w:b/>
                <w:bCs/>
                <w:color w:val="000000"/>
              </w:rPr>
            </w:pPr>
            <w:r w:rsidRPr="00E51982">
              <w:rPr>
                <w:b/>
                <w:bCs/>
                <w:color w:val="000000"/>
              </w:rPr>
              <w:t>Population, geographies and/or barriers addressed</w:t>
            </w:r>
          </w:p>
        </w:tc>
        <w:tc>
          <w:tcPr>
            <w:tcW w:w="12723" w:type="dxa"/>
            <w:gridSpan w:val="2"/>
          </w:tcPr>
          <w:p w14:paraId="73FBBC7E" w14:textId="45089573" w:rsidR="000326D2" w:rsidRPr="002C2C75" w:rsidRDefault="00DD1637" w:rsidP="000326D2">
            <w:r w:rsidRPr="00DD1637">
              <w:t>Community-led and community-based organizations and networks require core funding and differentiated capacity building to participate in the health and social services responses, innovate and address changes and shifts in HIV, TB, and malaria. Organizational leadership requires capacity to hold decision makers accountable, engage duty bearers and lead active and well-functioning civil society. However, organizational capacity and leadership development activities are often ad hoc, sporadic, and not tailored to communities’ contexts.</w:t>
            </w:r>
          </w:p>
        </w:tc>
      </w:tr>
      <w:tr w:rsidR="000326D2" w:rsidRPr="002C2C75" w14:paraId="7ABC9833" w14:textId="77777777" w:rsidTr="00E74D8B">
        <w:trPr>
          <w:gridAfter w:val="1"/>
          <w:wAfter w:w="68" w:type="dxa"/>
          <w:cantSplit/>
        </w:trPr>
        <w:tc>
          <w:tcPr>
            <w:tcW w:w="2482" w:type="dxa"/>
          </w:tcPr>
          <w:p w14:paraId="6020FBAC" w14:textId="05596398" w:rsidR="000326D2" w:rsidRPr="00E51982" w:rsidRDefault="00E51982" w:rsidP="000326D2">
            <w:pPr>
              <w:pBdr>
                <w:top w:val="nil"/>
                <w:left w:val="nil"/>
                <w:bottom w:val="nil"/>
                <w:right w:val="nil"/>
                <w:between w:val="nil"/>
              </w:pBdr>
              <w:spacing w:line="264" w:lineRule="auto"/>
              <w:rPr>
                <w:b/>
                <w:bCs/>
                <w:color w:val="000000"/>
              </w:rPr>
            </w:pPr>
            <w:r>
              <w:rPr>
                <w:b/>
                <w:bCs/>
                <w:color w:val="000000"/>
              </w:rPr>
              <w:t>List of activities</w:t>
            </w:r>
          </w:p>
        </w:tc>
        <w:tc>
          <w:tcPr>
            <w:tcW w:w="12723" w:type="dxa"/>
            <w:gridSpan w:val="2"/>
          </w:tcPr>
          <w:p w14:paraId="5CB83010" w14:textId="77777777" w:rsidR="00DD1637" w:rsidRDefault="00DD1637" w:rsidP="00DD1637">
            <w:pPr>
              <w:keepNext/>
              <w:numPr>
                <w:ilvl w:val="0"/>
                <w:numId w:val="67"/>
              </w:numPr>
              <w:spacing w:before="60" w:after="0"/>
              <w:ind w:right="57"/>
            </w:pPr>
            <w:r>
              <w:t xml:space="preserve">Continue training CSOs and their networks in project monitoring and management and in internal management policies, including the new CSOs to be covered by this grant.  </w:t>
            </w:r>
          </w:p>
          <w:p w14:paraId="2118BC8B" w14:textId="77777777" w:rsidR="00DD1637" w:rsidRDefault="00DD1637" w:rsidP="00DD1637">
            <w:pPr>
              <w:keepNext/>
              <w:numPr>
                <w:ilvl w:val="0"/>
                <w:numId w:val="67"/>
              </w:numPr>
              <w:spacing w:before="60" w:after="0"/>
              <w:ind w:right="57"/>
            </w:pPr>
            <w:r>
              <w:t xml:space="preserve">Empower CSOs in governance: organization, functioning and transfer of power, administrative procedures, policies and standards, conflict resolution policies, human rights advocacy, monitoring plans and  standard operating procedures related to health </w:t>
            </w:r>
          </w:p>
          <w:p w14:paraId="4D05D518" w14:textId="77777777" w:rsidR="00DD1637" w:rsidRDefault="00DD1637" w:rsidP="00DD1637">
            <w:pPr>
              <w:keepNext/>
              <w:numPr>
                <w:ilvl w:val="0"/>
                <w:numId w:val="67"/>
              </w:numPr>
              <w:spacing w:before="60" w:after="0"/>
              <w:ind w:right="57"/>
            </w:pPr>
            <w:r>
              <w:t>Support integration of human rights and gender concerns into CSOs empowerment</w:t>
            </w:r>
          </w:p>
          <w:p w14:paraId="73CCE730" w14:textId="77777777" w:rsidR="00DD1637" w:rsidRDefault="00DD1637" w:rsidP="00DD1637">
            <w:pPr>
              <w:keepNext/>
              <w:numPr>
                <w:ilvl w:val="0"/>
                <w:numId w:val="67"/>
              </w:numPr>
              <w:spacing w:before="60" w:after="0"/>
              <w:ind w:right="57"/>
            </w:pPr>
            <w:r>
              <w:t>Map and create standardized levels of CBOs, to make them eligible to receive funds from the Global Fund, depending on their structure, capacity, scope and other characteristics</w:t>
            </w:r>
          </w:p>
          <w:p w14:paraId="16CE04BE" w14:textId="77777777" w:rsidR="00DD1637" w:rsidRDefault="00DD1637" w:rsidP="00DD1637">
            <w:pPr>
              <w:keepNext/>
              <w:numPr>
                <w:ilvl w:val="0"/>
                <w:numId w:val="67"/>
              </w:numPr>
              <w:spacing w:before="60" w:after="0"/>
              <w:ind w:right="57"/>
            </w:pPr>
            <w:r>
              <w:t>Involve CSOs in the strengthening and coordination of health development committees</w:t>
            </w:r>
          </w:p>
          <w:p w14:paraId="78989A80" w14:textId="77777777" w:rsidR="00DD1637" w:rsidRDefault="00DD1637" w:rsidP="00DD1637">
            <w:pPr>
              <w:keepNext/>
              <w:numPr>
                <w:ilvl w:val="0"/>
                <w:numId w:val="67"/>
              </w:numPr>
              <w:spacing w:before="60" w:after="0"/>
              <w:ind w:right="57"/>
            </w:pPr>
            <w:r>
              <w:t>Conduct monitoring visits to CSOs and their networks</w:t>
            </w:r>
          </w:p>
          <w:p w14:paraId="116C2A85" w14:textId="77777777" w:rsidR="00DD1637" w:rsidRDefault="00DD1637" w:rsidP="00DD1637">
            <w:pPr>
              <w:keepNext/>
              <w:numPr>
                <w:ilvl w:val="0"/>
                <w:numId w:val="67"/>
              </w:numPr>
              <w:spacing w:before="60" w:after="0"/>
              <w:ind w:right="57"/>
            </w:pPr>
            <w:r>
              <w:t>Map community courts and coordinate with human rights community committee</w:t>
            </w:r>
          </w:p>
          <w:p w14:paraId="7DA7FA44" w14:textId="77777777" w:rsidR="00DD1637" w:rsidRDefault="00DD1637" w:rsidP="00DD1637">
            <w:pPr>
              <w:keepNext/>
              <w:numPr>
                <w:ilvl w:val="0"/>
                <w:numId w:val="67"/>
              </w:numPr>
              <w:spacing w:before="60" w:after="0"/>
              <w:ind w:right="57"/>
            </w:pPr>
            <w:r>
              <w:t>Train and technically capacity building CSOs and their networks in the implementation and management of activities funded by the Global Fund</w:t>
            </w:r>
          </w:p>
          <w:p w14:paraId="30390D9F" w14:textId="77777777" w:rsidR="00DD1637" w:rsidRDefault="00DD1637" w:rsidP="00DD1637">
            <w:pPr>
              <w:keepNext/>
              <w:numPr>
                <w:ilvl w:val="0"/>
                <w:numId w:val="67"/>
              </w:numPr>
              <w:spacing w:before="60" w:after="0"/>
              <w:ind w:right="57"/>
            </w:pPr>
            <w:r>
              <w:t>Form focal points at provincial and district level in the leadership and creation and management of associations and other CBOs</w:t>
            </w:r>
          </w:p>
          <w:p w14:paraId="17CC5D9D" w14:textId="77777777" w:rsidR="00DD1637" w:rsidRDefault="00DD1637" w:rsidP="00DD1637">
            <w:pPr>
              <w:keepNext/>
              <w:numPr>
                <w:ilvl w:val="0"/>
                <w:numId w:val="67"/>
              </w:numPr>
              <w:spacing w:before="60" w:after="0"/>
              <w:ind w:right="57"/>
            </w:pPr>
            <w:r>
              <w:t>Develop and print material for institutional visibility</w:t>
            </w:r>
          </w:p>
          <w:p w14:paraId="16300324" w14:textId="77777777" w:rsidR="00DD1637" w:rsidRDefault="00DD1637" w:rsidP="00DD1637">
            <w:pPr>
              <w:keepNext/>
              <w:numPr>
                <w:ilvl w:val="0"/>
                <w:numId w:val="67"/>
              </w:numPr>
              <w:spacing w:before="60" w:after="0"/>
              <w:ind w:right="57"/>
            </w:pPr>
            <w:r>
              <w:t>Involve local leadership in the selection of PHC/CHA and members of community health development committees</w:t>
            </w:r>
          </w:p>
          <w:p w14:paraId="4AF52AE8" w14:textId="77777777" w:rsidR="00DD1637" w:rsidRDefault="00DD1637" w:rsidP="00DD1637">
            <w:pPr>
              <w:keepNext/>
              <w:numPr>
                <w:ilvl w:val="0"/>
                <w:numId w:val="67"/>
              </w:numPr>
              <w:spacing w:before="60" w:after="0"/>
              <w:ind w:right="57"/>
            </w:pPr>
            <w:r>
              <w:t>Hold planning meetings, with the involvement of community health development committees</w:t>
            </w:r>
          </w:p>
          <w:p w14:paraId="349CB445" w14:textId="00EE04D3" w:rsidR="000326D2" w:rsidRPr="00E51982" w:rsidRDefault="00DD1637" w:rsidP="00DD1637">
            <w:pPr>
              <w:keepNext/>
              <w:numPr>
                <w:ilvl w:val="0"/>
                <w:numId w:val="67"/>
              </w:numPr>
              <w:spacing w:before="60" w:after="0"/>
              <w:ind w:right="57"/>
            </w:pPr>
            <w:r>
              <w:t>Conduct institutional capacity assessment visits of CSOs focusing on the new CsOs to be covered.</w:t>
            </w:r>
          </w:p>
        </w:tc>
      </w:tr>
      <w:tr w:rsidR="000326D2" w:rsidRPr="002C2C75" w14:paraId="3C8CECCC" w14:textId="77777777" w:rsidTr="00E74D8B">
        <w:trPr>
          <w:gridAfter w:val="1"/>
          <w:wAfter w:w="68" w:type="dxa"/>
          <w:cantSplit/>
        </w:trPr>
        <w:tc>
          <w:tcPr>
            <w:tcW w:w="2482" w:type="dxa"/>
          </w:tcPr>
          <w:p w14:paraId="3027D444" w14:textId="77777777" w:rsidR="000326D2" w:rsidRPr="00E51982" w:rsidRDefault="000326D2" w:rsidP="000326D2">
            <w:pPr>
              <w:pBdr>
                <w:top w:val="nil"/>
                <w:left w:val="nil"/>
                <w:bottom w:val="nil"/>
                <w:right w:val="nil"/>
                <w:between w:val="nil"/>
              </w:pBdr>
              <w:spacing w:line="264" w:lineRule="auto"/>
              <w:rPr>
                <w:b/>
                <w:bCs/>
                <w:color w:val="000000"/>
              </w:rPr>
            </w:pPr>
            <w:r w:rsidRPr="00E51982">
              <w:rPr>
                <w:b/>
                <w:bCs/>
                <w:color w:val="000000"/>
              </w:rPr>
              <w:t>Amount requested</w:t>
            </w:r>
          </w:p>
        </w:tc>
        <w:tc>
          <w:tcPr>
            <w:tcW w:w="12723" w:type="dxa"/>
            <w:gridSpan w:val="2"/>
          </w:tcPr>
          <w:p w14:paraId="0306F260" w14:textId="4AB4867C" w:rsidR="000326D2" w:rsidRPr="002C2C75" w:rsidRDefault="000326D2" w:rsidP="000326D2">
            <w:pPr>
              <w:rPr>
                <w:b/>
              </w:rPr>
            </w:pPr>
            <w:r w:rsidRPr="002C2C75">
              <w:rPr>
                <w:b/>
              </w:rPr>
              <w:t>Within allocation: $225,730</w:t>
            </w:r>
          </w:p>
        </w:tc>
      </w:tr>
      <w:tr w:rsidR="000326D2" w:rsidRPr="002C2C75" w14:paraId="6F4B374C" w14:textId="77777777" w:rsidTr="00E74D8B">
        <w:trPr>
          <w:gridAfter w:val="1"/>
          <w:wAfter w:w="68" w:type="dxa"/>
          <w:cantSplit/>
        </w:trPr>
        <w:tc>
          <w:tcPr>
            <w:tcW w:w="2482" w:type="dxa"/>
          </w:tcPr>
          <w:p w14:paraId="05651021" w14:textId="77777777" w:rsidR="000326D2" w:rsidRPr="00E51982" w:rsidRDefault="000326D2" w:rsidP="000326D2">
            <w:pPr>
              <w:pBdr>
                <w:top w:val="nil"/>
                <w:left w:val="nil"/>
                <w:bottom w:val="nil"/>
                <w:right w:val="nil"/>
                <w:between w:val="nil"/>
              </w:pBdr>
              <w:spacing w:line="264" w:lineRule="auto"/>
              <w:rPr>
                <w:b/>
                <w:bCs/>
                <w:color w:val="000000"/>
              </w:rPr>
            </w:pPr>
            <w:r w:rsidRPr="00E51982">
              <w:rPr>
                <w:b/>
                <w:bCs/>
                <w:color w:val="000000"/>
              </w:rPr>
              <w:t>Expected outcome</w:t>
            </w:r>
          </w:p>
        </w:tc>
        <w:tc>
          <w:tcPr>
            <w:tcW w:w="12723" w:type="dxa"/>
            <w:gridSpan w:val="2"/>
          </w:tcPr>
          <w:p w14:paraId="11286715" w14:textId="77777777" w:rsidR="000326D2" w:rsidRPr="002C2C75" w:rsidRDefault="000326D2" w:rsidP="000326D2">
            <w:pPr>
              <w:numPr>
                <w:ilvl w:val="0"/>
                <w:numId w:val="65"/>
              </w:numPr>
              <w:pBdr>
                <w:top w:val="nil"/>
                <w:left w:val="nil"/>
                <w:bottom w:val="nil"/>
                <w:right w:val="nil"/>
                <w:between w:val="nil"/>
              </w:pBdr>
              <w:spacing w:after="0"/>
              <w:rPr>
                <w:color w:val="000000"/>
              </w:rPr>
            </w:pPr>
            <w:r w:rsidRPr="002C2C75">
              <w:rPr>
                <w:color w:val="000000"/>
              </w:rPr>
              <w:t xml:space="preserve">Strengthened capacities of community- led and community-based organizations (in governance, financial management, strategic and sustainability planning, leadership development, program management, monitoring, and reporting) necessary for meaningful participation in the national response. </w:t>
            </w:r>
          </w:p>
          <w:p w14:paraId="560740BB" w14:textId="3259C761" w:rsidR="000326D2" w:rsidRPr="002C2C75" w:rsidRDefault="000326D2" w:rsidP="000326D2">
            <w:pPr>
              <w:numPr>
                <w:ilvl w:val="0"/>
                <w:numId w:val="65"/>
              </w:numPr>
              <w:pBdr>
                <w:top w:val="nil"/>
                <w:left w:val="nil"/>
                <w:bottom w:val="nil"/>
                <w:right w:val="nil"/>
                <w:between w:val="nil"/>
              </w:pBdr>
              <w:spacing w:after="0"/>
              <w:rPr>
                <w:color w:val="000000"/>
              </w:rPr>
            </w:pPr>
            <w:r w:rsidRPr="002C2C75">
              <w:rPr>
                <w:color w:val="000000"/>
              </w:rPr>
              <w:t>Development of strategy, governance, and policy documents for community-led and community-based organizations, such as human resource policies, resource mobilization and social dialogue strategies for either individual organizations and/or networks of organizations will contribute to their capacity to participate in the disease response. Small and nascent community-led and community-based organizations, which represent under-served populations (and/or in priority geographical areas, or specific operational contexts), will be able to take up a stronger role in the national response to HIV, TB, malaria and other related issues, such as Gender-based Violence (GBV).</w:t>
            </w:r>
          </w:p>
        </w:tc>
      </w:tr>
      <w:tr w:rsidR="000326D2" w:rsidRPr="002C2C75" w14:paraId="437A1336" w14:textId="77777777" w:rsidTr="00E74D8B">
        <w:trPr>
          <w:gridAfter w:val="1"/>
          <w:wAfter w:w="68" w:type="dxa"/>
          <w:cantSplit/>
        </w:trPr>
        <w:tc>
          <w:tcPr>
            <w:tcW w:w="2482" w:type="dxa"/>
          </w:tcPr>
          <w:p w14:paraId="7FD1E66E" w14:textId="77777777" w:rsidR="000326D2" w:rsidRDefault="000326D2" w:rsidP="000326D2">
            <w:pPr>
              <w:pBdr>
                <w:top w:val="nil"/>
                <w:left w:val="nil"/>
                <w:bottom w:val="nil"/>
                <w:right w:val="nil"/>
                <w:between w:val="nil"/>
              </w:pBdr>
              <w:spacing w:line="264" w:lineRule="auto"/>
              <w:rPr>
                <w:b/>
                <w:bCs/>
                <w:i/>
                <w:iCs/>
                <w:color w:val="000000"/>
              </w:rPr>
            </w:pPr>
            <w:r w:rsidRPr="00E51982">
              <w:rPr>
                <w:b/>
                <w:bCs/>
                <w:i/>
                <w:iCs/>
                <w:color w:val="000000"/>
              </w:rPr>
              <w:t>MODULE 8 TOTAL</w:t>
            </w:r>
          </w:p>
          <w:p w14:paraId="339557FF" w14:textId="6C9AE355" w:rsidR="00036B0D" w:rsidRPr="00E51982" w:rsidRDefault="00036B0D" w:rsidP="000326D2">
            <w:pPr>
              <w:pBdr>
                <w:top w:val="nil"/>
                <w:left w:val="nil"/>
                <w:bottom w:val="nil"/>
                <w:right w:val="nil"/>
                <w:between w:val="nil"/>
              </w:pBdr>
              <w:spacing w:line="264" w:lineRule="auto"/>
              <w:rPr>
                <w:b/>
                <w:bCs/>
                <w:i/>
                <w:iCs/>
                <w:color w:val="000000"/>
              </w:rPr>
            </w:pPr>
          </w:p>
        </w:tc>
        <w:tc>
          <w:tcPr>
            <w:tcW w:w="12723" w:type="dxa"/>
            <w:gridSpan w:val="2"/>
          </w:tcPr>
          <w:p w14:paraId="035D8F02" w14:textId="08252927" w:rsidR="000326D2" w:rsidRPr="002C2C75" w:rsidRDefault="000326D2" w:rsidP="000326D2">
            <w:pPr>
              <w:rPr>
                <w:b/>
                <w:bCs/>
                <w:i/>
                <w:iCs/>
              </w:rPr>
            </w:pPr>
            <w:r w:rsidRPr="002C2C75">
              <w:rPr>
                <w:b/>
                <w:bCs/>
                <w:i/>
                <w:iCs/>
              </w:rPr>
              <w:t>Within Allocation: $</w:t>
            </w:r>
            <w:r>
              <w:rPr>
                <w:b/>
                <w:bCs/>
                <w:i/>
                <w:iCs/>
              </w:rPr>
              <w:t>6</w:t>
            </w:r>
            <w:r w:rsidRPr="002C2C75">
              <w:rPr>
                <w:b/>
                <w:bCs/>
                <w:i/>
                <w:iCs/>
              </w:rPr>
              <w:t>,0000,000</w:t>
            </w:r>
          </w:p>
          <w:p w14:paraId="3743EA23" w14:textId="19FCFCA5" w:rsidR="000326D2" w:rsidRPr="002C2C75" w:rsidRDefault="000326D2" w:rsidP="000326D2">
            <w:r w:rsidRPr="002C2C75">
              <w:rPr>
                <w:b/>
                <w:bCs/>
                <w:i/>
                <w:iCs/>
              </w:rPr>
              <w:t>PAAR: $</w:t>
            </w:r>
            <w:r>
              <w:rPr>
                <w:b/>
                <w:bCs/>
                <w:i/>
                <w:iCs/>
              </w:rPr>
              <w:t>5</w:t>
            </w:r>
            <w:r w:rsidRPr="002C2C75">
              <w:rPr>
                <w:b/>
                <w:bCs/>
                <w:i/>
                <w:iCs/>
              </w:rPr>
              <w:t>,</w:t>
            </w:r>
            <w:r>
              <w:rPr>
                <w:b/>
                <w:bCs/>
                <w:i/>
                <w:iCs/>
              </w:rPr>
              <w:t>172</w:t>
            </w:r>
            <w:r w:rsidRPr="002C2C75">
              <w:rPr>
                <w:b/>
                <w:bCs/>
                <w:i/>
                <w:iCs/>
              </w:rPr>
              <w:t>,0</w:t>
            </w:r>
            <w:r>
              <w:rPr>
                <w:b/>
                <w:bCs/>
                <w:i/>
                <w:iCs/>
              </w:rPr>
              <w:t>77</w:t>
            </w:r>
            <w:r w:rsidRPr="002C2C75">
              <w:t xml:space="preserve"> </w:t>
            </w:r>
          </w:p>
        </w:tc>
      </w:tr>
      <w:tr w:rsidR="0026004E" w:rsidRPr="002C2C75" w14:paraId="100F2179" w14:textId="77777777" w:rsidTr="00036B0D">
        <w:trPr>
          <w:gridAfter w:val="1"/>
          <w:wAfter w:w="68" w:type="dxa"/>
          <w:cantSplit/>
        </w:trPr>
        <w:tc>
          <w:tcPr>
            <w:tcW w:w="2605" w:type="dxa"/>
            <w:gridSpan w:val="2"/>
          </w:tcPr>
          <w:p w14:paraId="74D4FB2B" w14:textId="01C8162E" w:rsidR="0026004E" w:rsidRPr="002C2C75" w:rsidRDefault="0026004E" w:rsidP="00021BDE">
            <w:pPr>
              <w:pBdr>
                <w:top w:val="nil"/>
                <w:left w:val="nil"/>
                <w:bottom w:val="nil"/>
                <w:right w:val="nil"/>
                <w:between w:val="nil"/>
              </w:pBdr>
              <w:spacing w:line="264" w:lineRule="auto"/>
              <w:rPr>
                <w:b/>
                <w:bCs/>
                <w:color w:val="000000"/>
              </w:rPr>
            </w:pPr>
            <w:r w:rsidRPr="002C2C75">
              <w:rPr>
                <w:b/>
                <w:bCs/>
                <w:color w:val="000000"/>
              </w:rPr>
              <w:t xml:space="preserve">Module </w:t>
            </w:r>
            <w:r w:rsidR="00FC2901" w:rsidRPr="002C2C75">
              <w:rPr>
                <w:b/>
                <w:bCs/>
                <w:color w:val="000000"/>
              </w:rPr>
              <w:t>9</w:t>
            </w:r>
          </w:p>
        </w:tc>
        <w:tc>
          <w:tcPr>
            <w:tcW w:w="12600" w:type="dxa"/>
          </w:tcPr>
          <w:p w14:paraId="29B496EF" w14:textId="60AF09F9" w:rsidR="0026004E" w:rsidRPr="000B1056" w:rsidRDefault="003874B9" w:rsidP="00021BDE">
            <w:pPr>
              <w:pBdr>
                <w:top w:val="nil"/>
                <w:left w:val="nil"/>
                <w:bottom w:val="nil"/>
                <w:right w:val="nil"/>
                <w:between w:val="nil"/>
              </w:pBdr>
              <w:spacing w:line="264" w:lineRule="auto"/>
              <w:jc w:val="both"/>
              <w:rPr>
                <w:rFonts w:cstheme="minorHAnsi"/>
                <w:b/>
                <w:bCs/>
                <w:color w:val="000000"/>
                <w:u w:val="single"/>
              </w:rPr>
            </w:pPr>
            <w:r w:rsidRPr="002C2C75">
              <w:rPr>
                <w:rFonts w:cstheme="minorHAnsi"/>
                <w:b/>
                <w:bCs/>
                <w:color w:val="000000"/>
              </w:rPr>
              <w:t xml:space="preserve">RSSH: </w:t>
            </w:r>
            <w:r w:rsidR="0026004E" w:rsidRPr="002C2C75">
              <w:rPr>
                <w:rFonts w:cstheme="minorHAnsi"/>
                <w:b/>
                <w:bCs/>
                <w:color w:val="000000"/>
              </w:rPr>
              <w:t>Health Products Management Systems</w:t>
            </w:r>
            <w:r w:rsidR="000B1056">
              <w:rPr>
                <w:rFonts w:cstheme="minorHAnsi"/>
                <w:b/>
                <w:bCs/>
                <w:color w:val="000000"/>
              </w:rPr>
              <w:t xml:space="preserve"> (</w:t>
            </w:r>
            <w:r w:rsidR="000B1056">
              <w:rPr>
                <w:rFonts w:cstheme="minorHAnsi"/>
                <w:b/>
                <w:bCs/>
                <w:color w:val="000000"/>
                <w:u w:val="single"/>
              </w:rPr>
              <w:t>cross-cutting Health Products Management)</w:t>
            </w:r>
          </w:p>
        </w:tc>
      </w:tr>
      <w:tr w:rsidR="0026004E" w:rsidRPr="002C2C75" w14:paraId="3DBDC375" w14:textId="77777777" w:rsidTr="00036B0D">
        <w:trPr>
          <w:gridAfter w:val="1"/>
          <w:wAfter w:w="68" w:type="dxa"/>
          <w:cantSplit/>
        </w:trPr>
        <w:tc>
          <w:tcPr>
            <w:tcW w:w="2605" w:type="dxa"/>
            <w:gridSpan w:val="2"/>
          </w:tcPr>
          <w:p w14:paraId="2F83DFD9" w14:textId="02DC590B" w:rsidR="0026004E" w:rsidRPr="00EA49FB" w:rsidRDefault="0026004E" w:rsidP="00021BDE">
            <w:pPr>
              <w:pBdr>
                <w:top w:val="nil"/>
                <w:left w:val="nil"/>
                <w:bottom w:val="nil"/>
                <w:right w:val="nil"/>
                <w:between w:val="nil"/>
              </w:pBdr>
              <w:spacing w:line="264" w:lineRule="auto"/>
              <w:rPr>
                <w:b/>
                <w:bCs/>
                <w:color w:val="000000"/>
              </w:rPr>
            </w:pPr>
            <w:r w:rsidRPr="00EA49FB">
              <w:rPr>
                <w:b/>
                <w:bCs/>
                <w:color w:val="000000"/>
              </w:rPr>
              <w:t xml:space="preserve">Intervention(s) </w:t>
            </w:r>
          </w:p>
        </w:tc>
        <w:tc>
          <w:tcPr>
            <w:tcW w:w="12600" w:type="dxa"/>
          </w:tcPr>
          <w:p w14:paraId="23E34E7C" w14:textId="4F671953" w:rsidR="00FC2901" w:rsidRPr="002C2C75" w:rsidRDefault="00E51982" w:rsidP="00021BDE">
            <w:pPr>
              <w:pBdr>
                <w:top w:val="nil"/>
                <w:left w:val="nil"/>
                <w:bottom w:val="nil"/>
                <w:right w:val="nil"/>
                <w:between w:val="nil"/>
              </w:pBdr>
              <w:spacing w:line="264" w:lineRule="auto"/>
              <w:jc w:val="both"/>
              <w:rPr>
                <w:rFonts w:cstheme="minorHAnsi"/>
                <w:b/>
                <w:bCs/>
                <w:color w:val="000000"/>
              </w:rPr>
            </w:pPr>
            <w:r>
              <w:rPr>
                <w:rFonts w:cstheme="minorHAnsi"/>
                <w:b/>
                <w:bCs/>
                <w:color w:val="000000"/>
              </w:rPr>
              <w:t xml:space="preserve">Intervention: </w:t>
            </w:r>
            <w:r w:rsidR="0026004E" w:rsidRPr="00E51982">
              <w:rPr>
                <w:rFonts w:cstheme="minorHAnsi"/>
                <w:color w:val="000000"/>
              </w:rPr>
              <w:t>Policy, strategy, governance</w:t>
            </w:r>
            <w:r w:rsidR="0026004E" w:rsidRPr="002C2C75">
              <w:rPr>
                <w:rFonts w:cstheme="minorHAnsi"/>
                <w:b/>
                <w:bCs/>
                <w:color w:val="000000"/>
              </w:rPr>
              <w:t xml:space="preserve"> </w:t>
            </w:r>
          </w:p>
          <w:p w14:paraId="712F46D8" w14:textId="17851EE2" w:rsidR="00FC2901" w:rsidRPr="002C2C75" w:rsidRDefault="0026004E" w:rsidP="00EA49FB">
            <w:pPr>
              <w:pBdr>
                <w:top w:val="nil"/>
                <w:left w:val="nil"/>
                <w:bottom w:val="nil"/>
                <w:right w:val="nil"/>
                <w:between w:val="nil"/>
              </w:pBdr>
              <w:spacing w:line="264" w:lineRule="auto"/>
              <w:jc w:val="both"/>
              <w:rPr>
                <w:rFonts w:cstheme="minorHAnsi"/>
                <w:color w:val="000000"/>
              </w:rPr>
            </w:pPr>
            <w:r w:rsidRPr="002C2C75">
              <w:rPr>
                <w:rFonts w:cstheme="minorHAnsi"/>
                <w:color w:val="000000"/>
              </w:rPr>
              <w:t xml:space="preserve">Change in Programming from current grant: </w:t>
            </w:r>
            <w:r w:rsidRPr="002C2C75">
              <w:rPr>
                <w:rFonts w:ascii="Segoe UI Symbol" w:eastAsia="MS Gothic" w:hAnsi="Segoe UI Symbol" w:cs="Segoe UI Symbol"/>
                <w:color w:val="000000"/>
              </w:rPr>
              <w:t>☒</w:t>
            </w:r>
            <w:r w:rsidRPr="002C2C75">
              <w:rPr>
                <w:rFonts w:cstheme="minorHAnsi"/>
                <w:color w:val="000000"/>
              </w:rPr>
              <w:t xml:space="preserve"> New, </w:t>
            </w:r>
            <w:sdt>
              <w:sdtPr>
                <w:rPr>
                  <w:rFonts w:cstheme="minorHAnsi"/>
                </w:rPr>
                <w:tag w:val="goog_rdk_5"/>
                <w:id w:val="1494989412"/>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Scale-up, </w:t>
            </w:r>
            <w:sdt>
              <w:sdtPr>
                <w:rPr>
                  <w:rFonts w:cstheme="minorHAnsi"/>
                </w:rPr>
                <w:tag w:val="goog_rdk_6"/>
                <w:id w:val="-85386401"/>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Continuation, or </w:t>
            </w:r>
            <w:sdt>
              <w:sdtPr>
                <w:rPr>
                  <w:rFonts w:cstheme="minorHAnsi"/>
                </w:rPr>
                <w:tag w:val="goog_rdk_7"/>
                <w:id w:val="1545711168"/>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Scale-down</w:t>
            </w:r>
          </w:p>
        </w:tc>
      </w:tr>
      <w:tr w:rsidR="00036B0D" w:rsidRPr="002C2C75" w14:paraId="68BCF2CB" w14:textId="77777777" w:rsidTr="00036B0D">
        <w:trPr>
          <w:gridAfter w:val="1"/>
          <w:wAfter w:w="68" w:type="dxa"/>
          <w:cantSplit/>
        </w:trPr>
        <w:tc>
          <w:tcPr>
            <w:tcW w:w="2605" w:type="dxa"/>
            <w:gridSpan w:val="2"/>
          </w:tcPr>
          <w:p w14:paraId="26D3D02E" w14:textId="33AC6AA9" w:rsidR="00036B0D" w:rsidRPr="00EA49FB" w:rsidRDefault="00036B0D" w:rsidP="00021BDE">
            <w:pPr>
              <w:pBdr>
                <w:top w:val="nil"/>
                <w:left w:val="nil"/>
                <w:bottom w:val="nil"/>
                <w:right w:val="nil"/>
                <w:between w:val="nil"/>
              </w:pBdr>
              <w:spacing w:line="264" w:lineRule="auto"/>
              <w:rPr>
                <w:b/>
                <w:bCs/>
                <w:color w:val="000000"/>
              </w:rPr>
            </w:pPr>
            <w:r w:rsidRPr="00EA49FB">
              <w:rPr>
                <w:b/>
                <w:bCs/>
                <w:color w:val="000000"/>
              </w:rPr>
              <w:t>Population, geographies and/or barriers addressed</w:t>
            </w:r>
          </w:p>
        </w:tc>
        <w:tc>
          <w:tcPr>
            <w:tcW w:w="12600" w:type="dxa"/>
          </w:tcPr>
          <w:p w14:paraId="20282089" w14:textId="77777777" w:rsidR="00036B0D" w:rsidRPr="00E74D8B" w:rsidRDefault="00036B0D" w:rsidP="00036B0D">
            <w:pPr>
              <w:pBdr>
                <w:top w:val="nil"/>
                <w:left w:val="nil"/>
                <w:bottom w:val="nil"/>
                <w:right w:val="nil"/>
                <w:between w:val="nil"/>
              </w:pBdr>
              <w:spacing w:line="264" w:lineRule="auto"/>
              <w:jc w:val="both"/>
              <w:rPr>
                <w:color w:val="000000"/>
              </w:rPr>
            </w:pPr>
            <w:r w:rsidRPr="00E74D8B">
              <w:rPr>
                <w:color w:val="000000"/>
              </w:rPr>
              <w:t xml:space="preserve">The Decree 34/2022 of July 19, which transforms CMAM into a Public Institute, with administrative autonomy and responsibility for delivering health products nationwide under a single command, has contributed to significant improvements of supply chain governance. CMAM’s Organic Statute and its Internal Regulation are currently being developed and expected to be finalized in 2023, which will consolidate CMAMs governance. </w:t>
            </w:r>
          </w:p>
          <w:p w14:paraId="3E74FDB6" w14:textId="77777777" w:rsidR="00036B0D" w:rsidRPr="00E74D8B" w:rsidRDefault="00036B0D" w:rsidP="00036B0D">
            <w:pPr>
              <w:pBdr>
                <w:top w:val="nil"/>
                <w:left w:val="nil"/>
                <w:bottom w:val="nil"/>
                <w:right w:val="nil"/>
                <w:between w:val="nil"/>
              </w:pBdr>
              <w:spacing w:line="264" w:lineRule="auto"/>
              <w:jc w:val="both"/>
              <w:rPr>
                <w:color w:val="000000"/>
              </w:rPr>
            </w:pPr>
            <w:r w:rsidRPr="00E74D8B">
              <w:rPr>
                <w:color w:val="000000"/>
              </w:rPr>
              <w:t xml:space="preserve">The review of the PELF 2014-2023 is scheduled for 2023 and the new strategy will cover the 2024-2033 period (ten years), and reflections on key issues like supply chain sustainability, training needs, CMAM capacity and physical space among other. It will necessarily include a roadmap for its implementation and detailed workplans to ensure consistency, effectiveness, and sustainability. Once approved, it will require wide advocacy and dissemination by the main implementers, and with a focus on the Central and Provincial Government, and sector partners. </w:t>
            </w:r>
          </w:p>
          <w:p w14:paraId="26E63646" w14:textId="1AF97A0C" w:rsidR="00036B0D" w:rsidRPr="00036B0D" w:rsidRDefault="00036B0D" w:rsidP="00021BDE">
            <w:pPr>
              <w:pBdr>
                <w:top w:val="nil"/>
                <w:left w:val="nil"/>
                <w:bottom w:val="nil"/>
                <w:right w:val="nil"/>
                <w:between w:val="nil"/>
              </w:pBdr>
              <w:spacing w:line="264" w:lineRule="auto"/>
              <w:jc w:val="both"/>
              <w:rPr>
                <w:color w:val="000000"/>
              </w:rPr>
            </w:pPr>
            <w:r w:rsidRPr="00E74D8B">
              <w:rPr>
                <w:color w:val="000000"/>
              </w:rPr>
              <w:t>The PELF advocates for logistician training and in-service training as critical activities to improve supply chain management. Thus, CMAM will coordinate with MISAU’s training directorate (training regulator) and ESCISA (implementing agency) for the completion of the first higher education course on health logistics, as well as the development of a modular training system in logistics that guarantees training credits for existing professionals. It should be noted that the curriculum for the higher education course was developed in collaboration with Village Reach and ARC – Africa Resource Center and was already approved by the Ministry of Science and Technology.</w:t>
            </w:r>
          </w:p>
        </w:tc>
      </w:tr>
      <w:tr w:rsidR="0026004E" w:rsidRPr="002C2C75" w14:paraId="631A262F" w14:textId="77777777" w:rsidTr="00036B0D">
        <w:trPr>
          <w:gridAfter w:val="1"/>
          <w:wAfter w:w="68" w:type="dxa"/>
          <w:cantSplit/>
        </w:trPr>
        <w:tc>
          <w:tcPr>
            <w:tcW w:w="2605" w:type="dxa"/>
            <w:gridSpan w:val="2"/>
          </w:tcPr>
          <w:p w14:paraId="34002410" w14:textId="6FCBD91A" w:rsidR="0026004E" w:rsidRPr="00EA49FB" w:rsidRDefault="0026004E" w:rsidP="00021BDE">
            <w:pPr>
              <w:pBdr>
                <w:top w:val="nil"/>
                <w:left w:val="nil"/>
                <w:bottom w:val="nil"/>
                <w:right w:val="nil"/>
                <w:between w:val="nil"/>
              </w:pBdr>
              <w:spacing w:line="264" w:lineRule="auto"/>
              <w:rPr>
                <w:b/>
                <w:bCs/>
                <w:color w:val="000000"/>
              </w:rPr>
            </w:pPr>
          </w:p>
        </w:tc>
        <w:tc>
          <w:tcPr>
            <w:tcW w:w="12600" w:type="dxa"/>
          </w:tcPr>
          <w:p w14:paraId="563A20A1" w14:textId="77777777" w:rsidR="00E74D8B" w:rsidRPr="00E74D8B" w:rsidRDefault="00E74D8B" w:rsidP="00E74D8B">
            <w:pPr>
              <w:pBdr>
                <w:top w:val="nil"/>
                <w:left w:val="nil"/>
                <w:bottom w:val="nil"/>
                <w:right w:val="nil"/>
                <w:between w:val="nil"/>
              </w:pBdr>
              <w:spacing w:line="264" w:lineRule="auto"/>
              <w:jc w:val="both"/>
              <w:rPr>
                <w:color w:val="000000"/>
              </w:rPr>
            </w:pPr>
            <w:r w:rsidRPr="00E74D8B">
              <w:rPr>
                <w:color w:val="000000"/>
              </w:rPr>
              <w:t>CMAM’s new legal framework, gains from the NFM3 investments in warehousing capacity and waste management, availability of dedicated logisticians, and information systems investments will support PELF implementation. It should also be noted that the fully operational PELF, in conjunction with planned EI systems and resources, will increase the efficiency and security of the supply chain, thereby minimizing stockouts of medicines and other essential health commodities, including for HIV programs /AIDS, tuberculosis and malaria, as well as to respond to the expansion of iCCM activities</w:t>
            </w:r>
          </w:p>
          <w:p w14:paraId="0F029336" w14:textId="77777777" w:rsidR="00E74D8B" w:rsidRPr="00E74D8B" w:rsidRDefault="00E74D8B" w:rsidP="00E74D8B">
            <w:pPr>
              <w:pBdr>
                <w:top w:val="nil"/>
                <w:left w:val="nil"/>
                <w:bottom w:val="nil"/>
                <w:right w:val="nil"/>
                <w:between w:val="nil"/>
              </w:pBdr>
              <w:spacing w:line="264" w:lineRule="auto"/>
              <w:jc w:val="both"/>
              <w:rPr>
                <w:color w:val="000000"/>
              </w:rPr>
            </w:pPr>
            <w:r w:rsidRPr="00E74D8B">
              <w:rPr>
                <w:color w:val="000000"/>
              </w:rPr>
              <w:t>In fact, the integrated Logistics Management Information System (LMIS) is designed to report on all products, with a dedicated segments that caters to the main health programs: MMIA for Antiretrovirals (ARVs), MMIT, MMTB, and MMCM. Enhanced Transport Support provides for improved transport services, particularly from the Central to Provincial/Intermediary levels, addressing one of the major inefficiencies in the supply chain, that hinders programs such as Tuberculosis (TB) and Malaria that require more frequent distribution. Additionally, it complements one of the significant achievements of the supply chain, the last mile distribution improvement.</w:t>
            </w:r>
          </w:p>
          <w:p w14:paraId="2E433377" w14:textId="70D64679" w:rsidR="0026004E" w:rsidRPr="002C2C75" w:rsidRDefault="00E74D8B" w:rsidP="00E74D8B">
            <w:pPr>
              <w:pBdr>
                <w:top w:val="nil"/>
                <w:left w:val="nil"/>
                <w:bottom w:val="nil"/>
                <w:right w:val="nil"/>
                <w:between w:val="nil"/>
              </w:pBdr>
              <w:spacing w:line="264" w:lineRule="auto"/>
              <w:jc w:val="both"/>
              <w:rPr>
                <w:color w:val="000000"/>
              </w:rPr>
            </w:pPr>
            <w:r w:rsidRPr="00E74D8B">
              <w:rPr>
                <w:color w:val="000000"/>
              </w:rPr>
              <w:t>To develop the proposal a program-budget approach was used to identify activities (work plans) and estimate costs for all supply chain, under CMAM responsibility, covering the 3 years (2024-2026). With this approach was possible to identify expected funding from several source including GOM and the priority GAPs were then allocated to this FR, considering the amount available.</w:t>
            </w:r>
          </w:p>
        </w:tc>
      </w:tr>
      <w:tr w:rsidR="00FC2901" w:rsidRPr="002C2C75" w14:paraId="128C370A" w14:textId="77777777" w:rsidTr="00036B0D">
        <w:trPr>
          <w:gridAfter w:val="1"/>
          <w:wAfter w:w="68" w:type="dxa"/>
          <w:cantSplit/>
        </w:trPr>
        <w:tc>
          <w:tcPr>
            <w:tcW w:w="2605" w:type="dxa"/>
            <w:gridSpan w:val="2"/>
          </w:tcPr>
          <w:p w14:paraId="7D37BDA0" w14:textId="62645BA5" w:rsidR="00FC2901" w:rsidRPr="00EA49FB" w:rsidRDefault="00EA49FB" w:rsidP="00FC2901">
            <w:pPr>
              <w:pBdr>
                <w:top w:val="nil"/>
                <w:left w:val="nil"/>
                <w:bottom w:val="nil"/>
                <w:right w:val="nil"/>
                <w:between w:val="nil"/>
              </w:pBdr>
              <w:spacing w:line="264" w:lineRule="auto"/>
              <w:rPr>
                <w:b/>
                <w:bCs/>
                <w:color w:val="000000"/>
              </w:rPr>
            </w:pPr>
            <w:r w:rsidRPr="00EA49FB">
              <w:rPr>
                <w:b/>
                <w:bCs/>
                <w:color w:val="000000"/>
              </w:rPr>
              <w:t>List of activities</w:t>
            </w:r>
          </w:p>
        </w:tc>
        <w:tc>
          <w:tcPr>
            <w:tcW w:w="12600" w:type="dxa"/>
          </w:tcPr>
          <w:p w14:paraId="5373367F" w14:textId="77777777" w:rsidR="00EA49FB" w:rsidRDefault="00EA49FB" w:rsidP="00EA49FB">
            <w:pPr>
              <w:numPr>
                <w:ilvl w:val="0"/>
                <w:numId w:val="61"/>
              </w:numPr>
              <w:pBdr>
                <w:top w:val="nil"/>
                <w:left w:val="nil"/>
                <w:bottom w:val="nil"/>
                <w:right w:val="nil"/>
                <w:between w:val="nil"/>
              </w:pBdr>
              <w:spacing w:after="0" w:line="264" w:lineRule="auto"/>
              <w:jc w:val="both"/>
              <w:rPr>
                <w:rFonts w:cstheme="minorHAnsi"/>
                <w:color w:val="000000"/>
              </w:rPr>
            </w:pPr>
            <w:r w:rsidRPr="002C2C75">
              <w:rPr>
                <w:rFonts w:cstheme="minorHAnsi"/>
                <w:color w:val="000000"/>
              </w:rPr>
              <w:t>Disseminate the PELF 2024-2033</w:t>
            </w:r>
          </w:p>
          <w:p w14:paraId="6D91EF0A" w14:textId="0169D093" w:rsidR="00FC2901" w:rsidRPr="00EA49FB" w:rsidRDefault="00EA49FB" w:rsidP="00EA49FB">
            <w:pPr>
              <w:numPr>
                <w:ilvl w:val="0"/>
                <w:numId w:val="61"/>
              </w:numPr>
              <w:pBdr>
                <w:top w:val="nil"/>
                <w:left w:val="nil"/>
                <w:bottom w:val="nil"/>
                <w:right w:val="nil"/>
                <w:between w:val="nil"/>
              </w:pBdr>
              <w:spacing w:after="0" w:line="264" w:lineRule="auto"/>
              <w:jc w:val="both"/>
              <w:rPr>
                <w:rFonts w:cstheme="minorHAnsi"/>
                <w:color w:val="000000"/>
              </w:rPr>
            </w:pPr>
            <w:r w:rsidRPr="00EA49FB">
              <w:rPr>
                <w:rFonts w:cstheme="minorHAnsi"/>
                <w:color w:val="000000"/>
              </w:rPr>
              <w:t>Carry out initial and modular training for supply chain logistics, in collaboration with ISCISA.</w:t>
            </w:r>
          </w:p>
        </w:tc>
      </w:tr>
      <w:tr w:rsidR="00FC2901" w:rsidRPr="002C2C75" w14:paraId="74DFEB82" w14:textId="77777777" w:rsidTr="00036B0D">
        <w:trPr>
          <w:gridAfter w:val="1"/>
          <w:wAfter w:w="68" w:type="dxa"/>
          <w:cantSplit/>
        </w:trPr>
        <w:tc>
          <w:tcPr>
            <w:tcW w:w="2605" w:type="dxa"/>
            <w:gridSpan w:val="2"/>
          </w:tcPr>
          <w:p w14:paraId="28283D65" w14:textId="77777777" w:rsidR="00FC2901" w:rsidRPr="00EA49FB" w:rsidRDefault="00FC2901" w:rsidP="00FC2901">
            <w:pPr>
              <w:pBdr>
                <w:top w:val="nil"/>
                <w:left w:val="nil"/>
                <w:bottom w:val="nil"/>
                <w:right w:val="nil"/>
                <w:between w:val="nil"/>
              </w:pBdr>
              <w:spacing w:line="264" w:lineRule="auto"/>
              <w:rPr>
                <w:b/>
                <w:bCs/>
                <w:color w:val="000000"/>
              </w:rPr>
            </w:pPr>
            <w:r w:rsidRPr="00EA49FB">
              <w:rPr>
                <w:b/>
                <w:bCs/>
                <w:color w:val="000000"/>
              </w:rPr>
              <w:t>Amount requested</w:t>
            </w:r>
          </w:p>
        </w:tc>
        <w:tc>
          <w:tcPr>
            <w:tcW w:w="12600" w:type="dxa"/>
          </w:tcPr>
          <w:p w14:paraId="5A6BCE8D" w14:textId="5BF4252C" w:rsidR="00FC2901" w:rsidRPr="002C2C75" w:rsidRDefault="00FC2901" w:rsidP="00FC2901">
            <w:pPr>
              <w:pBdr>
                <w:top w:val="nil"/>
                <w:left w:val="nil"/>
                <w:bottom w:val="nil"/>
                <w:right w:val="nil"/>
                <w:between w:val="nil"/>
              </w:pBdr>
              <w:spacing w:line="264" w:lineRule="auto"/>
              <w:jc w:val="both"/>
              <w:rPr>
                <w:b/>
                <w:bCs/>
                <w:color w:val="000000"/>
              </w:rPr>
            </w:pPr>
            <w:r w:rsidRPr="002C2C75">
              <w:rPr>
                <w:b/>
                <w:bCs/>
                <w:color w:val="000000"/>
              </w:rPr>
              <w:t>Within allocation: $428,132</w:t>
            </w:r>
          </w:p>
        </w:tc>
      </w:tr>
      <w:tr w:rsidR="00EA49FB" w:rsidRPr="002C2C75" w14:paraId="7B0CA482" w14:textId="77777777" w:rsidTr="00036B0D">
        <w:trPr>
          <w:gridAfter w:val="1"/>
          <w:wAfter w:w="68" w:type="dxa"/>
          <w:cantSplit/>
        </w:trPr>
        <w:tc>
          <w:tcPr>
            <w:tcW w:w="2605" w:type="dxa"/>
            <w:gridSpan w:val="2"/>
          </w:tcPr>
          <w:p w14:paraId="0DDB46FC" w14:textId="72EAEE2C" w:rsidR="00EA49FB" w:rsidRPr="00EA49FB" w:rsidRDefault="00EA49FB" w:rsidP="00EA49FB">
            <w:pPr>
              <w:pBdr>
                <w:top w:val="nil"/>
                <w:left w:val="nil"/>
                <w:bottom w:val="nil"/>
                <w:right w:val="nil"/>
                <w:between w:val="nil"/>
              </w:pBdr>
              <w:spacing w:line="264" w:lineRule="auto"/>
              <w:rPr>
                <w:b/>
                <w:bCs/>
                <w:color w:val="000000"/>
              </w:rPr>
            </w:pPr>
            <w:r w:rsidRPr="00EA49FB">
              <w:rPr>
                <w:b/>
                <w:bCs/>
                <w:color w:val="000000"/>
              </w:rPr>
              <w:t>Expected outcome</w:t>
            </w:r>
          </w:p>
        </w:tc>
        <w:tc>
          <w:tcPr>
            <w:tcW w:w="12600" w:type="dxa"/>
          </w:tcPr>
          <w:p w14:paraId="23BB9ABB" w14:textId="77777777" w:rsidR="00EA49FB" w:rsidRDefault="00EA49FB" w:rsidP="00EA49FB">
            <w:pPr>
              <w:numPr>
                <w:ilvl w:val="0"/>
                <w:numId w:val="61"/>
              </w:numPr>
              <w:pBdr>
                <w:top w:val="nil"/>
                <w:left w:val="nil"/>
                <w:bottom w:val="nil"/>
                <w:right w:val="nil"/>
                <w:between w:val="nil"/>
              </w:pBdr>
              <w:spacing w:after="0" w:line="264" w:lineRule="auto"/>
              <w:jc w:val="both"/>
              <w:rPr>
                <w:color w:val="000000"/>
              </w:rPr>
            </w:pPr>
            <w:r w:rsidRPr="002C2C75">
              <w:rPr>
                <w:color w:val="000000"/>
              </w:rPr>
              <w:t>PELF disseminated and staff familiarized at key levels of supply chain management</w:t>
            </w:r>
          </w:p>
          <w:p w14:paraId="303EFA14" w14:textId="39BD06D3" w:rsidR="00EA49FB" w:rsidRPr="00EA49FB" w:rsidRDefault="00EA49FB" w:rsidP="00EA49FB">
            <w:pPr>
              <w:numPr>
                <w:ilvl w:val="0"/>
                <w:numId w:val="61"/>
              </w:numPr>
              <w:pBdr>
                <w:top w:val="nil"/>
                <w:left w:val="nil"/>
                <w:bottom w:val="nil"/>
                <w:right w:val="nil"/>
                <w:between w:val="nil"/>
              </w:pBdr>
              <w:spacing w:after="0" w:line="264" w:lineRule="auto"/>
              <w:jc w:val="both"/>
              <w:rPr>
                <w:color w:val="000000"/>
              </w:rPr>
            </w:pPr>
            <w:r w:rsidRPr="00EA49FB">
              <w:rPr>
                <w:color w:val="000000"/>
              </w:rPr>
              <w:t>Ensured initial and modular training for logisticians, on-the-job training for supply chain professionals.</w:t>
            </w:r>
          </w:p>
        </w:tc>
      </w:tr>
      <w:tr w:rsidR="00EA49FB" w:rsidRPr="002C2C75" w14:paraId="62D3F88E" w14:textId="77777777" w:rsidTr="00036B0D">
        <w:trPr>
          <w:gridAfter w:val="1"/>
          <w:wAfter w:w="68" w:type="dxa"/>
          <w:cantSplit/>
        </w:trPr>
        <w:tc>
          <w:tcPr>
            <w:tcW w:w="2605" w:type="dxa"/>
            <w:gridSpan w:val="2"/>
          </w:tcPr>
          <w:p w14:paraId="6F46D2FE" w14:textId="05FE8E97" w:rsidR="00EA49FB" w:rsidRPr="00EA49FB" w:rsidRDefault="00EA49FB" w:rsidP="00EA49FB">
            <w:pPr>
              <w:pBdr>
                <w:top w:val="nil"/>
                <w:left w:val="nil"/>
                <w:bottom w:val="nil"/>
                <w:right w:val="nil"/>
                <w:between w:val="nil"/>
              </w:pBdr>
              <w:spacing w:line="264" w:lineRule="auto"/>
              <w:rPr>
                <w:b/>
                <w:bCs/>
                <w:color w:val="000000"/>
              </w:rPr>
            </w:pPr>
            <w:r w:rsidRPr="00EA49FB">
              <w:rPr>
                <w:b/>
                <w:bCs/>
                <w:color w:val="000000"/>
              </w:rPr>
              <w:t xml:space="preserve">Intervention(s) </w:t>
            </w:r>
          </w:p>
        </w:tc>
        <w:tc>
          <w:tcPr>
            <w:tcW w:w="12600" w:type="dxa"/>
          </w:tcPr>
          <w:p w14:paraId="762EFC2D" w14:textId="31BE7B1E" w:rsidR="00EA49FB" w:rsidRPr="00EA49FB" w:rsidRDefault="00EA49FB" w:rsidP="00EA49FB">
            <w:pPr>
              <w:pBdr>
                <w:top w:val="nil"/>
                <w:left w:val="nil"/>
                <w:bottom w:val="nil"/>
                <w:right w:val="nil"/>
                <w:between w:val="nil"/>
              </w:pBdr>
              <w:spacing w:line="264" w:lineRule="auto"/>
              <w:jc w:val="both"/>
              <w:rPr>
                <w:color w:val="000000"/>
              </w:rPr>
            </w:pPr>
            <w:r>
              <w:rPr>
                <w:b/>
                <w:bCs/>
                <w:color w:val="000000"/>
              </w:rPr>
              <w:t xml:space="preserve">Intervention: </w:t>
            </w:r>
            <w:r w:rsidRPr="00EA49FB">
              <w:rPr>
                <w:color w:val="000000"/>
              </w:rPr>
              <w:t xml:space="preserve">Storage and distribution capacity, design &amp; operations  </w:t>
            </w:r>
          </w:p>
          <w:p w14:paraId="0B1940B4" w14:textId="6B0C9E15" w:rsidR="00EA49FB" w:rsidRPr="00962A4A" w:rsidRDefault="00EA49FB" w:rsidP="00EA49FB">
            <w:pPr>
              <w:pBdr>
                <w:top w:val="nil"/>
                <w:left w:val="nil"/>
                <w:bottom w:val="nil"/>
                <w:right w:val="nil"/>
                <w:between w:val="nil"/>
              </w:pBdr>
              <w:spacing w:line="264" w:lineRule="auto"/>
              <w:jc w:val="both"/>
              <w:rPr>
                <w:color w:val="000000"/>
              </w:rPr>
            </w:pPr>
            <w:r w:rsidRPr="00EA49FB">
              <w:rPr>
                <w:color w:val="000000"/>
              </w:rPr>
              <w:t>Change in Pro</w:t>
            </w:r>
            <w:r w:rsidRPr="002C2C75">
              <w:rPr>
                <w:color w:val="000000"/>
              </w:rPr>
              <w:t xml:space="preserve">gramming from current grant: </w:t>
            </w:r>
            <w:r w:rsidRPr="002C2C75">
              <w:rPr>
                <w:rFonts w:ascii="Arial Unicode MS" w:eastAsia="Arial Unicode MS" w:hAnsi="Arial Unicode MS" w:cs="Arial Unicode MS"/>
                <w:color w:val="000000"/>
              </w:rPr>
              <w:t>☐</w:t>
            </w:r>
            <w:r w:rsidRPr="002C2C75">
              <w:rPr>
                <w:color w:val="000000"/>
              </w:rPr>
              <w:t xml:space="preserve"> New, </w:t>
            </w:r>
            <w:r w:rsidRPr="002C2C75">
              <w:rPr>
                <w:rFonts w:ascii="Segoe UI Symbol" w:eastAsia="MS Gothic" w:hAnsi="Segoe UI Symbol" w:cs="Segoe UI Symbol"/>
                <w:color w:val="000000"/>
              </w:rPr>
              <w:t>☒</w:t>
            </w:r>
            <w:r w:rsidRPr="002C2C75">
              <w:rPr>
                <w:color w:val="000000"/>
              </w:rPr>
              <w:t xml:space="preserve"> Scale-up, </w:t>
            </w:r>
            <w:r w:rsidRPr="002C2C75">
              <w:rPr>
                <w:rFonts w:ascii="Arial Unicode MS" w:eastAsia="Arial Unicode MS" w:hAnsi="Arial Unicode MS" w:cs="Arial Unicode MS"/>
                <w:color w:val="000000"/>
              </w:rPr>
              <w:t>☐</w:t>
            </w:r>
            <w:r w:rsidRPr="002C2C75">
              <w:rPr>
                <w:color w:val="000000"/>
              </w:rPr>
              <w:t xml:space="preserve"> Continuation, or </w:t>
            </w:r>
            <w:r w:rsidRPr="002C2C75">
              <w:rPr>
                <w:rFonts w:ascii="Arial Unicode MS" w:eastAsia="Arial Unicode MS" w:hAnsi="Arial Unicode MS" w:cs="Arial Unicode MS"/>
                <w:color w:val="000000"/>
              </w:rPr>
              <w:t>☐</w:t>
            </w:r>
            <w:r w:rsidRPr="002C2C75">
              <w:rPr>
                <w:color w:val="000000"/>
              </w:rPr>
              <w:t xml:space="preserve"> Scale-down</w:t>
            </w:r>
          </w:p>
        </w:tc>
      </w:tr>
      <w:tr w:rsidR="00036B0D" w:rsidRPr="002C2C75" w14:paraId="60EC744A" w14:textId="77777777" w:rsidTr="00036B0D">
        <w:trPr>
          <w:gridAfter w:val="1"/>
          <w:wAfter w:w="68" w:type="dxa"/>
          <w:cantSplit/>
        </w:trPr>
        <w:tc>
          <w:tcPr>
            <w:tcW w:w="2605" w:type="dxa"/>
            <w:gridSpan w:val="2"/>
          </w:tcPr>
          <w:p w14:paraId="7C66C864" w14:textId="1887EBA4" w:rsidR="00036B0D" w:rsidRPr="00EA49FB" w:rsidRDefault="00036B0D" w:rsidP="00EA49FB">
            <w:pPr>
              <w:pBdr>
                <w:top w:val="nil"/>
                <w:left w:val="nil"/>
                <w:bottom w:val="nil"/>
                <w:right w:val="nil"/>
                <w:between w:val="nil"/>
              </w:pBdr>
              <w:spacing w:line="264" w:lineRule="auto"/>
              <w:rPr>
                <w:b/>
                <w:bCs/>
                <w:color w:val="000000"/>
              </w:rPr>
            </w:pPr>
            <w:r w:rsidRPr="00EA49FB">
              <w:rPr>
                <w:b/>
                <w:bCs/>
                <w:color w:val="000000"/>
              </w:rPr>
              <w:t>Population, geographies and/or barriers addressed</w:t>
            </w:r>
          </w:p>
        </w:tc>
        <w:tc>
          <w:tcPr>
            <w:tcW w:w="12600" w:type="dxa"/>
          </w:tcPr>
          <w:p w14:paraId="0E229CF7" w14:textId="18F301DE" w:rsidR="00036B0D" w:rsidRPr="00036B0D" w:rsidRDefault="00036B0D" w:rsidP="00EA49FB">
            <w:pPr>
              <w:pBdr>
                <w:top w:val="nil"/>
                <w:left w:val="nil"/>
                <w:bottom w:val="nil"/>
                <w:right w:val="nil"/>
                <w:between w:val="nil"/>
              </w:pBdr>
              <w:spacing w:line="264" w:lineRule="auto"/>
              <w:jc w:val="both"/>
              <w:rPr>
                <w:color w:val="000000"/>
              </w:rPr>
            </w:pPr>
            <w:r w:rsidRPr="00E74D8B">
              <w:rPr>
                <w:color w:val="000000"/>
              </w:rPr>
              <w:t>To reduce drug stockouts, as well as minimize handling times and maximize efficiency, the PELF under implementation and the results of the 2021 optimization study recommends the installation of 32 intermediate warehouses, including 17 Cross- docks across the country. Under this funding request, and based on the project-type already approved, it is intended to build a new Intermediate Warehouse in Nampula because it serves a large number of beneficiaries and has inadequate facilities that cannot be extended.</w:t>
            </w:r>
          </w:p>
        </w:tc>
      </w:tr>
      <w:tr w:rsidR="00EA49FB" w:rsidRPr="002C2C75" w14:paraId="66FC75D2" w14:textId="77777777" w:rsidTr="00036B0D">
        <w:trPr>
          <w:gridAfter w:val="1"/>
          <w:wAfter w:w="68" w:type="dxa"/>
          <w:cantSplit/>
        </w:trPr>
        <w:tc>
          <w:tcPr>
            <w:tcW w:w="2605" w:type="dxa"/>
            <w:gridSpan w:val="2"/>
          </w:tcPr>
          <w:p w14:paraId="78F33E24" w14:textId="0F284FBE" w:rsidR="00EA49FB" w:rsidRPr="00EA49FB" w:rsidRDefault="00EA49FB" w:rsidP="00EA49FB">
            <w:pPr>
              <w:pBdr>
                <w:top w:val="nil"/>
                <w:left w:val="nil"/>
                <w:bottom w:val="nil"/>
                <w:right w:val="nil"/>
                <w:between w:val="nil"/>
              </w:pBdr>
              <w:spacing w:line="264" w:lineRule="auto"/>
              <w:rPr>
                <w:b/>
                <w:bCs/>
                <w:color w:val="000000"/>
              </w:rPr>
            </w:pPr>
          </w:p>
        </w:tc>
        <w:tc>
          <w:tcPr>
            <w:tcW w:w="12600" w:type="dxa"/>
          </w:tcPr>
          <w:p w14:paraId="37046DF1" w14:textId="77777777" w:rsidR="00E74D8B" w:rsidRPr="00E74D8B" w:rsidRDefault="00E74D8B" w:rsidP="00E74D8B">
            <w:pPr>
              <w:pBdr>
                <w:top w:val="nil"/>
                <w:left w:val="nil"/>
                <w:bottom w:val="nil"/>
                <w:right w:val="nil"/>
                <w:between w:val="nil"/>
              </w:pBdr>
              <w:spacing w:line="264" w:lineRule="auto"/>
              <w:jc w:val="both"/>
              <w:rPr>
                <w:color w:val="000000"/>
              </w:rPr>
            </w:pPr>
            <w:r w:rsidRPr="00E74D8B">
              <w:rPr>
                <w:color w:val="000000"/>
              </w:rPr>
              <w:t>To improve supply chain performance indicators, including product safety, warehouse workers will be trained in safety and firefighting, and the warehouse equipment operators and users of product management systems will be certified. In addition, performance improvement requires interventions for  last mile transportation, the personnel transport chain and processing procedures (fuel, maintenance and vehicles), guarantee security services and cleanliness of the facilities, payment of operating expenses ( energy, water and communications) and insurance for facilities, products and equipment. These changes may require adjusting tools, technologies and human resources to the new operating model. At the same time, to regulate activities, RACIs (Responsible, Accountable, Communicable and Informed) and SLAs (Service Level Agreements) will be developed with the departments, health programs and private supply chain providers with a view to formalizing the necessary interactions with them and outsource services to the last mile, including the development of optimized routes, in line with the evolution of the health and road networks, and improvement of intermediate storage capacity.</w:t>
            </w:r>
          </w:p>
          <w:p w14:paraId="786C1F5F" w14:textId="3FFA970F" w:rsidR="00EA49FB" w:rsidRPr="002C2C75" w:rsidRDefault="00E74D8B" w:rsidP="00E74D8B">
            <w:pPr>
              <w:pBdr>
                <w:top w:val="nil"/>
                <w:left w:val="nil"/>
                <w:bottom w:val="nil"/>
                <w:right w:val="nil"/>
                <w:between w:val="nil"/>
              </w:pBdr>
              <w:spacing w:line="264" w:lineRule="auto"/>
              <w:jc w:val="both"/>
              <w:rPr>
                <w:color w:val="000000"/>
              </w:rPr>
            </w:pPr>
            <w:r w:rsidRPr="00E74D8B">
              <w:rPr>
                <w:color w:val="000000"/>
              </w:rPr>
              <w:t>The revised / updated PELF will necessarily address last mile operations. Currently, the proposal is based on an overall working plan and cost estimations for the SC covering the 3 years (2024-2026). The funding for transportation, including last mile, is distributed among GOM and PEPFAR, the gap will be covered by this FR.</w:t>
            </w:r>
          </w:p>
        </w:tc>
      </w:tr>
      <w:tr w:rsidR="00EA49FB" w:rsidRPr="002C2C75" w14:paraId="5E9E3756" w14:textId="77777777" w:rsidTr="00036B0D">
        <w:trPr>
          <w:gridAfter w:val="1"/>
          <w:wAfter w:w="68" w:type="dxa"/>
          <w:cantSplit/>
        </w:trPr>
        <w:tc>
          <w:tcPr>
            <w:tcW w:w="2605" w:type="dxa"/>
            <w:gridSpan w:val="2"/>
          </w:tcPr>
          <w:p w14:paraId="7E40F24B" w14:textId="44F2B363" w:rsidR="00EA49FB" w:rsidRPr="00EA49FB" w:rsidRDefault="00EA49FB" w:rsidP="00EA49FB">
            <w:pPr>
              <w:pBdr>
                <w:top w:val="nil"/>
                <w:left w:val="nil"/>
                <w:bottom w:val="nil"/>
                <w:right w:val="nil"/>
                <w:between w:val="nil"/>
              </w:pBdr>
              <w:spacing w:line="264" w:lineRule="auto"/>
              <w:rPr>
                <w:b/>
                <w:bCs/>
                <w:color w:val="000000"/>
              </w:rPr>
            </w:pPr>
            <w:r w:rsidRPr="00EA49FB">
              <w:rPr>
                <w:b/>
                <w:bCs/>
                <w:color w:val="000000"/>
              </w:rPr>
              <w:t>List of activities</w:t>
            </w:r>
          </w:p>
        </w:tc>
        <w:tc>
          <w:tcPr>
            <w:tcW w:w="12600" w:type="dxa"/>
          </w:tcPr>
          <w:p w14:paraId="5E198769" w14:textId="77777777" w:rsidR="00EA49FB" w:rsidRPr="002C2C75" w:rsidRDefault="00EA49FB" w:rsidP="00EA49FB">
            <w:pPr>
              <w:numPr>
                <w:ilvl w:val="0"/>
                <w:numId w:val="61"/>
              </w:numPr>
              <w:pBdr>
                <w:top w:val="nil"/>
                <w:left w:val="nil"/>
                <w:bottom w:val="nil"/>
                <w:right w:val="nil"/>
                <w:between w:val="nil"/>
              </w:pBdr>
              <w:spacing w:after="0" w:line="264" w:lineRule="auto"/>
              <w:jc w:val="both"/>
              <w:rPr>
                <w:color w:val="000000"/>
              </w:rPr>
            </w:pPr>
            <w:r w:rsidRPr="002C2C75">
              <w:rPr>
                <w:color w:val="000000"/>
              </w:rPr>
              <w:t>Construction of new intermediate warehouse in Nampula.</w:t>
            </w:r>
          </w:p>
          <w:p w14:paraId="146CA3AF" w14:textId="77777777" w:rsidR="00EA49FB" w:rsidRDefault="00EA49FB" w:rsidP="00EA49FB">
            <w:pPr>
              <w:numPr>
                <w:ilvl w:val="0"/>
                <w:numId w:val="61"/>
              </w:numPr>
              <w:pBdr>
                <w:top w:val="nil"/>
                <w:left w:val="nil"/>
                <w:bottom w:val="nil"/>
                <w:right w:val="nil"/>
                <w:between w:val="nil"/>
              </w:pBdr>
              <w:spacing w:after="0" w:line="264" w:lineRule="auto"/>
              <w:jc w:val="both"/>
              <w:rPr>
                <w:color w:val="000000"/>
              </w:rPr>
            </w:pPr>
            <w:r w:rsidRPr="002C2C75">
              <w:rPr>
                <w:color w:val="000000"/>
              </w:rPr>
              <w:t>Central and last mile transport</w:t>
            </w:r>
          </w:p>
          <w:p w14:paraId="26D03091" w14:textId="77777777" w:rsidR="00EA49FB" w:rsidRDefault="00EA49FB" w:rsidP="00EA49FB">
            <w:pPr>
              <w:pBdr>
                <w:top w:val="nil"/>
                <w:left w:val="nil"/>
                <w:bottom w:val="nil"/>
                <w:right w:val="nil"/>
                <w:between w:val="nil"/>
              </w:pBdr>
              <w:spacing w:after="0" w:line="264" w:lineRule="auto"/>
              <w:jc w:val="both"/>
              <w:rPr>
                <w:color w:val="000000"/>
              </w:rPr>
            </w:pPr>
          </w:p>
          <w:p w14:paraId="2FA4C173" w14:textId="1BE3E2CD" w:rsidR="00EA49FB" w:rsidRPr="002C2C75" w:rsidRDefault="00EA49FB" w:rsidP="00EA49FB">
            <w:pPr>
              <w:pBdr>
                <w:top w:val="nil"/>
                <w:left w:val="nil"/>
                <w:bottom w:val="nil"/>
                <w:right w:val="nil"/>
                <w:between w:val="nil"/>
              </w:pBdr>
              <w:spacing w:after="0" w:line="264" w:lineRule="auto"/>
              <w:jc w:val="both"/>
              <w:rPr>
                <w:color w:val="000000"/>
              </w:rPr>
            </w:pPr>
            <w:r>
              <w:rPr>
                <w:b/>
                <w:bCs/>
                <w:color w:val="000000"/>
              </w:rPr>
              <w:t xml:space="preserve">PAAR: </w:t>
            </w:r>
            <w:r>
              <w:rPr>
                <w:color w:val="000000"/>
              </w:rPr>
              <w:t>Construction of intermediate warehouses in Tete, Xai-Xai, Quelimane, and Matola (PAAR - $26,469,793)</w:t>
            </w:r>
          </w:p>
        </w:tc>
      </w:tr>
      <w:tr w:rsidR="00EA49FB" w:rsidRPr="002C2C75" w14:paraId="36D16576" w14:textId="77777777" w:rsidTr="00036B0D">
        <w:trPr>
          <w:gridAfter w:val="1"/>
          <w:wAfter w:w="68" w:type="dxa"/>
          <w:cantSplit/>
        </w:trPr>
        <w:tc>
          <w:tcPr>
            <w:tcW w:w="2605" w:type="dxa"/>
            <w:gridSpan w:val="2"/>
          </w:tcPr>
          <w:p w14:paraId="76BDC0EB" w14:textId="77777777" w:rsidR="00EA49FB" w:rsidRPr="00EA49FB" w:rsidRDefault="00EA49FB" w:rsidP="00EA49FB">
            <w:pPr>
              <w:pBdr>
                <w:top w:val="nil"/>
                <w:left w:val="nil"/>
                <w:bottom w:val="nil"/>
                <w:right w:val="nil"/>
                <w:between w:val="nil"/>
              </w:pBdr>
              <w:spacing w:line="264" w:lineRule="auto"/>
              <w:rPr>
                <w:b/>
                <w:bCs/>
                <w:color w:val="000000"/>
              </w:rPr>
            </w:pPr>
            <w:r w:rsidRPr="00EA49FB">
              <w:rPr>
                <w:b/>
                <w:bCs/>
                <w:color w:val="000000"/>
              </w:rPr>
              <w:t>Amount requested</w:t>
            </w:r>
          </w:p>
        </w:tc>
        <w:tc>
          <w:tcPr>
            <w:tcW w:w="12600" w:type="dxa"/>
          </w:tcPr>
          <w:p w14:paraId="5E24B1FC" w14:textId="77777777" w:rsidR="00EA49FB" w:rsidRDefault="00EA49FB" w:rsidP="00EA49FB">
            <w:pPr>
              <w:pBdr>
                <w:top w:val="nil"/>
                <w:left w:val="nil"/>
                <w:bottom w:val="nil"/>
                <w:right w:val="nil"/>
                <w:between w:val="nil"/>
              </w:pBdr>
              <w:spacing w:line="264" w:lineRule="auto"/>
              <w:jc w:val="both"/>
              <w:rPr>
                <w:b/>
                <w:bCs/>
                <w:color w:val="000000"/>
              </w:rPr>
            </w:pPr>
            <w:r w:rsidRPr="002C2C75">
              <w:rPr>
                <w:b/>
                <w:bCs/>
                <w:color w:val="000000"/>
              </w:rPr>
              <w:t>Within allocation: $10,214,484</w:t>
            </w:r>
          </w:p>
          <w:p w14:paraId="689F000A" w14:textId="3ACC2260" w:rsidR="00EA49FB" w:rsidRPr="00962A4A" w:rsidRDefault="00EA49FB" w:rsidP="00EA49FB">
            <w:pPr>
              <w:pBdr>
                <w:top w:val="nil"/>
                <w:left w:val="nil"/>
                <w:bottom w:val="nil"/>
                <w:right w:val="nil"/>
                <w:between w:val="nil"/>
              </w:pBdr>
              <w:spacing w:line="264" w:lineRule="auto"/>
              <w:jc w:val="both"/>
              <w:rPr>
                <w:b/>
                <w:bCs/>
                <w:color w:val="000000"/>
              </w:rPr>
            </w:pPr>
            <w:r w:rsidRPr="00962A4A">
              <w:rPr>
                <w:b/>
                <w:bCs/>
                <w:color w:val="000000"/>
              </w:rPr>
              <w:t>PAAR</w:t>
            </w:r>
            <w:r>
              <w:rPr>
                <w:b/>
                <w:bCs/>
                <w:color w:val="000000"/>
              </w:rPr>
              <w:t xml:space="preserve"> - $26,469,793</w:t>
            </w:r>
          </w:p>
        </w:tc>
      </w:tr>
      <w:tr w:rsidR="00EA49FB" w:rsidRPr="002C2C75" w14:paraId="3C8F5985" w14:textId="77777777" w:rsidTr="00036B0D">
        <w:trPr>
          <w:gridAfter w:val="1"/>
          <w:wAfter w:w="68" w:type="dxa"/>
          <w:cantSplit/>
        </w:trPr>
        <w:tc>
          <w:tcPr>
            <w:tcW w:w="2605" w:type="dxa"/>
            <w:gridSpan w:val="2"/>
          </w:tcPr>
          <w:p w14:paraId="24A6628D" w14:textId="56FE0420" w:rsidR="00EA49FB" w:rsidRPr="00EA49FB" w:rsidRDefault="00EA49FB" w:rsidP="00EA49FB">
            <w:pPr>
              <w:pBdr>
                <w:top w:val="nil"/>
                <w:left w:val="nil"/>
                <w:bottom w:val="nil"/>
                <w:right w:val="nil"/>
                <w:between w:val="nil"/>
              </w:pBdr>
              <w:spacing w:line="264" w:lineRule="auto"/>
              <w:rPr>
                <w:b/>
                <w:bCs/>
                <w:color w:val="000000"/>
              </w:rPr>
            </w:pPr>
            <w:r w:rsidRPr="00EA49FB">
              <w:rPr>
                <w:b/>
                <w:bCs/>
                <w:color w:val="000000"/>
              </w:rPr>
              <w:t>Expected outcome</w:t>
            </w:r>
          </w:p>
        </w:tc>
        <w:tc>
          <w:tcPr>
            <w:tcW w:w="12600" w:type="dxa"/>
          </w:tcPr>
          <w:p w14:paraId="1E1F9477" w14:textId="69F119C3" w:rsidR="00EA49FB" w:rsidRPr="002C2C75" w:rsidRDefault="00EA49FB" w:rsidP="00EA49FB">
            <w:pPr>
              <w:pBdr>
                <w:top w:val="nil"/>
                <w:left w:val="nil"/>
                <w:bottom w:val="nil"/>
                <w:right w:val="nil"/>
                <w:between w:val="nil"/>
              </w:pBdr>
              <w:spacing w:line="264" w:lineRule="auto"/>
              <w:jc w:val="both"/>
              <w:rPr>
                <w:b/>
                <w:bCs/>
                <w:color w:val="000000"/>
              </w:rPr>
            </w:pPr>
            <w:r w:rsidRPr="002C2C75">
              <w:rPr>
                <w:color w:val="000000"/>
              </w:rPr>
              <w:t xml:space="preserve">Reduced stock-outs and/or accumulation of medicines by improving the storage capacity and supply chain performance  </w:t>
            </w:r>
          </w:p>
        </w:tc>
      </w:tr>
      <w:tr w:rsidR="00EA49FB" w:rsidRPr="002C2C75" w14:paraId="73CF0DA5" w14:textId="77777777" w:rsidTr="00036B0D">
        <w:trPr>
          <w:gridAfter w:val="1"/>
          <w:wAfter w:w="68" w:type="dxa"/>
          <w:cantSplit/>
        </w:trPr>
        <w:tc>
          <w:tcPr>
            <w:tcW w:w="2605" w:type="dxa"/>
            <w:gridSpan w:val="2"/>
          </w:tcPr>
          <w:p w14:paraId="0464A487" w14:textId="653BBE8E" w:rsidR="00EA49FB" w:rsidRPr="00EA49FB" w:rsidRDefault="00EA49FB" w:rsidP="00EA49FB">
            <w:pPr>
              <w:pBdr>
                <w:top w:val="nil"/>
                <w:left w:val="nil"/>
                <w:bottom w:val="nil"/>
                <w:right w:val="nil"/>
                <w:between w:val="nil"/>
              </w:pBdr>
              <w:spacing w:line="264" w:lineRule="auto"/>
              <w:rPr>
                <w:b/>
                <w:bCs/>
                <w:color w:val="000000"/>
              </w:rPr>
            </w:pPr>
            <w:r w:rsidRPr="00EA49FB">
              <w:rPr>
                <w:b/>
                <w:bCs/>
                <w:color w:val="000000"/>
              </w:rPr>
              <w:t xml:space="preserve">Intervention(s) </w:t>
            </w:r>
          </w:p>
        </w:tc>
        <w:tc>
          <w:tcPr>
            <w:tcW w:w="12600" w:type="dxa"/>
          </w:tcPr>
          <w:p w14:paraId="4B2BD837" w14:textId="55D24AD0" w:rsidR="00EA49FB" w:rsidRPr="00EA49FB" w:rsidRDefault="00EA49FB" w:rsidP="00EA49FB">
            <w:pPr>
              <w:pBdr>
                <w:top w:val="nil"/>
                <w:left w:val="nil"/>
                <w:bottom w:val="nil"/>
                <w:right w:val="nil"/>
                <w:between w:val="nil"/>
              </w:pBdr>
              <w:spacing w:line="264" w:lineRule="auto"/>
              <w:jc w:val="both"/>
              <w:rPr>
                <w:color w:val="000000"/>
              </w:rPr>
            </w:pPr>
            <w:r>
              <w:rPr>
                <w:b/>
                <w:bCs/>
                <w:color w:val="000000"/>
              </w:rPr>
              <w:t xml:space="preserve">Intervention: </w:t>
            </w:r>
            <w:r w:rsidRPr="00EA49FB">
              <w:rPr>
                <w:color w:val="000000"/>
              </w:rPr>
              <w:t xml:space="preserve">Planning and procurement capacity </w:t>
            </w:r>
          </w:p>
          <w:p w14:paraId="24087722" w14:textId="15B0C888" w:rsidR="00EA49FB" w:rsidRPr="002C2C75" w:rsidRDefault="00EA49FB" w:rsidP="00EA49FB">
            <w:pPr>
              <w:pBdr>
                <w:top w:val="nil"/>
                <w:left w:val="nil"/>
                <w:bottom w:val="nil"/>
                <w:right w:val="nil"/>
                <w:between w:val="nil"/>
              </w:pBdr>
              <w:spacing w:line="264" w:lineRule="auto"/>
              <w:jc w:val="both"/>
              <w:rPr>
                <w:color w:val="000000"/>
              </w:rPr>
            </w:pPr>
            <w:r w:rsidRPr="00EA49FB">
              <w:rPr>
                <w:color w:val="000000"/>
              </w:rPr>
              <w:t>Change in Pro</w:t>
            </w:r>
            <w:r w:rsidRPr="002C2C75">
              <w:rPr>
                <w:color w:val="000000"/>
              </w:rPr>
              <w:t xml:space="preserve">gramming from current grant: </w:t>
            </w:r>
            <w:sdt>
              <w:sdtPr>
                <w:tag w:val="goog_rdk_16"/>
                <w:id w:val="-259993973"/>
              </w:sdtPr>
              <w:sdtContent>
                <w:r w:rsidRPr="002C2C75">
                  <w:rPr>
                    <w:rFonts w:ascii="Arial Unicode MS" w:eastAsia="Arial Unicode MS" w:hAnsi="Arial Unicode MS" w:cs="Arial Unicode MS"/>
                    <w:color w:val="000000"/>
                  </w:rPr>
                  <w:t>☐</w:t>
                </w:r>
              </w:sdtContent>
            </w:sdt>
            <w:r w:rsidRPr="002C2C75">
              <w:rPr>
                <w:color w:val="000000"/>
              </w:rPr>
              <w:t xml:space="preserve"> New, </w:t>
            </w:r>
            <w:sdt>
              <w:sdtPr>
                <w:tag w:val="goog_rdk_17"/>
                <w:id w:val="118968927"/>
              </w:sdtPr>
              <w:sdtContent>
                <w:r w:rsidRPr="002C2C75">
                  <w:rPr>
                    <w:rFonts w:ascii="Arial Unicode MS" w:eastAsia="Arial Unicode MS" w:hAnsi="Arial Unicode MS" w:cs="Arial Unicode MS"/>
                    <w:color w:val="000000"/>
                  </w:rPr>
                  <w:t>☐</w:t>
                </w:r>
              </w:sdtContent>
            </w:sdt>
            <w:r w:rsidRPr="002C2C75">
              <w:rPr>
                <w:color w:val="000000"/>
              </w:rPr>
              <w:t xml:space="preserve"> Scale-up, </w:t>
            </w:r>
            <w:r w:rsidRPr="002C2C75">
              <w:rPr>
                <w:rFonts w:ascii="Segoe UI Symbol" w:eastAsia="MS Gothic" w:hAnsi="Segoe UI Symbol" w:cs="Segoe UI Symbol"/>
                <w:color w:val="000000"/>
              </w:rPr>
              <w:t>☒</w:t>
            </w:r>
            <w:r w:rsidRPr="002C2C75">
              <w:rPr>
                <w:color w:val="000000"/>
              </w:rPr>
              <w:t xml:space="preserve"> Continuation, or </w:t>
            </w:r>
            <w:sdt>
              <w:sdtPr>
                <w:tag w:val="goog_rdk_19"/>
                <w:id w:val="1328937802"/>
              </w:sdtPr>
              <w:sdtContent>
                <w:r w:rsidRPr="002C2C75">
                  <w:rPr>
                    <w:rFonts w:ascii="Arial Unicode MS" w:eastAsia="Arial Unicode MS" w:hAnsi="Arial Unicode MS" w:cs="Arial Unicode MS"/>
                    <w:color w:val="000000"/>
                  </w:rPr>
                  <w:t>☐</w:t>
                </w:r>
              </w:sdtContent>
            </w:sdt>
            <w:r w:rsidRPr="002C2C75">
              <w:rPr>
                <w:color w:val="000000"/>
              </w:rPr>
              <w:t xml:space="preserve"> Scale-down</w:t>
            </w:r>
          </w:p>
        </w:tc>
      </w:tr>
      <w:tr w:rsidR="00036B0D" w:rsidRPr="002C2C75" w14:paraId="1503F518" w14:textId="77777777" w:rsidTr="00036B0D">
        <w:trPr>
          <w:gridAfter w:val="1"/>
          <w:wAfter w:w="68" w:type="dxa"/>
          <w:cantSplit/>
        </w:trPr>
        <w:tc>
          <w:tcPr>
            <w:tcW w:w="2605" w:type="dxa"/>
            <w:gridSpan w:val="2"/>
          </w:tcPr>
          <w:p w14:paraId="443B59F3" w14:textId="5AD22491" w:rsidR="00036B0D" w:rsidRPr="00EA49FB" w:rsidRDefault="00036B0D" w:rsidP="00EA49FB">
            <w:pPr>
              <w:pBdr>
                <w:top w:val="nil"/>
                <w:left w:val="nil"/>
                <w:bottom w:val="nil"/>
                <w:right w:val="nil"/>
                <w:between w:val="nil"/>
              </w:pBdr>
              <w:spacing w:line="264" w:lineRule="auto"/>
              <w:rPr>
                <w:b/>
                <w:bCs/>
                <w:color w:val="000000"/>
              </w:rPr>
            </w:pPr>
            <w:r w:rsidRPr="00EA49FB">
              <w:rPr>
                <w:b/>
                <w:bCs/>
                <w:color w:val="000000"/>
              </w:rPr>
              <w:t>Population, geographies and/or barriers addressed</w:t>
            </w:r>
          </w:p>
        </w:tc>
        <w:tc>
          <w:tcPr>
            <w:tcW w:w="12600" w:type="dxa"/>
          </w:tcPr>
          <w:p w14:paraId="33F69020" w14:textId="48EA309D" w:rsidR="00036B0D" w:rsidRPr="00036B0D" w:rsidRDefault="00036B0D" w:rsidP="00EA49FB">
            <w:pPr>
              <w:pBdr>
                <w:top w:val="nil"/>
                <w:left w:val="nil"/>
                <w:bottom w:val="nil"/>
                <w:right w:val="nil"/>
                <w:between w:val="nil"/>
              </w:pBdr>
              <w:spacing w:line="264" w:lineRule="auto"/>
              <w:jc w:val="both"/>
              <w:rPr>
                <w:color w:val="000000"/>
              </w:rPr>
            </w:pPr>
            <w:r w:rsidRPr="00E74D8B">
              <w:rPr>
                <w:color w:val="000000"/>
              </w:rPr>
              <w:t>Improved supply chain planning and accountability and procurement practices help reduce stock-outs, reduce waste and ultimately improve the availability of medicines and other health products at the point of care. Thus, CMAM will continue to use the ERP (SAP BAiO) to guarantee good financial management and cost accounting, as well as to develop a purchasing information system, ensuring its expansion to various levels of management (headquarters, central and intermediate warehouses and integration of additional modules such as HR.</w:t>
            </w:r>
          </w:p>
        </w:tc>
      </w:tr>
      <w:tr w:rsidR="00EA49FB" w:rsidRPr="002C2C75" w14:paraId="660B263E" w14:textId="77777777" w:rsidTr="00036B0D">
        <w:trPr>
          <w:gridAfter w:val="1"/>
          <w:wAfter w:w="68" w:type="dxa"/>
          <w:cantSplit/>
        </w:trPr>
        <w:tc>
          <w:tcPr>
            <w:tcW w:w="2605" w:type="dxa"/>
            <w:gridSpan w:val="2"/>
          </w:tcPr>
          <w:p w14:paraId="694B58EB" w14:textId="549E5FE8" w:rsidR="00EA49FB" w:rsidRPr="00EA49FB" w:rsidRDefault="00EA49FB" w:rsidP="00EA49FB">
            <w:pPr>
              <w:pBdr>
                <w:top w:val="nil"/>
                <w:left w:val="nil"/>
                <w:bottom w:val="nil"/>
                <w:right w:val="nil"/>
                <w:between w:val="nil"/>
              </w:pBdr>
              <w:spacing w:line="264" w:lineRule="auto"/>
              <w:rPr>
                <w:b/>
                <w:bCs/>
                <w:color w:val="000000"/>
              </w:rPr>
            </w:pPr>
          </w:p>
        </w:tc>
        <w:tc>
          <w:tcPr>
            <w:tcW w:w="12600" w:type="dxa"/>
          </w:tcPr>
          <w:p w14:paraId="136D6011" w14:textId="69DA8541" w:rsidR="00EA49FB" w:rsidRPr="002C2C75" w:rsidRDefault="00E74D8B" w:rsidP="00E74D8B">
            <w:pPr>
              <w:pBdr>
                <w:top w:val="nil"/>
                <w:left w:val="nil"/>
                <w:bottom w:val="nil"/>
                <w:right w:val="nil"/>
                <w:between w:val="nil"/>
              </w:pBdr>
              <w:spacing w:line="264" w:lineRule="auto"/>
              <w:jc w:val="both"/>
              <w:rPr>
                <w:color w:val="000000"/>
              </w:rPr>
            </w:pPr>
            <w:r w:rsidRPr="00E74D8B">
              <w:rPr>
                <w:color w:val="000000"/>
              </w:rPr>
              <w:t>Through implementing PELF, CMAM will continue to implement the new Supply Chain Operational Model which involves the implementation of facilitation, planning, supply, distribution and return processes (reverse logistics) in the supply chain. This includes regular HR training in a hybrid way (face-to-face and virtual) using training materials developed based on SCOR (Supply Chain Operations Reference Model) results, and application of HR4SC (mandatory HR standard) and ASSESSME (gap assessment of knowledge and ability). This process will facilitate the establishment of a “control tower” at CMAM headquarters to oversee the end-to-end supply chain.</w:t>
            </w:r>
          </w:p>
        </w:tc>
      </w:tr>
      <w:tr w:rsidR="00EA49FB" w:rsidRPr="002C2C75" w14:paraId="4E8FE660" w14:textId="77777777" w:rsidTr="00036B0D">
        <w:trPr>
          <w:gridAfter w:val="1"/>
          <w:wAfter w:w="68" w:type="dxa"/>
          <w:cantSplit/>
        </w:trPr>
        <w:tc>
          <w:tcPr>
            <w:tcW w:w="2605" w:type="dxa"/>
            <w:gridSpan w:val="2"/>
          </w:tcPr>
          <w:p w14:paraId="54C70FF5" w14:textId="3402CA1E" w:rsidR="00EA49FB" w:rsidRPr="00EA49FB" w:rsidRDefault="00EA49FB" w:rsidP="00EA49FB">
            <w:pPr>
              <w:pBdr>
                <w:top w:val="nil"/>
                <w:left w:val="nil"/>
                <w:bottom w:val="nil"/>
                <w:right w:val="nil"/>
                <w:between w:val="nil"/>
              </w:pBdr>
              <w:spacing w:line="264" w:lineRule="auto"/>
              <w:rPr>
                <w:b/>
                <w:bCs/>
                <w:color w:val="000000"/>
              </w:rPr>
            </w:pPr>
            <w:r w:rsidRPr="00EA49FB">
              <w:rPr>
                <w:b/>
                <w:bCs/>
                <w:color w:val="000000"/>
              </w:rPr>
              <w:t>List of activities</w:t>
            </w:r>
          </w:p>
        </w:tc>
        <w:tc>
          <w:tcPr>
            <w:tcW w:w="12600" w:type="dxa"/>
          </w:tcPr>
          <w:p w14:paraId="73483667" w14:textId="77777777" w:rsidR="00EA49FB" w:rsidRPr="002C2C75" w:rsidRDefault="00EA49FB" w:rsidP="00EA49FB">
            <w:pPr>
              <w:numPr>
                <w:ilvl w:val="0"/>
                <w:numId w:val="61"/>
              </w:numPr>
              <w:pBdr>
                <w:top w:val="nil"/>
                <w:left w:val="nil"/>
                <w:bottom w:val="nil"/>
                <w:right w:val="nil"/>
                <w:between w:val="nil"/>
              </w:pBdr>
              <w:spacing w:after="0" w:line="264" w:lineRule="auto"/>
              <w:jc w:val="both"/>
              <w:rPr>
                <w:color w:val="000000"/>
              </w:rPr>
            </w:pPr>
            <w:r w:rsidRPr="002C2C75">
              <w:rPr>
                <w:color w:val="000000"/>
              </w:rPr>
              <w:t>Implement ERP (SAP BAiO) and expand to more modules and levels of supply chain management</w:t>
            </w:r>
          </w:p>
          <w:p w14:paraId="345BFD10" w14:textId="77777777" w:rsidR="00EA49FB" w:rsidRPr="002C2C75" w:rsidRDefault="00EA49FB" w:rsidP="00EA49FB">
            <w:pPr>
              <w:numPr>
                <w:ilvl w:val="0"/>
                <w:numId w:val="61"/>
              </w:numPr>
              <w:pBdr>
                <w:top w:val="nil"/>
                <w:left w:val="nil"/>
                <w:bottom w:val="nil"/>
                <w:right w:val="nil"/>
                <w:between w:val="nil"/>
              </w:pBdr>
              <w:spacing w:after="0" w:line="264" w:lineRule="auto"/>
              <w:jc w:val="both"/>
              <w:rPr>
                <w:color w:val="000000"/>
              </w:rPr>
            </w:pPr>
            <w:r w:rsidRPr="002C2C75">
              <w:rPr>
                <w:color w:val="000000"/>
              </w:rPr>
              <w:t>Develop training materials based on SCOR results and application of HR4SC and ASSESSME</w:t>
            </w:r>
          </w:p>
          <w:p w14:paraId="20CF5F83" w14:textId="48081B2A" w:rsidR="00EA49FB" w:rsidRPr="002C2C75" w:rsidRDefault="00EA49FB" w:rsidP="00EA49FB">
            <w:pPr>
              <w:numPr>
                <w:ilvl w:val="0"/>
                <w:numId w:val="61"/>
              </w:numPr>
              <w:pBdr>
                <w:top w:val="nil"/>
                <w:left w:val="nil"/>
                <w:bottom w:val="nil"/>
                <w:right w:val="nil"/>
                <w:between w:val="nil"/>
              </w:pBdr>
              <w:spacing w:after="0" w:line="264" w:lineRule="auto"/>
              <w:jc w:val="both"/>
              <w:rPr>
                <w:color w:val="000000"/>
              </w:rPr>
            </w:pPr>
            <w:r w:rsidRPr="002C2C75">
              <w:rPr>
                <w:color w:val="000000"/>
              </w:rPr>
              <w:t>Continuously train the HR in the supply chain based on SCOR results and the application of HR4SC and ASSESSME</w:t>
            </w:r>
          </w:p>
        </w:tc>
      </w:tr>
      <w:tr w:rsidR="00EA49FB" w:rsidRPr="002C2C75" w14:paraId="17BC92AA" w14:textId="77777777" w:rsidTr="00036B0D">
        <w:trPr>
          <w:gridAfter w:val="1"/>
          <w:wAfter w:w="68" w:type="dxa"/>
          <w:cantSplit/>
        </w:trPr>
        <w:tc>
          <w:tcPr>
            <w:tcW w:w="2605" w:type="dxa"/>
            <w:gridSpan w:val="2"/>
          </w:tcPr>
          <w:p w14:paraId="0185DD27" w14:textId="77777777" w:rsidR="00EA49FB" w:rsidRPr="00EA49FB" w:rsidRDefault="00EA49FB" w:rsidP="00EA49FB">
            <w:pPr>
              <w:pBdr>
                <w:top w:val="nil"/>
                <w:left w:val="nil"/>
                <w:bottom w:val="nil"/>
                <w:right w:val="nil"/>
                <w:between w:val="nil"/>
              </w:pBdr>
              <w:spacing w:line="264" w:lineRule="auto"/>
              <w:rPr>
                <w:b/>
                <w:bCs/>
                <w:color w:val="000000"/>
              </w:rPr>
            </w:pPr>
            <w:r w:rsidRPr="00EA49FB">
              <w:rPr>
                <w:b/>
                <w:bCs/>
                <w:color w:val="000000"/>
              </w:rPr>
              <w:t>Amount requested</w:t>
            </w:r>
          </w:p>
        </w:tc>
        <w:tc>
          <w:tcPr>
            <w:tcW w:w="12600" w:type="dxa"/>
          </w:tcPr>
          <w:p w14:paraId="0781C058" w14:textId="0A006D86" w:rsidR="00EA49FB" w:rsidRPr="002C2C75" w:rsidRDefault="00EA49FB" w:rsidP="00EA49FB">
            <w:pPr>
              <w:pBdr>
                <w:top w:val="nil"/>
                <w:left w:val="nil"/>
                <w:bottom w:val="nil"/>
                <w:right w:val="nil"/>
                <w:between w:val="nil"/>
              </w:pBdr>
              <w:spacing w:line="264" w:lineRule="auto"/>
              <w:jc w:val="both"/>
              <w:rPr>
                <w:b/>
                <w:bCs/>
                <w:color w:val="000000"/>
              </w:rPr>
            </w:pPr>
            <w:r w:rsidRPr="002C2C75">
              <w:rPr>
                <w:b/>
                <w:bCs/>
                <w:color w:val="000000"/>
              </w:rPr>
              <w:t>Within allocation: $1,084,897</w:t>
            </w:r>
          </w:p>
        </w:tc>
      </w:tr>
      <w:tr w:rsidR="00EA49FB" w:rsidRPr="002C2C75" w14:paraId="2267BC22" w14:textId="77777777" w:rsidTr="00036B0D">
        <w:trPr>
          <w:gridAfter w:val="1"/>
          <w:wAfter w:w="68" w:type="dxa"/>
          <w:cantSplit/>
        </w:trPr>
        <w:tc>
          <w:tcPr>
            <w:tcW w:w="2605" w:type="dxa"/>
            <w:gridSpan w:val="2"/>
          </w:tcPr>
          <w:p w14:paraId="5E0ECED6" w14:textId="136F109D" w:rsidR="00EA49FB" w:rsidRPr="00EA49FB" w:rsidRDefault="00EA49FB" w:rsidP="00EA49FB">
            <w:pPr>
              <w:pBdr>
                <w:top w:val="nil"/>
                <w:left w:val="nil"/>
                <w:bottom w:val="nil"/>
                <w:right w:val="nil"/>
                <w:between w:val="nil"/>
              </w:pBdr>
              <w:spacing w:line="264" w:lineRule="auto"/>
              <w:rPr>
                <w:b/>
                <w:bCs/>
                <w:color w:val="000000"/>
              </w:rPr>
            </w:pPr>
            <w:r w:rsidRPr="00EA49FB">
              <w:rPr>
                <w:b/>
                <w:bCs/>
                <w:color w:val="000000"/>
              </w:rPr>
              <w:t>Expected outcome</w:t>
            </w:r>
          </w:p>
        </w:tc>
        <w:tc>
          <w:tcPr>
            <w:tcW w:w="12600" w:type="dxa"/>
          </w:tcPr>
          <w:p w14:paraId="0DFEBBB6" w14:textId="77777777" w:rsidR="00EA49FB" w:rsidRDefault="00EA49FB" w:rsidP="00EA49FB">
            <w:pPr>
              <w:numPr>
                <w:ilvl w:val="0"/>
                <w:numId w:val="61"/>
              </w:numPr>
              <w:pBdr>
                <w:top w:val="nil"/>
                <w:left w:val="nil"/>
                <w:bottom w:val="nil"/>
                <w:right w:val="nil"/>
                <w:between w:val="nil"/>
              </w:pBdr>
              <w:spacing w:after="0" w:line="264" w:lineRule="auto"/>
              <w:jc w:val="both"/>
              <w:rPr>
                <w:color w:val="000000"/>
              </w:rPr>
            </w:pPr>
            <w:r w:rsidRPr="002C2C75">
              <w:rPr>
                <w:color w:val="000000"/>
              </w:rPr>
              <w:t xml:space="preserve">Strengthened national supply chain planning and procurement system </w:t>
            </w:r>
          </w:p>
          <w:p w14:paraId="7921D7FB" w14:textId="7CF0AB84" w:rsidR="00E74D8B" w:rsidRPr="00E74D8B" w:rsidRDefault="00EA49FB" w:rsidP="00E74D8B">
            <w:pPr>
              <w:numPr>
                <w:ilvl w:val="0"/>
                <w:numId w:val="61"/>
              </w:numPr>
              <w:pBdr>
                <w:top w:val="nil"/>
                <w:left w:val="nil"/>
                <w:bottom w:val="nil"/>
                <w:right w:val="nil"/>
                <w:between w:val="nil"/>
              </w:pBdr>
              <w:spacing w:after="0" w:line="264" w:lineRule="auto"/>
              <w:jc w:val="both"/>
              <w:rPr>
                <w:color w:val="000000"/>
              </w:rPr>
            </w:pPr>
            <w:r w:rsidRPr="00EA49FB">
              <w:rPr>
                <w:color w:val="000000"/>
              </w:rPr>
              <w:t>Improved SAP (stock according to plan), thus reducing the risk of stock outs and overstocks</w:t>
            </w:r>
          </w:p>
        </w:tc>
      </w:tr>
      <w:tr w:rsidR="00EA49FB" w:rsidRPr="002C2C75" w14:paraId="154322AD" w14:textId="77777777" w:rsidTr="00036B0D">
        <w:trPr>
          <w:gridAfter w:val="1"/>
          <w:wAfter w:w="68" w:type="dxa"/>
          <w:cantSplit/>
        </w:trPr>
        <w:tc>
          <w:tcPr>
            <w:tcW w:w="2605" w:type="dxa"/>
            <w:gridSpan w:val="2"/>
          </w:tcPr>
          <w:p w14:paraId="3FA28A67" w14:textId="1EA42191" w:rsidR="00EA49FB" w:rsidRPr="00EA49FB" w:rsidRDefault="00EA49FB" w:rsidP="00EA49FB">
            <w:pPr>
              <w:pBdr>
                <w:top w:val="nil"/>
                <w:left w:val="nil"/>
                <w:bottom w:val="nil"/>
                <w:right w:val="nil"/>
                <w:between w:val="nil"/>
              </w:pBdr>
              <w:spacing w:line="264" w:lineRule="auto"/>
              <w:rPr>
                <w:b/>
                <w:bCs/>
                <w:color w:val="000000"/>
              </w:rPr>
            </w:pPr>
            <w:r w:rsidRPr="00EA49FB">
              <w:rPr>
                <w:b/>
                <w:bCs/>
                <w:color w:val="000000"/>
              </w:rPr>
              <w:t>Intervention(s)</w:t>
            </w:r>
          </w:p>
        </w:tc>
        <w:tc>
          <w:tcPr>
            <w:tcW w:w="12600" w:type="dxa"/>
          </w:tcPr>
          <w:p w14:paraId="6057CA9D" w14:textId="6173EBFB" w:rsidR="00EA49FB" w:rsidRPr="00EA49FB" w:rsidRDefault="00EA49FB" w:rsidP="00EA49FB">
            <w:pPr>
              <w:pBdr>
                <w:top w:val="nil"/>
                <w:left w:val="nil"/>
                <w:bottom w:val="nil"/>
                <w:right w:val="nil"/>
                <w:between w:val="nil"/>
              </w:pBdr>
              <w:spacing w:line="264" w:lineRule="auto"/>
              <w:jc w:val="both"/>
              <w:rPr>
                <w:color w:val="000000"/>
              </w:rPr>
            </w:pPr>
            <w:r>
              <w:rPr>
                <w:b/>
                <w:bCs/>
                <w:color w:val="000000"/>
              </w:rPr>
              <w:t xml:space="preserve">Intervention: </w:t>
            </w:r>
            <w:r w:rsidRPr="00EA49FB">
              <w:rPr>
                <w:color w:val="000000"/>
              </w:rPr>
              <w:t xml:space="preserve">Regulatory/quality assurance support </w:t>
            </w:r>
          </w:p>
          <w:p w14:paraId="59A475AC" w14:textId="0D341B42" w:rsidR="00EA49FB" w:rsidRPr="002C2C75" w:rsidRDefault="00EA49FB" w:rsidP="00EA49FB">
            <w:pPr>
              <w:pBdr>
                <w:top w:val="nil"/>
                <w:left w:val="nil"/>
                <w:bottom w:val="nil"/>
                <w:right w:val="nil"/>
                <w:between w:val="nil"/>
              </w:pBdr>
              <w:spacing w:line="264" w:lineRule="auto"/>
              <w:jc w:val="both"/>
              <w:rPr>
                <w:color w:val="000000"/>
              </w:rPr>
            </w:pPr>
            <w:r w:rsidRPr="00EA49FB">
              <w:rPr>
                <w:color w:val="000000"/>
              </w:rPr>
              <w:t>Change in Pro</w:t>
            </w:r>
            <w:r w:rsidRPr="002C2C75">
              <w:rPr>
                <w:color w:val="000000"/>
              </w:rPr>
              <w:t xml:space="preserve">gramming from current grant: </w:t>
            </w:r>
            <w:sdt>
              <w:sdtPr>
                <w:tag w:val="goog_rdk_20"/>
                <w:id w:val="-2118675602"/>
              </w:sdtPr>
              <w:sdtContent>
                <w:r w:rsidRPr="002C2C75">
                  <w:rPr>
                    <w:rFonts w:ascii="Arial Unicode MS" w:eastAsia="Arial Unicode MS" w:hAnsi="Arial Unicode MS" w:cs="Arial Unicode MS"/>
                    <w:color w:val="000000"/>
                  </w:rPr>
                  <w:t>☐</w:t>
                </w:r>
              </w:sdtContent>
            </w:sdt>
            <w:r w:rsidRPr="002C2C75">
              <w:rPr>
                <w:color w:val="000000"/>
              </w:rPr>
              <w:t xml:space="preserve"> New, </w:t>
            </w:r>
            <w:sdt>
              <w:sdtPr>
                <w:tag w:val="goog_rdk_21"/>
                <w:id w:val="884065499"/>
              </w:sdtPr>
              <w:sdtContent>
                <w:r w:rsidRPr="002C2C75">
                  <w:rPr>
                    <w:rFonts w:ascii="Arial Unicode MS" w:eastAsia="Arial Unicode MS" w:hAnsi="Arial Unicode MS" w:cs="Arial Unicode MS"/>
                    <w:color w:val="000000"/>
                  </w:rPr>
                  <w:t>☐</w:t>
                </w:r>
              </w:sdtContent>
            </w:sdt>
            <w:r w:rsidRPr="002C2C75">
              <w:rPr>
                <w:color w:val="000000"/>
              </w:rPr>
              <w:t xml:space="preserve"> Scale-up, </w:t>
            </w:r>
            <w:r w:rsidRPr="002C2C75">
              <w:rPr>
                <w:rFonts w:ascii="Segoe UI Symbol" w:eastAsia="MS Gothic" w:hAnsi="Segoe UI Symbol" w:cs="Segoe UI Symbol"/>
                <w:color w:val="000000"/>
              </w:rPr>
              <w:t>☒</w:t>
            </w:r>
            <w:r w:rsidRPr="002C2C75">
              <w:rPr>
                <w:color w:val="000000"/>
              </w:rPr>
              <w:t xml:space="preserve"> Continuation, or </w:t>
            </w:r>
            <w:sdt>
              <w:sdtPr>
                <w:tag w:val="goog_rdk_23"/>
                <w:id w:val="-129641899"/>
              </w:sdtPr>
              <w:sdtContent>
                <w:r w:rsidRPr="002C2C75">
                  <w:rPr>
                    <w:rFonts w:ascii="Arial Unicode MS" w:eastAsia="Arial Unicode MS" w:hAnsi="Arial Unicode MS" w:cs="Arial Unicode MS"/>
                    <w:color w:val="000000"/>
                  </w:rPr>
                  <w:t>☐</w:t>
                </w:r>
              </w:sdtContent>
            </w:sdt>
            <w:r w:rsidRPr="002C2C75">
              <w:rPr>
                <w:color w:val="000000"/>
              </w:rPr>
              <w:t xml:space="preserve"> Scale-down</w:t>
            </w:r>
          </w:p>
        </w:tc>
      </w:tr>
      <w:tr w:rsidR="00036B0D" w:rsidRPr="002C2C75" w14:paraId="26A96867" w14:textId="77777777" w:rsidTr="00036B0D">
        <w:trPr>
          <w:gridAfter w:val="1"/>
          <w:wAfter w:w="68" w:type="dxa"/>
          <w:cantSplit/>
        </w:trPr>
        <w:tc>
          <w:tcPr>
            <w:tcW w:w="2605" w:type="dxa"/>
            <w:gridSpan w:val="2"/>
          </w:tcPr>
          <w:p w14:paraId="1E6B8289" w14:textId="6676A6AE" w:rsidR="00036B0D" w:rsidRPr="00EA49FB" w:rsidRDefault="00036B0D" w:rsidP="00EA49FB">
            <w:pPr>
              <w:pBdr>
                <w:top w:val="nil"/>
                <w:left w:val="nil"/>
                <w:bottom w:val="nil"/>
                <w:right w:val="nil"/>
                <w:between w:val="nil"/>
              </w:pBdr>
              <w:spacing w:line="264" w:lineRule="auto"/>
              <w:rPr>
                <w:b/>
                <w:bCs/>
                <w:color w:val="000000"/>
              </w:rPr>
            </w:pPr>
            <w:r w:rsidRPr="00EA49FB">
              <w:rPr>
                <w:b/>
                <w:bCs/>
                <w:color w:val="000000"/>
              </w:rPr>
              <w:t>Population, geographies and/or barriers addressed</w:t>
            </w:r>
          </w:p>
        </w:tc>
        <w:tc>
          <w:tcPr>
            <w:tcW w:w="12600" w:type="dxa"/>
          </w:tcPr>
          <w:p w14:paraId="4FA505BF" w14:textId="77777777" w:rsidR="00036B0D" w:rsidRPr="00E74D8B" w:rsidRDefault="00036B0D" w:rsidP="00036B0D">
            <w:pPr>
              <w:pBdr>
                <w:top w:val="nil"/>
                <w:left w:val="nil"/>
                <w:bottom w:val="nil"/>
                <w:right w:val="nil"/>
                <w:between w:val="nil"/>
              </w:pBdr>
              <w:spacing w:line="264" w:lineRule="auto"/>
              <w:jc w:val="both"/>
              <w:rPr>
                <w:color w:val="000000"/>
              </w:rPr>
            </w:pPr>
            <w:r w:rsidRPr="00E74D8B">
              <w:rPr>
                <w:color w:val="000000"/>
              </w:rPr>
              <w:t>Based on the main inspections findings, ANARME intends to draw up rules and regulations aimed at improving  pharmaceutical activities in the country. This will allow timely detection of medicine quality issues, and take necessary measures to protect public health.In addition, there is a need to draw up a pricing policy that is fair, up-to-date and compatible with the country's socio-economic conditions within the scope of improving access to health products for the Mozambican population.</w:t>
            </w:r>
          </w:p>
          <w:p w14:paraId="08DA577E" w14:textId="77777777" w:rsidR="00036B0D" w:rsidRPr="00E74D8B" w:rsidRDefault="00036B0D" w:rsidP="00036B0D">
            <w:pPr>
              <w:pBdr>
                <w:top w:val="nil"/>
                <w:left w:val="nil"/>
                <w:bottom w:val="nil"/>
                <w:right w:val="nil"/>
                <w:between w:val="nil"/>
              </w:pBdr>
              <w:spacing w:line="264" w:lineRule="auto"/>
              <w:jc w:val="both"/>
              <w:rPr>
                <w:color w:val="000000"/>
              </w:rPr>
            </w:pPr>
            <w:r w:rsidRPr="00E74D8B">
              <w:rPr>
                <w:color w:val="000000"/>
              </w:rPr>
              <w:t>The National Quality Assurance Laboratory (LNCQ) is an indispensable ANARME’s arm in quality health products control from introduction authorization in the national market, to continuous monitoring of production, commercialization and post-marketing. However, according to the latest WHO assessment based on the Global Benchmarking Tool (WHO-GBT), the LNCQ has limited analytical testing capacity and inadequate infrastructure, where in ANARME, IP got a score of 1.25 out of the required 2.0. The GBT report urged ANARME to expand and equip the LNCQ to increase its analytical testing and samples storage capacity, reduce testing costs currently conducted abroad, and ensure national ownership of the testing process.</w:t>
            </w:r>
          </w:p>
          <w:p w14:paraId="1D7B84FC" w14:textId="33FADD10" w:rsidR="00036B0D" w:rsidRPr="00036B0D" w:rsidRDefault="00036B0D" w:rsidP="00EA49FB">
            <w:pPr>
              <w:pBdr>
                <w:top w:val="nil"/>
                <w:left w:val="nil"/>
                <w:bottom w:val="nil"/>
                <w:right w:val="nil"/>
                <w:between w:val="nil"/>
              </w:pBdr>
              <w:spacing w:line="264" w:lineRule="auto"/>
              <w:jc w:val="both"/>
              <w:rPr>
                <w:color w:val="000000"/>
              </w:rPr>
            </w:pPr>
            <w:r w:rsidRPr="00E74D8B">
              <w:rPr>
                <w:color w:val="000000"/>
              </w:rPr>
              <w:t>According to WHO guidelines, market surveillance is a crucial regulatory function that prevents, detects and responds to any medical products quality issues circulating in the market, after granting Market Introduction Authorization (MIA) that may lead to regulatory sanctions to, and corrective actions from, the manufacturer and Marketing Authorization (MA) holders. Due to limited clinical trials, there is a need to perform drug safety studies for ensuring drug safety and effectiveness to protect public health. In addition, procurement of equipment to combat products counterfeit and conducting inspection activities on public and private entities are essential for intelligence operations and investigation of pharmaceutical crime.</w:t>
            </w:r>
          </w:p>
        </w:tc>
      </w:tr>
      <w:tr w:rsidR="00EA49FB" w:rsidRPr="002C2C75" w14:paraId="44876D30" w14:textId="77777777" w:rsidTr="00036B0D">
        <w:trPr>
          <w:gridAfter w:val="1"/>
          <w:wAfter w:w="68" w:type="dxa"/>
          <w:cantSplit/>
        </w:trPr>
        <w:tc>
          <w:tcPr>
            <w:tcW w:w="2605" w:type="dxa"/>
            <w:gridSpan w:val="2"/>
          </w:tcPr>
          <w:p w14:paraId="4B95FC7F" w14:textId="7D9C0B9E" w:rsidR="00EA49FB" w:rsidRPr="00EA49FB" w:rsidRDefault="00EA49FB" w:rsidP="00EA49FB">
            <w:pPr>
              <w:pBdr>
                <w:top w:val="nil"/>
                <w:left w:val="nil"/>
                <w:bottom w:val="nil"/>
                <w:right w:val="nil"/>
                <w:between w:val="nil"/>
              </w:pBdr>
              <w:spacing w:line="264" w:lineRule="auto"/>
              <w:rPr>
                <w:b/>
                <w:bCs/>
                <w:color w:val="000000"/>
              </w:rPr>
            </w:pPr>
          </w:p>
        </w:tc>
        <w:tc>
          <w:tcPr>
            <w:tcW w:w="12600" w:type="dxa"/>
          </w:tcPr>
          <w:p w14:paraId="2D3EF9CA" w14:textId="11ECE4A0" w:rsidR="00E74D8B" w:rsidRPr="00E74D8B" w:rsidRDefault="00E74D8B" w:rsidP="00E74D8B">
            <w:pPr>
              <w:pBdr>
                <w:top w:val="nil"/>
                <w:left w:val="nil"/>
                <w:bottom w:val="nil"/>
                <w:right w:val="nil"/>
                <w:between w:val="nil"/>
              </w:pBdr>
              <w:spacing w:line="264" w:lineRule="auto"/>
              <w:jc w:val="both"/>
              <w:rPr>
                <w:color w:val="000000"/>
              </w:rPr>
            </w:pPr>
            <w:r w:rsidRPr="00E74D8B">
              <w:rPr>
                <w:color w:val="000000"/>
              </w:rPr>
              <w:t>ANARME has well defined and mapped processes. Nevertheless, the heavy paper based work, combined with limited physical space and high demand for medicine-related information calls for a robust IT infrastructure, an archive system and the establishment of a Medicines Information Center (CIM) to support systems integration and space, resource and time rationalization.  Both CIM and the integrated system of ANARME,IP provides information on the import, quality and safety of pharmaceutical products, in this way it can feed the other systems in order to have exact information about medicines that circulate in the country that are registered and that were imported legally. This will support programs to combat  disease exacerbation or therapeutic inefficiency due to the use of poor quality medicine (unregistered or illegally imported).</w:t>
            </w:r>
            <w:r>
              <w:rPr>
                <w:color w:val="000000"/>
              </w:rPr>
              <w:t xml:space="preserve"> </w:t>
            </w:r>
            <w:r w:rsidRPr="00E74D8B">
              <w:rPr>
                <w:color w:val="000000"/>
              </w:rPr>
              <w:t>It also supports the rational use of medicines by controlling consumption, prescription and adverse drug reactions in the NHS.</w:t>
            </w:r>
          </w:p>
          <w:p w14:paraId="6D788B5D" w14:textId="7C4F846D" w:rsidR="00EA49FB" w:rsidRPr="002C2C75" w:rsidRDefault="00E74D8B" w:rsidP="00E74D8B">
            <w:pPr>
              <w:pBdr>
                <w:top w:val="nil"/>
                <w:left w:val="nil"/>
                <w:bottom w:val="nil"/>
                <w:right w:val="nil"/>
                <w:between w:val="nil"/>
              </w:pBdr>
              <w:spacing w:line="264" w:lineRule="auto"/>
              <w:jc w:val="both"/>
              <w:rPr>
                <w:color w:val="000000"/>
              </w:rPr>
            </w:pPr>
            <w:r w:rsidRPr="00E74D8B">
              <w:rPr>
                <w:color w:val="000000"/>
              </w:rPr>
              <w:t>The country will have more information on antimicrobial resistance by measuring its appropriate use and the quality of antimicrobials.</w:t>
            </w:r>
            <w:r>
              <w:rPr>
                <w:color w:val="000000"/>
              </w:rPr>
              <w:t xml:space="preserve"> </w:t>
            </w:r>
            <w:r w:rsidRPr="00E74D8B">
              <w:rPr>
                <w:color w:val="000000"/>
              </w:rPr>
              <w:t xml:space="preserve">In addition, the CIM receives queries related to the therapy and medicines for the country's main diseases, guaranteeing the safe use of medicines and records of any information related to them, thus effectively ensuring the shelf life of medicines. ANARME expects this to inform other health sector information systems by capturing drug-disease related data.  </w:t>
            </w:r>
          </w:p>
        </w:tc>
      </w:tr>
      <w:tr w:rsidR="00EA49FB" w:rsidRPr="002C2C75" w14:paraId="21895879" w14:textId="77777777" w:rsidTr="00036B0D">
        <w:trPr>
          <w:gridAfter w:val="1"/>
          <w:wAfter w:w="68" w:type="dxa"/>
          <w:cantSplit/>
        </w:trPr>
        <w:tc>
          <w:tcPr>
            <w:tcW w:w="2605" w:type="dxa"/>
            <w:gridSpan w:val="2"/>
          </w:tcPr>
          <w:p w14:paraId="1A74B4C3" w14:textId="42F05B12" w:rsidR="00EA49FB" w:rsidRPr="00EA49FB" w:rsidRDefault="00EA49FB" w:rsidP="00EA49FB">
            <w:pPr>
              <w:pBdr>
                <w:top w:val="nil"/>
                <w:left w:val="nil"/>
                <w:bottom w:val="nil"/>
                <w:right w:val="nil"/>
                <w:between w:val="nil"/>
              </w:pBdr>
              <w:spacing w:line="264" w:lineRule="auto"/>
              <w:rPr>
                <w:b/>
                <w:bCs/>
                <w:color w:val="000000"/>
              </w:rPr>
            </w:pPr>
            <w:r w:rsidRPr="00EA49FB">
              <w:rPr>
                <w:b/>
                <w:bCs/>
                <w:color w:val="000000"/>
              </w:rPr>
              <w:t>List of activities</w:t>
            </w:r>
          </w:p>
        </w:tc>
        <w:tc>
          <w:tcPr>
            <w:tcW w:w="12600" w:type="dxa"/>
          </w:tcPr>
          <w:p w14:paraId="0C1A09D5" w14:textId="77777777" w:rsidR="00E74D8B" w:rsidRPr="00E74D8B" w:rsidRDefault="00E74D8B" w:rsidP="00E74D8B">
            <w:pPr>
              <w:numPr>
                <w:ilvl w:val="0"/>
                <w:numId w:val="61"/>
              </w:numPr>
              <w:pBdr>
                <w:top w:val="nil"/>
                <w:left w:val="nil"/>
                <w:bottom w:val="nil"/>
                <w:right w:val="nil"/>
                <w:between w:val="nil"/>
              </w:pBdr>
              <w:spacing w:after="0" w:line="264" w:lineRule="auto"/>
              <w:jc w:val="both"/>
              <w:rPr>
                <w:color w:val="000000"/>
              </w:rPr>
            </w:pPr>
            <w:r w:rsidRPr="00E74D8B">
              <w:rPr>
                <w:color w:val="000000"/>
              </w:rPr>
              <w:t>Equip and expand the National Laboratory for Quality Control of Medicines</w:t>
            </w:r>
          </w:p>
          <w:p w14:paraId="5DF7D6BE" w14:textId="77777777" w:rsidR="00E74D8B" w:rsidRPr="00E74D8B" w:rsidRDefault="00E74D8B" w:rsidP="00E74D8B">
            <w:pPr>
              <w:numPr>
                <w:ilvl w:val="0"/>
                <w:numId w:val="61"/>
              </w:numPr>
              <w:pBdr>
                <w:top w:val="nil"/>
                <w:left w:val="nil"/>
                <w:bottom w:val="nil"/>
                <w:right w:val="nil"/>
                <w:between w:val="nil"/>
              </w:pBdr>
              <w:spacing w:after="0" w:line="264" w:lineRule="auto"/>
              <w:jc w:val="both"/>
              <w:rPr>
                <w:color w:val="000000"/>
              </w:rPr>
            </w:pPr>
            <w:r w:rsidRPr="00E74D8B">
              <w:rPr>
                <w:color w:val="000000"/>
              </w:rPr>
              <w:t>Continue to outsource medicine quality control services to foreign accredited laboratories until national capacity is created</w:t>
            </w:r>
          </w:p>
          <w:p w14:paraId="07F610DE" w14:textId="77777777" w:rsidR="00E74D8B" w:rsidRPr="00E74D8B" w:rsidRDefault="00E74D8B" w:rsidP="00E74D8B">
            <w:pPr>
              <w:numPr>
                <w:ilvl w:val="0"/>
                <w:numId w:val="61"/>
              </w:numPr>
              <w:pBdr>
                <w:top w:val="nil"/>
                <w:left w:val="nil"/>
                <w:bottom w:val="nil"/>
                <w:right w:val="nil"/>
                <w:between w:val="nil"/>
              </w:pBdr>
              <w:spacing w:after="0" w:line="264" w:lineRule="auto"/>
              <w:jc w:val="both"/>
              <w:rPr>
                <w:color w:val="000000"/>
              </w:rPr>
            </w:pPr>
            <w:r w:rsidRPr="00E74D8B">
              <w:rPr>
                <w:color w:val="000000"/>
              </w:rPr>
              <w:t>Perform quality monitoring of pharmaceutical and health products to combat counterfeit and circulation of low quality products (including inspection in private and public  sectors)</w:t>
            </w:r>
          </w:p>
          <w:p w14:paraId="05F1BFF6" w14:textId="77777777" w:rsidR="00E74D8B" w:rsidRPr="00E74D8B" w:rsidRDefault="00E74D8B" w:rsidP="00E74D8B">
            <w:pPr>
              <w:numPr>
                <w:ilvl w:val="0"/>
                <w:numId w:val="61"/>
              </w:numPr>
              <w:pBdr>
                <w:top w:val="nil"/>
                <w:left w:val="nil"/>
                <w:bottom w:val="nil"/>
                <w:right w:val="nil"/>
                <w:between w:val="nil"/>
              </w:pBdr>
              <w:spacing w:after="0" w:line="264" w:lineRule="auto"/>
              <w:jc w:val="both"/>
              <w:rPr>
                <w:color w:val="000000"/>
              </w:rPr>
            </w:pPr>
            <w:r w:rsidRPr="00E74D8B">
              <w:rPr>
                <w:color w:val="000000"/>
              </w:rPr>
              <w:t>Procure equipment to support the implementation of the program to combat the counterfeit and circulation of low-quality medicines.</w:t>
            </w:r>
          </w:p>
          <w:p w14:paraId="265DF365" w14:textId="77777777" w:rsidR="00E74D8B" w:rsidRPr="00E74D8B" w:rsidRDefault="00E74D8B" w:rsidP="00E74D8B">
            <w:pPr>
              <w:numPr>
                <w:ilvl w:val="0"/>
                <w:numId w:val="61"/>
              </w:numPr>
              <w:pBdr>
                <w:top w:val="nil"/>
                <w:left w:val="nil"/>
                <w:bottom w:val="nil"/>
                <w:right w:val="nil"/>
                <w:between w:val="nil"/>
              </w:pBdr>
              <w:spacing w:after="0" w:line="264" w:lineRule="auto"/>
              <w:jc w:val="both"/>
              <w:rPr>
                <w:color w:val="000000"/>
              </w:rPr>
            </w:pPr>
            <w:r w:rsidRPr="00E74D8B">
              <w:rPr>
                <w:color w:val="000000"/>
              </w:rPr>
              <w:t>Create an Integrated IT System for managing ANARME’s regulatory processes.</w:t>
            </w:r>
          </w:p>
          <w:p w14:paraId="7D4F37EA" w14:textId="77777777" w:rsidR="00E74D8B" w:rsidRPr="00E74D8B" w:rsidRDefault="00E74D8B" w:rsidP="00E74D8B">
            <w:pPr>
              <w:numPr>
                <w:ilvl w:val="0"/>
                <w:numId w:val="61"/>
              </w:numPr>
              <w:pBdr>
                <w:top w:val="nil"/>
                <w:left w:val="nil"/>
                <w:bottom w:val="nil"/>
                <w:right w:val="nil"/>
                <w:between w:val="nil"/>
              </w:pBdr>
              <w:spacing w:after="0" w:line="264" w:lineRule="auto"/>
              <w:jc w:val="both"/>
              <w:rPr>
                <w:color w:val="000000"/>
              </w:rPr>
            </w:pPr>
            <w:r w:rsidRPr="00E74D8B">
              <w:rPr>
                <w:color w:val="000000"/>
              </w:rPr>
              <w:t>Perform regulatory activities, including pharmacy mapping nationwide, drugs pricing policy, archive systems, CIM)</w:t>
            </w:r>
          </w:p>
          <w:p w14:paraId="082C2B64" w14:textId="6320FE1F" w:rsidR="00EA49FB" w:rsidRPr="00EA49FB" w:rsidRDefault="00E74D8B" w:rsidP="00E74D8B">
            <w:pPr>
              <w:numPr>
                <w:ilvl w:val="0"/>
                <w:numId w:val="61"/>
              </w:numPr>
              <w:pBdr>
                <w:top w:val="nil"/>
                <w:left w:val="nil"/>
                <w:bottom w:val="nil"/>
                <w:right w:val="nil"/>
                <w:between w:val="nil"/>
              </w:pBdr>
              <w:spacing w:after="0" w:line="264" w:lineRule="auto"/>
              <w:jc w:val="both"/>
              <w:rPr>
                <w:color w:val="000000"/>
              </w:rPr>
            </w:pPr>
            <w:r w:rsidRPr="00E74D8B">
              <w:rPr>
                <w:color w:val="000000"/>
              </w:rPr>
              <w:t>Develop awareness on Antimicrobian Resistance through targeted communications. Carry out specialized training (including postgraduate; short and on-the-job-training)</w:t>
            </w:r>
          </w:p>
        </w:tc>
      </w:tr>
      <w:tr w:rsidR="00EA49FB" w:rsidRPr="002C2C75" w14:paraId="08AB1FC9" w14:textId="77777777" w:rsidTr="00036B0D">
        <w:trPr>
          <w:gridAfter w:val="1"/>
          <w:wAfter w:w="68" w:type="dxa"/>
          <w:cantSplit/>
        </w:trPr>
        <w:tc>
          <w:tcPr>
            <w:tcW w:w="2605" w:type="dxa"/>
            <w:gridSpan w:val="2"/>
          </w:tcPr>
          <w:p w14:paraId="2D13D5D4" w14:textId="77777777" w:rsidR="00EA49FB" w:rsidRPr="00EA49FB" w:rsidRDefault="00EA49FB" w:rsidP="00EA49FB">
            <w:pPr>
              <w:pBdr>
                <w:top w:val="nil"/>
                <w:left w:val="nil"/>
                <w:bottom w:val="nil"/>
                <w:right w:val="nil"/>
                <w:between w:val="nil"/>
              </w:pBdr>
              <w:spacing w:line="264" w:lineRule="auto"/>
              <w:rPr>
                <w:b/>
                <w:bCs/>
                <w:color w:val="000000"/>
              </w:rPr>
            </w:pPr>
            <w:r w:rsidRPr="00EA49FB">
              <w:rPr>
                <w:b/>
                <w:bCs/>
                <w:color w:val="000000"/>
              </w:rPr>
              <w:t>Amount requested</w:t>
            </w:r>
          </w:p>
        </w:tc>
        <w:tc>
          <w:tcPr>
            <w:tcW w:w="12600" w:type="dxa"/>
          </w:tcPr>
          <w:p w14:paraId="6CFEDE82" w14:textId="4CD56810" w:rsidR="00EA49FB" w:rsidRPr="002C2C75" w:rsidRDefault="00EA49FB" w:rsidP="00EA49FB">
            <w:pPr>
              <w:pBdr>
                <w:top w:val="nil"/>
                <w:left w:val="nil"/>
                <w:bottom w:val="nil"/>
                <w:right w:val="nil"/>
                <w:between w:val="nil"/>
              </w:pBdr>
              <w:spacing w:line="264" w:lineRule="auto"/>
              <w:rPr>
                <w:b/>
                <w:bCs/>
                <w:color w:val="000000"/>
              </w:rPr>
            </w:pPr>
            <w:r w:rsidRPr="002C2C75">
              <w:rPr>
                <w:b/>
                <w:bCs/>
                <w:color w:val="000000"/>
              </w:rPr>
              <w:t>Within allocation: $10,090,386</w:t>
            </w:r>
          </w:p>
        </w:tc>
      </w:tr>
      <w:tr w:rsidR="00EA49FB" w:rsidRPr="002C2C75" w14:paraId="7DBF1FD2" w14:textId="77777777" w:rsidTr="00036B0D">
        <w:trPr>
          <w:gridAfter w:val="1"/>
          <w:wAfter w:w="68" w:type="dxa"/>
          <w:cantSplit/>
        </w:trPr>
        <w:tc>
          <w:tcPr>
            <w:tcW w:w="2605" w:type="dxa"/>
            <w:gridSpan w:val="2"/>
          </w:tcPr>
          <w:p w14:paraId="614CCDAA" w14:textId="77777777" w:rsidR="00EA49FB" w:rsidRDefault="00EA49FB" w:rsidP="00EA49FB">
            <w:pPr>
              <w:pBdr>
                <w:top w:val="nil"/>
                <w:left w:val="nil"/>
                <w:bottom w:val="nil"/>
                <w:right w:val="nil"/>
                <w:between w:val="nil"/>
              </w:pBdr>
              <w:spacing w:line="264" w:lineRule="auto"/>
              <w:rPr>
                <w:b/>
                <w:bCs/>
                <w:color w:val="000000"/>
              </w:rPr>
            </w:pPr>
            <w:r w:rsidRPr="00EA49FB">
              <w:rPr>
                <w:b/>
                <w:bCs/>
                <w:color w:val="000000"/>
              </w:rPr>
              <w:t>Expected outcome</w:t>
            </w:r>
          </w:p>
          <w:p w14:paraId="17DD265D" w14:textId="77777777" w:rsidR="00365D5A" w:rsidRDefault="00365D5A" w:rsidP="00365D5A">
            <w:pPr>
              <w:pBdr>
                <w:top w:val="nil"/>
                <w:left w:val="nil"/>
                <w:bottom w:val="nil"/>
                <w:right w:val="nil"/>
                <w:between w:val="nil"/>
              </w:pBdr>
              <w:spacing w:line="264" w:lineRule="auto"/>
              <w:rPr>
                <w:b/>
                <w:bCs/>
                <w:color w:val="000000"/>
              </w:rPr>
            </w:pPr>
          </w:p>
          <w:p w14:paraId="46EE4340" w14:textId="77777777" w:rsidR="00036B0D" w:rsidRDefault="00036B0D" w:rsidP="00365D5A">
            <w:pPr>
              <w:pBdr>
                <w:top w:val="nil"/>
                <w:left w:val="nil"/>
                <w:bottom w:val="nil"/>
                <w:right w:val="nil"/>
                <w:between w:val="nil"/>
              </w:pBdr>
              <w:spacing w:line="264" w:lineRule="auto"/>
              <w:rPr>
                <w:b/>
                <w:bCs/>
                <w:color w:val="000000"/>
              </w:rPr>
            </w:pPr>
          </w:p>
          <w:p w14:paraId="5A59451E" w14:textId="77777777" w:rsidR="00036B0D" w:rsidRDefault="00036B0D" w:rsidP="00365D5A">
            <w:pPr>
              <w:pBdr>
                <w:top w:val="nil"/>
                <w:left w:val="nil"/>
                <w:bottom w:val="nil"/>
                <w:right w:val="nil"/>
                <w:between w:val="nil"/>
              </w:pBdr>
              <w:spacing w:line="264" w:lineRule="auto"/>
              <w:rPr>
                <w:b/>
                <w:bCs/>
                <w:color w:val="000000"/>
              </w:rPr>
            </w:pPr>
          </w:p>
          <w:p w14:paraId="65680FF5" w14:textId="3D96B98E" w:rsidR="00036B0D" w:rsidRPr="00EA49FB" w:rsidRDefault="00036B0D" w:rsidP="00365D5A">
            <w:pPr>
              <w:pBdr>
                <w:top w:val="nil"/>
                <w:left w:val="nil"/>
                <w:bottom w:val="nil"/>
                <w:right w:val="nil"/>
                <w:between w:val="nil"/>
              </w:pBdr>
              <w:spacing w:line="264" w:lineRule="auto"/>
              <w:rPr>
                <w:b/>
                <w:bCs/>
                <w:color w:val="000000"/>
              </w:rPr>
            </w:pPr>
          </w:p>
        </w:tc>
        <w:tc>
          <w:tcPr>
            <w:tcW w:w="12600" w:type="dxa"/>
          </w:tcPr>
          <w:p w14:paraId="5C170C9B" w14:textId="77777777" w:rsidR="00EA49FB" w:rsidRPr="002C2C75" w:rsidRDefault="00EA49FB" w:rsidP="00EA49FB">
            <w:pPr>
              <w:numPr>
                <w:ilvl w:val="0"/>
                <w:numId w:val="61"/>
              </w:numPr>
              <w:pBdr>
                <w:top w:val="nil"/>
                <w:left w:val="nil"/>
                <w:bottom w:val="nil"/>
                <w:right w:val="nil"/>
                <w:between w:val="nil"/>
              </w:pBdr>
              <w:spacing w:after="0" w:line="264" w:lineRule="auto"/>
              <w:jc w:val="both"/>
              <w:rPr>
                <w:color w:val="000000"/>
              </w:rPr>
            </w:pPr>
            <w:r w:rsidRPr="002C2C75">
              <w:rPr>
                <w:color w:val="000000"/>
              </w:rPr>
              <w:t xml:space="preserve">Improved Pharmaceutical regulatory system </w:t>
            </w:r>
          </w:p>
          <w:p w14:paraId="4559B50C" w14:textId="77777777" w:rsidR="00EA49FB" w:rsidRDefault="00EA49FB" w:rsidP="00EA49FB">
            <w:pPr>
              <w:numPr>
                <w:ilvl w:val="0"/>
                <w:numId w:val="61"/>
              </w:numPr>
              <w:pBdr>
                <w:top w:val="nil"/>
                <w:left w:val="nil"/>
                <w:bottom w:val="nil"/>
                <w:right w:val="nil"/>
                <w:between w:val="nil"/>
              </w:pBdr>
              <w:spacing w:after="0" w:line="264" w:lineRule="auto"/>
              <w:jc w:val="both"/>
              <w:rPr>
                <w:color w:val="000000"/>
              </w:rPr>
            </w:pPr>
            <w:r w:rsidRPr="002C2C75">
              <w:rPr>
                <w:color w:val="000000"/>
              </w:rPr>
              <w:t>Quality assured medicines circulating in the country</w:t>
            </w:r>
          </w:p>
          <w:p w14:paraId="64391A9F" w14:textId="05C72EC3" w:rsidR="00EA49FB" w:rsidRPr="00EA49FB" w:rsidRDefault="00EA49FB" w:rsidP="00EA49FB">
            <w:pPr>
              <w:numPr>
                <w:ilvl w:val="0"/>
                <w:numId w:val="61"/>
              </w:numPr>
              <w:pBdr>
                <w:top w:val="nil"/>
                <w:left w:val="nil"/>
                <w:bottom w:val="nil"/>
                <w:right w:val="nil"/>
                <w:between w:val="nil"/>
              </w:pBdr>
              <w:spacing w:after="0" w:line="264" w:lineRule="auto"/>
              <w:jc w:val="both"/>
              <w:rPr>
                <w:color w:val="000000"/>
              </w:rPr>
            </w:pPr>
            <w:r w:rsidRPr="00EA49FB">
              <w:rPr>
                <w:color w:val="000000"/>
              </w:rPr>
              <w:t>Improved ANARME's institutional capacity to fulfill its mandate</w:t>
            </w:r>
          </w:p>
        </w:tc>
      </w:tr>
      <w:tr w:rsidR="00EA49FB" w:rsidRPr="002C2C75" w14:paraId="6A3187F9" w14:textId="77777777" w:rsidTr="00036B0D">
        <w:trPr>
          <w:gridAfter w:val="1"/>
          <w:wAfter w:w="68" w:type="dxa"/>
          <w:cantSplit/>
        </w:trPr>
        <w:tc>
          <w:tcPr>
            <w:tcW w:w="2605" w:type="dxa"/>
            <w:gridSpan w:val="2"/>
          </w:tcPr>
          <w:p w14:paraId="2C1C1A8A" w14:textId="77777777" w:rsidR="00365D5A" w:rsidRDefault="00EA49FB" w:rsidP="00EA49FB">
            <w:pPr>
              <w:pBdr>
                <w:top w:val="nil"/>
                <w:left w:val="nil"/>
                <w:bottom w:val="nil"/>
                <w:right w:val="nil"/>
                <w:between w:val="nil"/>
              </w:pBdr>
              <w:spacing w:line="264" w:lineRule="auto"/>
              <w:rPr>
                <w:rFonts w:cstheme="minorHAnsi"/>
                <w:b/>
                <w:bCs/>
                <w:color w:val="000000"/>
              </w:rPr>
            </w:pPr>
            <w:r w:rsidRPr="00EA49FB">
              <w:rPr>
                <w:rFonts w:cstheme="minorHAnsi"/>
                <w:b/>
                <w:bCs/>
                <w:color w:val="000000"/>
              </w:rPr>
              <w:t>Intervention(s)</w:t>
            </w:r>
          </w:p>
          <w:p w14:paraId="4A766B7F" w14:textId="413479C6" w:rsidR="00EA49FB" w:rsidRPr="00EA49FB" w:rsidRDefault="00EA49FB" w:rsidP="00EA49FB">
            <w:pPr>
              <w:pBdr>
                <w:top w:val="nil"/>
                <w:left w:val="nil"/>
                <w:bottom w:val="nil"/>
                <w:right w:val="nil"/>
                <w:between w:val="nil"/>
              </w:pBdr>
              <w:spacing w:line="264" w:lineRule="auto"/>
              <w:rPr>
                <w:rFonts w:cstheme="minorHAnsi"/>
                <w:b/>
                <w:bCs/>
                <w:color w:val="000000"/>
              </w:rPr>
            </w:pPr>
            <w:r w:rsidRPr="00EA49FB">
              <w:rPr>
                <w:rFonts w:cstheme="minorHAnsi"/>
                <w:b/>
                <w:bCs/>
                <w:color w:val="000000"/>
              </w:rPr>
              <w:t xml:space="preserve"> </w:t>
            </w:r>
          </w:p>
        </w:tc>
        <w:tc>
          <w:tcPr>
            <w:tcW w:w="12600" w:type="dxa"/>
          </w:tcPr>
          <w:p w14:paraId="5DB41962" w14:textId="72337CDC" w:rsidR="00EA49FB" w:rsidRPr="00EA49FB" w:rsidRDefault="00EA49FB" w:rsidP="00EA49FB">
            <w:pPr>
              <w:pBdr>
                <w:top w:val="nil"/>
                <w:left w:val="nil"/>
                <w:bottom w:val="nil"/>
                <w:right w:val="nil"/>
                <w:between w:val="nil"/>
              </w:pBdr>
              <w:spacing w:line="264" w:lineRule="auto"/>
              <w:jc w:val="both"/>
              <w:rPr>
                <w:rFonts w:cstheme="minorHAnsi"/>
                <w:color w:val="000000"/>
              </w:rPr>
            </w:pPr>
            <w:r>
              <w:rPr>
                <w:rFonts w:cstheme="minorHAnsi"/>
                <w:b/>
                <w:bCs/>
                <w:color w:val="000000"/>
              </w:rPr>
              <w:t xml:space="preserve">Intervention: </w:t>
            </w:r>
            <w:r w:rsidRPr="00EA49FB">
              <w:rPr>
                <w:rFonts w:cstheme="minorHAnsi"/>
                <w:color w:val="000000"/>
              </w:rPr>
              <w:t xml:space="preserve">Avoidance, reduction and management of health care waste </w:t>
            </w:r>
          </w:p>
          <w:p w14:paraId="3C06C147" w14:textId="25CAFABD" w:rsidR="00EA49FB" w:rsidRPr="002C2C75" w:rsidRDefault="00EA49FB" w:rsidP="00EA49FB">
            <w:pPr>
              <w:pBdr>
                <w:top w:val="nil"/>
                <w:left w:val="nil"/>
                <w:bottom w:val="nil"/>
                <w:right w:val="nil"/>
                <w:between w:val="nil"/>
              </w:pBdr>
              <w:spacing w:line="264" w:lineRule="auto"/>
              <w:jc w:val="both"/>
              <w:rPr>
                <w:rFonts w:cstheme="minorHAnsi"/>
                <w:color w:val="000000"/>
              </w:rPr>
            </w:pPr>
            <w:r w:rsidRPr="00EA49FB">
              <w:rPr>
                <w:rFonts w:cstheme="minorHAnsi"/>
                <w:color w:val="000000"/>
              </w:rPr>
              <w:t>Change in Pro</w:t>
            </w:r>
            <w:r w:rsidRPr="002C2C75">
              <w:rPr>
                <w:rFonts w:cstheme="minorHAnsi"/>
                <w:color w:val="000000"/>
              </w:rPr>
              <w:t xml:space="preserve">gramming from current grant: </w:t>
            </w:r>
            <w:r w:rsidRPr="002C2C75">
              <w:rPr>
                <w:rFonts w:ascii="Segoe UI Symbol" w:eastAsia="MS Gothic" w:hAnsi="Segoe UI Symbol" w:cs="Segoe UI Symbol"/>
                <w:color w:val="000000"/>
              </w:rPr>
              <w:t>☒</w:t>
            </w:r>
            <w:r w:rsidRPr="002C2C75">
              <w:rPr>
                <w:rFonts w:cstheme="minorHAnsi"/>
                <w:color w:val="000000"/>
              </w:rPr>
              <w:t xml:space="preserve"> New, </w:t>
            </w:r>
            <w:sdt>
              <w:sdtPr>
                <w:rPr>
                  <w:rFonts w:cstheme="minorHAnsi"/>
                </w:rPr>
                <w:tag w:val="goog_rdk_25"/>
                <w:id w:val="1027601765"/>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Scale-up, </w:t>
            </w:r>
            <w:sdt>
              <w:sdtPr>
                <w:rPr>
                  <w:rFonts w:cstheme="minorHAnsi"/>
                </w:rPr>
                <w:tag w:val="goog_rdk_26"/>
                <w:id w:val="-1600870716"/>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Continuation, or </w:t>
            </w:r>
            <w:sdt>
              <w:sdtPr>
                <w:rPr>
                  <w:rFonts w:cstheme="minorHAnsi"/>
                </w:rPr>
                <w:tag w:val="goog_rdk_27"/>
                <w:id w:val="255871045"/>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Scale-down</w:t>
            </w:r>
          </w:p>
        </w:tc>
      </w:tr>
      <w:tr w:rsidR="00EA49FB" w:rsidRPr="002C2C75" w14:paraId="6B7C0147" w14:textId="77777777" w:rsidTr="00036B0D">
        <w:trPr>
          <w:gridAfter w:val="1"/>
          <w:wAfter w:w="68" w:type="dxa"/>
          <w:cantSplit/>
        </w:trPr>
        <w:tc>
          <w:tcPr>
            <w:tcW w:w="2605" w:type="dxa"/>
            <w:gridSpan w:val="2"/>
          </w:tcPr>
          <w:p w14:paraId="093A4ABB" w14:textId="77777777" w:rsidR="00EA49FB" w:rsidRPr="00EA49FB" w:rsidRDefault="00EA49FB" w:rsidP="00EA49FB">
            <w:pPr>
              <w:pBdr>
                <w:top w:val="nil"/>
                <w:left w:val="nil"/>
                <w:bottom w:val="nil"/>
                <w:right w:val="nil"/>
                <w:between w:val="nil"/>
              </w:pBdr>
              <w:spacing w:line="264" w:lineRule="auto"/>
              <w:rPr>
                <w:rFonts w:cstheme="minorHAnsi"/>
                <w:b/>
                <w:bCs/>
                <w:color w:val="000000"/>
              </w:rPr>
            </w:pPr>
            <w:r w:rsidRPr="00EA49FB">
              <w:rPr>
                <w:rFonts w:cstheme="minorHAnsi"/>
                <w:b/>
                <w:bCs/>
                <w:color w:val="000000"/>
              </w:rPr>
              <w:t>Population, geographies and/or barriers addressed</w:t>
            </w:r>
          </w:p>
        </w:tc>
        <w:tc>
          <w:tcPr>
            <w:tcW w:w="12600" w:type="dxa"/>
          </w:tcPr>
          <w:p w14:paraId="1C51914C" w14:textId="77777777" w:rsidR="00EA49FB" w:rsidRPr="002C2C75" w:rsidRDefault="00EA49FB" w:rsidP="00EA49FB">
            <w:pPr>
              <w:pBdr>
                <w:top w:val="nil"/>
                <w:left w:val="nil"/>
                <w:bottom w:val="nil"/>
                <w:right w:val="nil"/>
                <w:between w:val="nil"/>
              </w:pBdr>
              <w:spacing w:line="264" w:lineRule="auto"/>
              <w:jc w:val="both"/>
              <w:rPr>
                <w:rFonts w:cstheme="minorHAnsi"/>
                <w:color w:val="000000"/>
              </w:rPr>
            </w:pPr>
            <w:r w:rsidRPr="002C2C75">
              <w:rPr>
                <w:rFonts w:cstheme="minorHAnsi"/>
                <w:color w:val="000000"/>
              </w:rPr>
              <w:t>It is globally recognized that, as healthcare systems expand, increasing amounts of waste are generated by these systems. This waste, when improperly treated, causes pollution, unnecessary carbon emissions and waste of resources. Furthermore, antimicrobial residues and resistant pathogens present in this waste can lead to their dissemination in the environment and exacerbate antimicrobial resistance. In Mozambique, several public and private institutions produce considerable amounts of health waste, mainly resulting from expired medicines and the ever-increasing volume of care and treatment of communicable diseases and beyond. However, its treatment and potential risk to human health is not well known. Therefore, the sector intends to conduct a national and comprehensive assessment of waste management systems to inform the development of a plan to strengthen health waste management systems.</w:t>
            </w:r>
          </w:p>
          <w:p w14:paraId="2AD94014" w14:textId="321A2C6D" w:rsidR="00EA49FB" w:rsidRPr="002C2C75" w:rsidRDefault="00EA49FB" w:rsidP="00EA49FB">
            <w:pPr>
              <w:pBdr>
                <w:top w:val="nil"/>
                <w:left w:val="nil"/>
                <w:bottom w:val="nil"/>
                <w:right w:val="nil"/>
                <w:between w:val="nil"/>
              </w:pBdr>
              <w:spacing w:line="264" w:lineRule="auto"/>
              <w:jc w:val="both"/>
              <w:rPr>
                <w:rFonts w:cstheme="minorHAnsi"/>
                <w:color w:val="000000"/>
              </w:rPr>
            </w:pPr>
            <w:r w:rsidRPr="002C2C75">
              <w:rPr>
                <w:rFonts w:cstheme="minorHAnsi"/>
                <w:color w:val="000000"/>
              </w:rPr>
              <w:t>Pending the availability of this plan, the sector will seek to reduce potential risks of health waste by raising consumer awareness on the importance of proper disposal of anti-infective or antimicrobial waste, creating and disseminating a collection mechanism and return of this waste to supplying units, with a focus on antimicrobials, as well as designing and implementing collection systems, transportation and incineration of unused and/or damaged health products especially resulting from HIV/TB/Malaria therapeutic changes, and also PPE, from health Facilities to incineration points. It will also be important to ensure the maintenance and operation of the incineration and product disposal equipment purchased under the current Global Fund grant. In addition, ANARME will continue to contract services for the disposal of waste resulting from samples taken for quality analysis purposes. Last, but not least, and as a preventive measure, the sector will implement the ISO 14001 Standard for the regulation of environmental management systems concerning medicines through the establishment of correct waste management procedures</w:t>
            </w:r>
            <w:r w:rsidR="00E74D8B">
              <w:rPr>
                <w:rFonts w:cstheme="minorHAnsi"/>
                <w:color w:val="000000"/>
              </w:rPr>
              <w:t>.</w:t>
            </w:r>
          </w:p>
        </w:tc>
      </w:tr>
      <w:tr w:rsidR="00EA49FB" w:rsidRPr="002C2C75" w14:paraId="5D23B008" w14:textId="77777777" w:rsidTr="00036B0D">
        <w:trPr>
          <w:gridAfter w:val="1"/>
          <w:wAfter w:w="68" w:type="dxa"/>
          <w:cantSplit/>
        </w:trPr>
        <w:tc>
          <w:tcPr>
            <w:tcW w:w="2605" w:type="dxa"/>
            <w:gridSpan w:val="2"/>
          </w:tcPr>
          <w:p w14:paraId="0F49E9FF" w14:textId="31D242A5" w:rsidR="00EA49FB" w:rsidRPr="00EA49FB" w:rsidRDefault="00EA49FB" w:rsidP="00EA49FB">
            <w:pPr>
              <w:pBdr>
                <w:top w:val="nil"/>
                <w:left w:val="nil"/>
                <w:bottom w:val="nil"/>
                <w:right w:val="nil"/>
                <w:between w:val="nil"/>
              </w:pBdr>
              <w:spacing w:line="264" w:lineRule="auto"/>
              <w:rPr>
                <w:rFonts w:cstheme="minorHAnsi"/>
                <w:b/>
                <w:bCs/>
                <w:color w:val="000000"/>
              </w:rPr>
            </w:pPr>
            <w:r w:rsidRPr="00EA49FB">
              <w:rPr>
                <w:rFonts w:cstheme="minorHAnsi"/>
                <w:b/>
                <w:bCs/>
                <w:color w:val="000000"/>
              </w:rPr>
              <w:t>List of activities</w:t>
            </w:r>
          </w:p>
        </w:tc>
        <w:tc>
          <w:tcPr>
            <w:tcW w:w="12600" w:type="dxa"/>
          </w:tcPr>
          <w:p w14:paraId="7701DEF4" w14:textId="3127279E" w:rsidR="00EA49FB" w:rsidRPr="002C2C75" w:rsidRDefault="00EA49FB" w:rsidP="00EA49FB">
            <w:pPr>
              <w:numPr>
                <w:ilvl w:val="0"/>
                <w:numId w:val="61"/>
              </w:numPr>
              <w:pBdr>
                <w:top w:val="nil"/>
                <w:left w:val="nil"/>
                <w:bottom w:val="nil"/>
                <w:right w:val="nil"/>
                <w:between w:val="nil"/>
              </w:pBdr>
              <w:spacing w:after="0" w:line="264" w:lineRule="auto"/>
              <w:rPr>
                <w:rFonts w:cstheme="minorHAnsi"/>
                <w:color w:val="000000"/>
              </w:rPr>
            </w:pPr>
            <w:r w:rsidRPr="002C2C75">
              <w:rPr>
                <w:rFonts w:cstheme="minorHAnsi"/>
                <w:color w:val="000000"/>
              </w:rPr>
              <w:t>Conduct a national and comprehensive assessment of waste management systems (ANARME)</w:t>
            </w:r>
          </w:p>
          <w:p w14:paraId="1DD31C9F" w14:textId="77777777" w:rsidR="00EA49FB" w:rsidRPr="002C2C75" w:rsidRDefault="00EA49FB" w:rsidP="00EA49FB">
            <w:pPr>
              <w:numPr>
                <w:ilvl w:val="0"/>
                <w:numId w:val="61"/>
              </w:numPr>
              <w:pBdr>
                <w:top w:val="nil"/>
                <w:left w:val="nil"/>
                <w:bottom w:val="nil"/>
                <w:right w:val="nil"/>
                <w:between w:val="nil"/>
              </w:pBdr>
              <w:spacing w:after="0" w:line="264" w:lineRule="auto"/>
              <w:rPr>
                <w:rFonts w:cstheme="minorHAnsi"/>
                <w:color w:val="000000"/>
              </w:rPr>
            </w:pPr>
            <w:r w:rsidRPr="002C2C75">
              <w:rPr>
                <w:rFonts w:cstheme="minorHAnsi"/>
                <w:color w:val="000000"/>
              </w:rPr>
              <w:t xml:space="preserve">Develop a health waste management systems strengthening plan </w:t>
            </w:r>
          </w:p>
          <w:p w14:paraId="46FDBB7B" w14:textId="77777777" w:rsidR="00EA49FB" w:rsidRPr="002C2C75" w:rsidRDefault="00EA49FB" w:rsidP="00EA49FB">
            <w:pPr>
              <w:numPr>
                <w:ilvl w:val="0"/>
                <w:numId w:val="61"/>
              </w:numPr>
              <w:pBdr>
                <w:top w:val="nil"/>
                <w:left w:val="nil"/>
                <w:bottom w:val="nil"/>
                <w:right w:val="nil"/>
                <w:between w:val="nil"/>
              </w:pBdr>
              <w:spacing w:after="0" w:line="264" w:lineRule="auto"/>
              <w:rPr>
                <w:rFonts w:cstheme="minorHAnsi"/>
                <w:color w:val="000000"/>
              </w:rPr>
            </w:pPr>
            <w:r w:rsidRPr="002C2C75">
              <w:rPr>
                <w:rFonts w:cstheme="minorHAnsi"/>
                <w:color w:val="000000"/>
              </w:rPr>
              <w:t xml:space="preserve">Raise consumer awareness on the importance of proper anti-infective or antimicrobial waste management </w:t>
            </w:r>
          </w:p>
          <w:p w14:paraId="0F0E2E9C" w14:textId="77777777" w:rsidR="00EA49FB" w:rsidRPr="002C2C75" w:rsidRDefault="00EA49FB" w:rsidP="00EA49FB">
            <w:pPr>
              <w:numPr>
                <w:ilvl w:val="0"/>
                <w:numId w:val="61"/>
              </w:numPr>
              <w:pBdr>
                <w:top w:val="nil"/>
                <w:left w:val="nil"/>
                <w:bottom w:val="nil"/>
                <w:right w:val="nil"/>
                <w:between w:val="nil"/>
              </w:pBdr>
              <w:spacing w:after="0" w:line="264" w:lineRule="auto"/>
              <w:rPr>
                <w:rFonts w:cstheme="minorHAnsi"/>
                <w:color w:val="000000"/>
              </w:rPr>
            </w:pPr>
            <w:r w:rsidRPr="002C2C75">
              <w:rPr>
                <w:rFonts w:cstheme="minorHAnsi"/>
                <w:color w:val="000000"/>
              </w:rPr>
              <w:t>Create and disseminate a collection and return mechanism for health waste to supply units with a focus on antimicrobials</w:t>
            </w:r>
          </w:p>
          <w:p w14:paraId="2E1ED0BE" w14:textId="77777777" w:rsidR="00EA49FB" w:rsidRPr="002C2C75" w:rsidRDefault="00EA49FB" w:rsidP="00EA49FB">
            <w:pPr>
              <w:numPr>
                <w:ilvl w:val="0"/>
                <w:numId w:val="61"/>
              </w:numPr>
              <w:pBdr>
                <w:top w:val="nil"/>
                <w:left w:val="nil"/>
                <w:bottom w:val="nil"/>
                <w:right w:val="nil"/>
                <w:between w:val="nil"/>
              </w:pBdr>
              <w:spacing w:after="0" w:line="264" w:lineRule="auto"/>
              <w:rPr>
                <w:rFonts w:cstheme="minorHAnsi"/>
                <w:color w:val="000000"/>
              </w:rPr>
            </w:pPr>
            <w:r w:rsidRPr="002C2C75">
              <w:rPr>
                <w:rFonts w:cstheme="minorHAnsi"/>
                <w:color w:val="000000"/>
              </w:rPr>
              <w:t>Implement the ISO 14001 Standard to ensure proper healthcare waste management</w:t>
            </w:r>
          </w:p>
          <w:p w14:paraId="6F3ADA18" w14:textId="77777777" w:rsidR="00EA49FB" w:rsidRPr="002C2C75" w:rsidRDefault="00EA49FB" w:rsidP="00EA49FB">
            <w:pPr>
              <w:numPr>
                <w:ilvl w:val="0"/>
                <w:numId w:val="61"/>
              </w:numPr>
              <w:pBdr>
                <w:top w:val="nil"/>
                <w:left w:val="nil"/>
                <w:bottom w:val="nil"/>
                <w:right w:val="nil"/>
                <w:between w:val="nil"/>
              </w:pBdr>
              <w:spacing w:after="0" w:line="264" w:lineRule="auto"/>
              <w:rPr>
                <w:rFonts w:cstheme="minorHAnsi"/>
                <w:color w:val="000000"/>
              </w:rPr>
            </w:pPr>
            <w:r w:rsidRPr="002C2C75">
              <w:rPr>
                <w:rFonts w:cstheme="minorHAnsi"/>
                <w:color w:val="000000"/>
              </w:rPr>
              <w:t>Design and implement systems for collecting, transporting and incinerating unused and/or damaged health products</w:t>
            </w:r>
          </w:p>
          <w:p w14:paraId="52F27706" w14:textId="77777777" w:rsidR="00EA49FB" w:rsidRDefault="00EA49FB" w:rsidP="00EA49FB">
            <w:pPr>
              <w:numPr>
                <w:ilvl w:val="0"/>
                <w:numId w:val="61"/>
              </w:numPr>
              <w:pBdr>
                <w:top w:val="nil"/>
                <w:left w:val="nil"/>
                <w:bottom w:val="nil"/>
                <w:right w:val="nil"/>
                <w:between w:val="nil"/>
              </w:pBdr>
              <w:spacing w:after="0" w:line="264" w:lineRule="auto"/>
              <w:rPr>
                <w:rFonts w:cstheme="minorHAnsi"/>
                <w:color w:val="000000"/>
              </w:rPr>
            </w:pPr>
            <w:r w:rsidRPr="002C2C75">
              <w:rPr>
                <w:rFonts w:cstheme="minorHAnsi"/>
                <w:color w:val="000000"/>
              </w:rPr>
              <w:t>Ensure maintenance and operation of product incineration/disposal equipment</w:t>
            </w:r>
          </w:p>
          <w:p w14:paraId="054FB01B" w14:textId="163A3AE7" w:rsidR="00EA49FB" w:rsidRPr="00EA49FB" w:rsidRDefault="00EA49FB" w:rsidP="00EA49FB">
            <w:pPr>
              <w:numPr>
                <w:ilvl w:val="0"/>
                <w:numId w:val="61"/>
              </w:numPr>
              <w:pBdr>
                <w:top w:val="nil"/>
                <w:left w:val="nil"/>
                <w:bottom w:val="nil"/>
                <w:right w:val="nil"/>
                <w:between w:val="nil"/>
              </w:pBdr>
              <w:spacing w:after="0" w:line="264" w:lineRule="auto"/>
              <w:rPr>
                <w:rFonts w:cstheme="minorHAnsi"/>
                <w:color w:val="000000"/>
              </w:rPr>
            </w:pPr>
            <w:r w:rsidRPr="00EA49FB">
              <w:rPr>
                <w:rFonts w:cstheme="minorHAnsi"/>
                <w:color w:val="000000"/>
              </w:rPr>
              <w:t>Continue to contract ANARME’s waste disposal services.</w:t>
            </w:r>
          </w:p>
        </w:tc>
      </w:tr>
      <w:tr w:rsidR="00EA49FB" w:rsidRPr="002C2C75" w14:paraId="0EF6D20F" w14:textId="77777777" w:rsidTr="00036B0D">
        <w:trPr>
          <w:gridAfter w:val="1"/>
          <w:wAfter w:w="68" w:type="dxa"/>
          <w:cantSplit/>
        </w:trPr>
        <w:tc>
          <w:tcPr>
            <w:tcW w:w="2605" w:type="dxa"/>
            <w:gridSpan w:val="2"/>
          </w:tcPr>
          <w:p w14:paraId="3D2513E6" w14:textId="77777777" w:rsidR="00EA49FB" w:rsidRPr="00EA49FB" w:rsidRDefault="00EA49FB" w:rsidP="00EA49FB">
            <w:pPr>
              <w:pBdr>
                <w:top w:val="nil"/>
                <w:left w:val="nil"/>
                <w:bottom w:val="nil"/>
                <w:right w:val="nil"/>
                <w:between w:val="nil"/>
              </w:pBdr>
              <w:spacing w:line="264" w:lineRule="auto"/>
              <w:rPr>
                <w:rFonts w:cstheme="minorHAnsi"/>
                <w:b/>
                <w:bCs/>
                <w:color w:val="000000"/>
              </w:rPr>
            </w:pPr>
            <w:r w:rsidRPr="00EA49FB">
              <w:rPr>
                <w:rFonts w:cstheme="minorHAnsi"/>
                <w:b/>
                <w:bCs/>
                <w:color w:val="000000"/>
              </w:rPr>
              <w:t>Amount requested</w:t>
            </w:r>
          </w:p>
        </w:tc>
        <w:tc>
          <w:tcPr>
            <w:tcW w:w="12600" w:type="dxa"/>
          </w:tcPr>
          <w:p w14:paraId="52793519" w14:textId="32C97742" w:rsidR="00EA49FB" w:rsidRPr="002C2C75" w:rsidRDefault="00EA49FB" w:rsidP="00EA49FB">
            <w:pPr>
              <w:pBdr>
                <w:top w:val="nil"/>
                <w:left w:val="nil"/>
                <w:bottom w:val="nil"/>
                <w:right w:val="nil"/>
                <w:between w:val="nil"/>
              </w:pBdr>
              <w:spacing w:line="264" w:lineRule="auto"/>
              <w:rPr>
                <w:rFonts w:cstheme="minorHAnsi"/>
                <w:b/>
                <w:bCs/>
                <w:color w:val="000000"/>
              </w:rPr>
            </w:pPr>
            <w:r w:rsidRPr="002C2C75">
              <w:rPr>
                <w:rFonts w:cstheme="minorHAnsi"/>
                <w:b/>
                <w:bCs/>
                <w:color w:val="000000"/>
              </w:rPr>
              <w:t>Within allocation: $460,773</w:t>
            </w:r>
          </w:p>
        </w:tc>
      </w:tr>
      <w:tr w:rsidR="00EA49FB" w:rsidRPr="002C2C75" w14:paraId="65C579F9" w14:textId="77777777" w:rsidTr="00036B0D">
        <w:trPr>
          <w:gridAfter w:val="1"/>
          <w:wAfter w:w="68" w:type="dxa"/>
          <w:cantSplit/>
        </w:trPr>
        <w:tc>
          <w:tcPr>
            <w:tcW w:w="2605" w:type="dxa"/>
            <w:gridSpan w:val="2"/>
          </w:tcPr>
          <w:p w14:paraId="16D1A723" w14:textId="4E8ABF85" w:rsidR="00EA49FB" w:rsidRPr="00EA49FB" w:rsidRDefault="00EA49FB" w:rsidP="00EA49FB">
            <w:pPr>
              <w:pBdr>
                <w:top w:val="nil"/>
                <w:left w:val="nil"/>
                <w:bottom w:val="nil"/>
                <w:right w:val="nil"/>
                <w:between w:val="nil"/>
              </w:pBdr>
              <w:spacing w:line="264" w:lineRule="auto"/>
              <w:rPr>
                <w:rFonts w:cstheme="minorHAnsi"/>
                <w:b/>
                <w:bCs/>
                <w:color w:val="000000"/>
              </w:rPr>
            </w:pPr>
            <w:r w:rsidRPr="00EA49FB">
              <w:rPr>
                <w:rFonts w:cstheme="minorHAnsi"/>
                <w:b/>
                <w:bCs/>
                <w:color w:val="000000"/>
              </w:rPr>
              <w:t>Expected outcome</w:t>
            </w:r>
          </w:p>
        </w:tc>
        <w:tc>
          <w:tcPr>
            <w:tcW w:w="12600" w:type="dxa"/>
          </w:tcPr>
          <w:p w14:paraId="0D0E8929" w14:textId="77777777" w:rsidR="00EA49FB" w:rsidRDefault="00EA49FB" w:rsidP="00EA49FB">
            <w:pPr>
              <w:numPr>
                <w:ilvl w:val="0"/>
                <w:numId w:val="61"/>
              </w:numPr>
              <w:pBdr>
                <w:top w:val="nil"/>
                <w:left w:val="nil"/>
                <w:bottom w:val="nil"/>
                <w:right w:val="nil"/>
                <w:between w:val="nil"/>
              </w:pBdr>
              <w:spacing w:after="0" w:line="264" w:lineRule="auto"/>
              <w:rPr>
                <w:rFonts w:cstheme="minorHAnsi"/>
                <w:color w:val="000000"/>
              </w:rPr>
            </w:pPr>
            <w:r w:rsidRPr="002C2C75">
              <w:rPr>
                <w:rFonts w:cstheme="minorHAnsi"/>
                <w:color w:val="000000"/>
              </w:rPr>
              <w:t>Improved governance of the Health Waste Management System</w:t>
            </w:r>
          </w:p>
          <w:p w14:paraId="040598D9" w14:textId="7B8088D7" w:rsidR="00EA49FB" w:rsidRPr="00EA49FB" w:rsidRDefault="00EA49FB" w:rsidP="00EA49FB">
            <w:pPr>
              <w:numPr>
                <w:ilvl w:val="0"/>
                <w:numId w:val="61"/>
              </w:numPr>
              <w:pBdr>
                <w:top w:val="nil"/>
                <w:left w:val="nil"/>
                <w:bottom w:val="nil"/>
                <w:right w:val="nil"/>
                <w:between w:val="nil"/>
              </w:pBdr>
              <w:spacing w:after="0" w:line="264" w:lineRule="auto"/>
              <w:rPr>
                <w:rFonts w:cstheme="minorHAnsi"/>
                <w:color w:val="000000"/>
              </w:rPr>
            </w:pPr>
            <w:r w:rsidRPr="00EA49FB">
              <w:rPr>
                <w:rFonts w:cstheme="minorHAnsi"/>
                <w:color w:val="000000"/>
              </w:rPr>
              <w:t xml:space="preserve">Reduced potential public health risks resulting  from healthcare waste </w:t>
            </w:r>
          </w:p>
        </w:tc>
      </w:tr>
      <w:tr w:rsidR="00EA49FB" w:rsidRPr="002C2C75" w14:paraId="3A01F4D7" w14:textId="77777777" w:rsidTr="00036B0D">
        <w:trPr>
          <w:gridAfter w:val="1"/>
          <w:wAfter w:w="68" w:type="dxa"/>
          <w:cantSplit/>
        </w:trPr>
        <w:tc>
          <w:tcPr>
            <w:tcW w:w="2605" w:type="dxa"/>
            <w:gridSpan w:val="2"/>
          </w:tcPr>
          <w:p w14:paraId="58639350" w14:textId="084D58E5" w:rsidR="00EA49FB" w:rsidRPr="00EA49FB" w:rsidRDefault="00EA49FB" w:rsidP="00EA49FB">
            <w:pPr>
              <w:pBdr>
                <w:top w:val="nil"/>
                <w:left w:val="nil"/>
                <w:bottom w:val="nil"/>
                <w:right w:val="nil"/>
                <w:between w:val="nil"/>
              </w:pBdr>
              <w:spacing w:line="264" w:lineRule="auto"/>
              <w:rPr>
                <w:rFonts w:cstheme="minorHAnsi"/>
                <w:b/>
                <w:bCs/>
                <w:color w:val="000000"/>
              </w:rPr>
            </w:pPr>
            <w:r w:rsidRPr="00EA49FB">
              <w:rPr>
                <w:rFonts w:cstheme="minorHAnsi"/>
                <w:b/>
                <w:bCs/>
                <w:color w:val="000000"/>
              </w:rPr>
              <w:t xml:space="preserve">Intervention(s) </w:t>
            </w:r>
          </w:p>
        </w:tc>
        <w:tc>
          <w:tcPr>
            <w:tcW w:w="12600" w:type="dxa"/>
          </w:tcPr>
          <w:p w14:paraId="55AFDC82" w14:textId="4C21DB4D" w:rsidR="00EA49FB" w:rsidRPr="00EA49FB" w:rsidRDefault="00EA49FB" w:rsidP="00EA49FB">
            <w:pPr>
              <w:pBdr>
                <w:top w:val="nil"/>
                <w:left w:val="nil"/>
                <w:bottom w:val="nil"/>
                <w:right w:val="nil"/>
                <w:between w:val="nil"/>
              </w:pBdr>
              <w:spacing w:line="264" w:lineRule="auto"/>
              <w:jc w:val="both"/>
              <w:rPr>
                <w:rFonts w:cstheme="minorHAnsi"/>
                <w:color w:val="000000"/>
              </w:rPr>
            </w:pPr>
            <w:r>
              <w:rPr>
                <w:rFonts w:cstheme="minorHAnsi"/>
                <w:b/>
                <w:bCs/>
                <w:color w:val="000000"/>
              </w:rPr>
              <w:t xml:space="preserve">Intervention: </w:t>
            </w:r>
            <w:r w:rsidRPr="00EA49FB">
              <w:rPr>
                <w:rFonts w:cstheme="minorHAnsi"/>
                <w:color w:val="000000"/>
              </w:rPr>
              <w:t xml:space="preserve">Supply chain information systems </w:t>
            </w:r>
          </w:p>
          <w:p w14:paraId="7F174012" w14:textId="4FC64246" w:rsidR="00EA49FB" w:rsidRPr="002C2C75" w:rsidRDefault="00EA49FB" w:rsidP="00EA49FB">
            <w:pPr>
              <w:pBdr>
                <w:top w:val="nil"/>
                <w:left w:val="nil"/>
                <w:bottom w:val="nil"/>
                <w:right w:val="nil"/>
                <w:between w:val="nil"/>
              </w:pBdr>
              <w:spacing w:line="264" w:lineRule="auto"/>
              <w:jc w:val="both"/>
              <w:rPr>
                <w:rFonts w:cstheme="minorHAnsi"/>
                <w:color w:val="000000"/>
              </w:rPr>
            </w:pPr>
            <w:r w:rsidRPr="00EA49FB">
              <w:rPr>
                <w:rFonts w:cstheme="minorHAnsi"/>
                <w:color w:val="000000"/>
              </w:rPr>
              <w:t>Change in Pro</w:t>
            </w:r>
            <w:r w:rsidRPr="002C2C75">
              <w:rPr>
                <w:rFonts w:cstheme="minorHAnsi"/>
                <w:color w:val="000000"/>
              </w:rPr>
              <w:t xml:space="preserve">gramming from current grant: </w:t>
            </w:r>
            <w:r w:rsidRPr="002C2C75">
              <w:rPr>
                <w:rFonts w:ascii="Segoe UI Symbol" w:eastAsia="MS Gothic" w:hAnsi="Segoe UI Symbol" w:cs="Segoe UI Symbol"/>
                <w:color w:val="000000"/>
              </w:rPr>
              <w:t>☒</w:t>
            </w:r>
            <w:r w:rsidRPr="002C2C75">
              <w:rPr>
                <w:rFonts w:cstheme="minorHAnsi"/>
                <w:color w:val="000000"/>
              </w:rPr>
              <w:t xml:space="preserve"> New, </w:t>
            </w:r>
            <w:sdt>
              <w:sdtPr>
                <w:rPr>
                  <w:rFonts w:cstheme="minorHAnsi"/>
                </w:rPr>
                <w:tag w:val="goog_rdk_29"/>
                <w:id w:val="-1006279649"/>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Scale-up, </w:t>
            </w:r>
            <w:sdt>
              <w:sdtPr>
                <w:rPr>
                  <w:rFonts w:cstheme="minorHAnsi"/>
                </w:rPr>
                <w:tag w:val="goog_rdk_30"/>
                <w:id w:val="1545873656"/>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Continuation, or </w:t>
            </w:r>
            <w:sdt>
              <w:sdtPr>
                <w:rPr>
                  <w:rFonts w:cstheme="minorHAnsi"/>
                </w:rPr>
                <w:tag w:val="goog_rdk_31"/>
                <w:id w:val="161288205"/>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Scale-down </w:t>
            </w:r>
          </w:p>
        </w:tc>
      </w:tr>
      <w:tr w:rsidR="00EA49FB" w:rsidRPr="002C2C75" w14:paraId="083F8C18" w14:textId="77777777" w:rsidTr="00036B0D">
        <w:trPr>
          <w:gridAfter w:val="1"/>
          <w:wAfter w:w="68" w:type="dxa"/>
          <w:cantSplit/>
        </w:trPr>
        <w:tc>
          <w:tcPr>
            <w:tcW w:w="2605" w:type="dxa"/>
            <w:gridSpan w:val="2"/>
          </w:tcPr>
          <w:p w14:paraId="781AB125" w14:textId="77777777" w:rsidR="00EA49FB" w:rsidRPr="00EA49FB" w:rsidRDefault="00EA49FB" w:rsidP="00EA49FB">
            <w:pPr>
              <w:pBdr>
                <w:top w:val="nil"/>
                <w:left w:val="nil"/>
                <w:bottom w:val="nil"/>
                <w:right w:val="nil"/>
                <w:between w:val="nil"/>
              </w:pBdr>
              <w:spacing w:line="264" w:lineRule="auto"/>
              <w:rPr>
                <w:rFonts w:cstheme="minorHAnsi"/>
                <w:b/>
                <w:bCs/>
                <w:color w:val="000000"/>
              </w:rPr>
            </w:pPr>
            <w:r w:rsidRPr="00EA49FB">
              <w:rPr>
                <w:rFonts w:cstheme="minorHAnsi"/>
                <w:b/>
                <w:bCs/>
                <w:color w:val="000000"/>
              </w:rPr>
              <w:t>Population, geographies and/or barriers addressed</w:t>
            </w:r>
          </w:p>
        </w:tc>
        <w:tc>
          <w:tcPr>
            <w:tcW w:w="12600" w:type="dxa"/>
          </w:tcPr>
          <w:p w14:paraId="330ADEDD" w14:textId="1E420F99" w:rsidR="00EA49FB" w:rsidRPr="002C2C75" w:rsidRDefault="00EA49FB" w:rsidP="00EA49FB">
            <w:pPr>
              <w:pBdr>
                <w:top w:val="nil"/>
                <w:left w:val="nil"/>
                <w:bottom w:val="nil"/>
                <w:right w:val="nil"/>
                <w:between w:val="nil"/>
              </w:pBdr>
              <w:spacing w:line="264" w:lineRule="auto"/>
              <w:jc w:val="both"/>
              <w:rPr>
                <w:rFonts w:cstheme="minorHAnsi"/>
                <w:color w:val="000000"/>
              </w:rPr>
            </w:pPr>
            <w:r w:rsidRPr="002C2C75">
              <w:rPr>
                <w:rFonts w:cstheme="minorHAnsi"/>
                <w:color w:val="000000"/>
              </w:rPr>
              <w:t>The PELF and OIG report emphasize the need for substantial investments in logistic management information systems, including their integration, hardware, end-to-end visibility and traceability. Thus, programming consultancy services will be contracted to ensure the continuous improvement of the central Warehouse Management Systems (WMS), nSIMAM/SIGLUS, the Central Tool (FC), and the establishment of a Data Management Unit (Control Tower) to enable data integration and supply chain end-to-end visibility. These activities will be complemented by the procurement and maintenance of IT equipment necessary for information systems, software licenses (operating systems, specific applications and security) and payment of communication and internet services for all levels of the supply chain. SIGLUS (new code) will also be adapted for use by APEs/APSs and inclusion of new products. In addition, data triangulation will be carried out between health product management systems and programs to improve drug availability and avoid overstocking. It should be noted that CMAM's M&amp;A plan will be adjusted to meet the tracking needs of the new model.</w:t>
            </w:r>
          </w:p>
          <w:p w14:paraId="43149907" w14:textId="45BCA280" w:rsidR="00EA49FB" w:rsidRPr="002C2C75" w:rsidRDefault="00EA49FB" w:rsidP="00EA49FB">
            <w:pPr>
              <w:pBdr>
                <w:top w:val="nil"/>
                <w:left w:val="nil"/>
                <w:bottom w:val="nil"/>
                <w:right w:val="nil"/>
                <w:between w:val="nil"/>
              </w:pBdr>
              <w:spacing w:line="264" w:lineRule="auto"/>
              <w:jc w:val="both"/>
              <w:rPr>
                <w:rFonts w:cstheme="minorHAnsi"/>
                <w:color w:val="000000"/>
              </w:rPr>
            </w:pPr>
            <w:r w:rsidRPr="002C2C75">
              <w:rPr>
                <w:rFonts w:cstheme="minorHAnsi"/>
                <w:color w:val="000000"/>
              </w:rPr>
              <w:t>In support of the transition of alternative first line ACT at community level, procedures for managing and recording ACTs (Artimisin-Based Combination Therapy) at this level will be reviewed, as well as registration/reporting models and integration into electronic systems. There will also be a need to print and distribute the chosen ACT’s management manuals (consumption registration/justification map). Once instrument review is complete, APEs/APSs and supervisors will be trained in drugs management, including ACTs, ARVs, tests and other products</w:t>
            </w:r>
          </w:p>
        </w:tc>
      </w:tr>
      <w:tr w:rsidR="00EA49FB" w:rsidRPr="002C2C75" w14:paraId="7C92CEBE" w14:textId="77777777" w:rsidTr="00036B0D">
        <w:trPr>
          <w:gridAfter w:val="1"/>
          <w:wAfter w:w="68" w:type="dxa"/>
          <w:cantSplit/>
        </w:trPr>
        <w:tc>
          <w:tcPr>
            <w:tcW w:w="2605" w:type="dxa"/>
            <w:gridSpan w:val="2"/>
          </w:tcPr>
          <w:p w14:paraId="08EE3370" w14:textId="6379BF61" w:rsidR="00EA49FB" w:rsidRPr="00EA49FB" w:rsidRDefault="00EA49FB" w:rsidP="00EA49FB">
            <w:pPr>
              <w:pBdr>
                <w:top w:val="nil"/>
                <w:left w:val="nil"/>
                <w:bottom w:val="nil"/>
                <w:right w:val="nil"/>
                <w:between w:val="nil"/>
              </w:pBdr>
              <w:spacing w:line="264" w:lineRule="auto"/>
              <w:rPr>
                <w:rFonts w:cstheme="minorHAnsi"/>
                <w:b/>
                <w:bCs/>
                <w:color w:val="000000"/>
              </w:rPr>
            </w:pPr>
            <w:r w:rsidRPr="00EA49FB">
              <w:rPr>
                <w:rFonts w:cstheme="minorHAnsi"/>
                <w:b/>
                <w:bCs/>
                <w:color w:val="000000"/>
              </w:rPr>
              <w:t>List of activities</w:t>
            </w:r>
          </w:p>
        </w:tc>
        <w:tc>
          <w:tcPr>
            <w:tcW w:w="12600" w:type="dxa"/>
          </w:tcPr>
          <w:p w14:paraId="03E94BCE" w14:textId="77777777" w:rsidR="00EA49FB" w:rsidRPr="002C2C75" w:rsidRDefault="00EA49FB" w:rsidP="00EA49FB">
            <w:pPr>
              <w:numPr>
                <w:ilvl w:val="0"/>
                <w:numId w:val="61"/>
              </w:numPr>
              <w:pBdr>
                <w:top w:val="nil"/>
                <w:left w:val="nil"/>
                <w:bottom w:val="nil"/>
                <w:right w:val="nil"/>
                <w:between w:val="nil"/>
              </w:pBdr>
              <w:spacing w:after="0" w:line="264" w:lineRule="auto"/>
              <w:jc w:val="both"/>
              <w:rPr>
                <w:rFonts w:cstheme="minorHAnsi"/>
                <w:color w:val="000000"/>
              </w:rPr>
            </w:pPr>
            <w:r w:rsidRPr="002C2C75">
              <w:rPr>
                <w:rFonts w:cstheme="minorHAnsi"/>
                <w:color w:val="000000"/>
              </w:rPr>
              <w:t>Adapt SIGLUS (new code) for APEs/APSs use and include new products;</w:t>
            </w:r>
          </w:p>
          <w:p w14:paraId="280DBF2E" w14:textId="77777777" w:rsidR="00EA49FB" w:rsidRPr="002C2C75" w:rsidRDefault="00EA49FB" w:rsidP="00EA49FB">
            <w:pPr>
              <w:numPr>
                <w:ilvl w:val="0"/>
                <w:numId w:val="61"/>
              </w:numPr>
              <w:pBdr>
                <w:top w:val="nil"/>
                <w:left w:val="nil"/>
                <w:bottom w:val="nil"/>
                <w:right w:val="nil"/>
                <w:between w:val="nil"/>
              </w:pBdr>
              <w:spacing w:after="0" w:line="264" w:lineRule="auto"/>
              <w:jc w:val="both"/>
              <w:rPr>
                <w:rFonts w:cstheme="minorHAnsi"/>
                <w:color w:val="000000"/>
              </w:rPr>
            </w:pPr>
            <w:r w:rsidRPr="002C2C75">
              <w:rPr>
                <w:rFonts w:cstheme="minorHAnsi"/>
                <w:color w:val="000000"/>
              </w:rPr>
              <w:t>Create a Data Management Unit (Control Tower) for the supply chain</w:t>
            </w:r>
          </w:p>
          <w:p w14:paraId="326C1B08" w14:textId="77777777" w:rsidR="00EA49FB" w:rsidRPr="002C2C75" w:rsidRDefault="00EA49FB" w:rsidP="00EA49FB">
            <w:pPr>
              <w:numPr>
                <w:ilvl w:val="0"/>
                <w:numId w:val="61"/>
              </w:numPr>
              <w:pBdr>
                <w:top w:val="nil"/>
                <w:left w:val="nil"/>
                <w:bottom w:val="nil"/>
                <w:right w:val="nil"/>
                <w:between w:val="nil"/>
              </w:pBdr>
              <w:spacing w:after="0" w:line="264" w:lineRule="auto"/>
              <w:jc w:val="both"/>
              <w:rPr>
                <w:rFonts w:cstheme="minorHAnsi"/>
                <w:color w:val="000000"/>
              </w:rPr>
            </w:pPr>
            <w:r w:rsidRPr="002C2C75">
              <w:rPr>
                <w:rFonts w:cstheme="minorHAnsi"/>
                <w:color w:val="000000"/>
              </w:rPr>
              <w:t>Procure and maintain computer equipment.</w:t>
            </w:r>
          </w:p>
          <w:p w14:paraId="7855DB25" w14:textId="77777777" w:rsidR="00EA49FB" w:rsidRPr="002C2C75" w:rsidRDefault="00EA49FB" w:rsidP="00EA49FB">
            <w:pPr>
              <w:numPr>
                <w:ilvl w:val="0"/>
                <w:numId w:val="61"/>
              </w:numPr>
              <w:pBdr>
                <w:top w:val="nil"/>
                <w:left w:val="nil"/>
                <w:bottom w:val="nil"/>
                <w:right w:val="nil"/>
                <w:between w:val="nil"/>
              </w:pBdr>
              <w:spacing w:after="0" w:line="264" w:lineRule="auto"/>
              <w:jc w:val="both"/>
              <w:rPr>
                <w:rFonts w:cstheme="minorHAnsi"/>
                <w:color w:val="000000"/>
              </w:rPr>
            </w:pPr>
            <w:r w:rsidRPr="002C2C75">
              <w:rPr>
                <w:rFonts w:cstheme="minorHAnsi"/>
                <w:color w:val="000000"/>
              </w:rPr>
              <w:t>Procure and renew software licenses, including payment for internet services for all levels of the supply chain</w:t>
            </w:r>
          </w:p>
          <w:p w14:paraId="10C50119" w14:textId="77777777" w:rsidR="00EA49FB" w:rsidRPr="002C2C75" w:rsidRDefault="00EA49FB" w:rsidP="00EA49FB">
            <w:pPr>
              <w:numPr>
                <w:ilvl w:val="0"/>
                <w:numId w:val="61"/>
              </w:numPr>
              <w:pBdr>
                <w:top w:val="nil"/>
                <w:left w:val="nil"/>
                <w:bottom w:val="nil"/>
                <w:right w:val="nil"/>
                <w:between w:val="nil"/>
              </w:pBdr>
              <w:spacing w:after="0" w:line="264" w:lineRule="auto"/>
              <w:jc w:val="both"/>
              <w:rPr>
                <w:rFonts w:cstheme="minorHAnsi"/>
                <w:color w:val="000000"/>
              </w:rPr>
            </w:pPr>
            <w:r w:rsidRPr="002C2C75">
              <w:rPr>
                <w:rFonts w:cstheme="minorHAnsi"/>
                <w:color w:val="000000"/>
              </w:rPr>
              <w:t>Adapt CMAM's M&amp;A plan to the new operating model.</w:t>
            </w:r>
          </w:p>
          <w:p w14:paraId="70C7C9DC" w14:textId="77777777" w:rsidR="00EA49FB" w:rsidRPr="002C2C75" w:rsidRDefault="00EA49FB" w:rsidP="00EA49FB">
            <w:pPr>
              <w:numPr>
                <w:ilvl w:val="0"/>
                <w:numId w:val="61"/>
              </w:numPr>
              <w:pBdr>
                <w:top w:val="nil"/>
                <w:left w:val="nil"/>
                <w:bottom w:val="nil"/>
                <w:right w:val="nil"/>
                <w:between w:val="nil"/>
              </w:pBdr>
              <w:spacing w:after="0" w:line="264" w:lineRule="auto"/>
              <w:jc w:val="both"/>
              <w:rPr>
                <w:rFonts w:cstheme="minorHAnsi"/>
                <w:color w:val="000000"/>
              </w:rPr>
            </w:pPr>
            <w:r w:rsidRPr="002C2C75">
              <w:rPr>
                <w:rFonts w:cstheme="minorHAnsi"/>
                <w:color w:val="000000"/>
              </w:rPr>
              <w:t>Review procedures for managing and recording ACTs at community level</w:t>
            </w:r>
          </w:p>
          <w:p w14:paraId="3B97FC73" w14:textId="77777777" w:rsidR="00EA49FB" w:rsidRPr="002C2C75" w:rsidRDefault="00EA49FB" w:rsidP="00EA49FB">
            <w:pPr>
              <w:numPr>
                <w:ilvl w:val="0"/>
                <w:numId w:val="61"/>
              </w:numPr>
              <w:pBdr>
                <w:top w:val="nil"/>
                <w:left w:val="nil"/>
                <w:bottom w:val="nil"/>
                <w:right w:val="nil"/>
                <w:between w:val="nil"/>
              </w:pBdr>
              <w:spacing w:after="0" w:line="264" w:lineRule="auto"/>
              <w:jc w:val="both"/>
              <w:rPr>
                <w:rFonts w:cstheme="minorHAnsi"/>
                <w:color w:val="000000"/>
              </w:rPr>
            </w:pPr>
            <w:r w:rsidRPr="002C2C75">
              <w:rPr>
                <w:rFonts w:cstheme="minorHAnsi"/>
                <w:color w:val="000000"/>
              </w:rPr>
              <w:t>Train APEs/APSs and supervisors in the medication management component, including multiple first line ACTs</w:t>
            </w:r>
          </w:p>
          <w:p w14:paraId="203DB504" w14:textId="77777777" w:rsidR="00EA49FB" w:rsidRDefault="00EA49FB" w:rsidP="00EA49FB">
            <w:pPr>
              <w:numPr>
                <w:ilvl w:val="0"/>
                <w:numId w:val="61"/>
              </w:numPr>
              <w:pBdr>
                <w:top w:val="nil"/>
                <w:left w:val="nil"/>
                <w:bottom w:val="nil"/>
                <w:right w:val="nil"/>
                <w:between w:val="nil"/>
              </w:pBdr>
              <w:spacing w:after="0" w:line="264" w:lineRule="auto"/>
              <w:jc w:val="both"/>
              <w:rPr>
                <w:rFonts w:cstheme="minorHAnsi"/>
                <w:color w:val="000000"/>
              </w:rPr>
            </w:pPr>
            <w:r w:rsidRPr="002C2C75">
              <w:rPr>
                <w:rFonts w:cstheme="minorHAnsi"/>
                <w:color w:val="000000"/>
              </w:rPr>
              <w:t>Train health professionals who supervise the APE/APS</w:t>
            </w:r>
          </w:p>
          <w:p w14:paraId="6EE905DC" w14:textId="7A560C0D" w:rsidR="00EA49FB" w:rsidRPr="00EA49FB" w:rsidRDefault="00EA49FB" w:rsidP="00EA49FB">
            <w:pPr>
              <w:numPr>
                <w:ilvl w:val="0"/>
                <w:numId w:val="61"/>
              </w:numPr>
              <w:pBdr>
                <w:top w:val="nil"/>
                <w:left w:val="nil"/>
                <w:bottom w:val="nil"/>
                <w:right w:val="nil"/>
                <w:between w:val="nil"/>
              </w:pBdr>
              <w:spacing w:after="0" w:line="264" w:lineRule="auto"/>
              <w:jc w:val="both"/>
              <w:rPr>
                <w:rFonts w:cstheme="minorHAnsi"/>
                <w:color w:val="000000"/>
              </w:rPr>
            </w:pPr>
            <w:r w:rsidRPr="00EA49FB">
              <w:rPr>
                <w:rFonts w:cstheme="minorHAnsi"/>
                <w:color w:val="000000"/>
              </w:rPr>
              <w:t>Print and distribute multiple first line ACT management forms (consumption registration/justification map)</w:t>
            </w:r>
          </w:p>
        </w:tc>
      </w:tr>
      <w:tr w:rsidR="00EA49FB" w:rsidRPr="002C2C75" w14:paraId="0B775C17" w14:textId="77777777" w:rsidTr="00036B0D">
        <w:trPr>
          <w:gridAfter w:val="1"/>
          <w:wAfter w:w="68" w:type="dxa"/>
          <w:cantSplit/>
        </w:trPr>
        <w:tc>
          <w:tcPr>
            <w:tcW w:w="2605" w:type="dxa"/>
            <w:gridSpan w:val="2"/>
          </w:tcPr>
          <w:p w14:paraId="271238C0" w14:textId="77777777" w:rsidR="00EA49FB" w:rsidRPr="00EA49FB" w:rsidRDefault="00EA49FB" w:rsidP="00EA49FB">
            <w:pPr>
              <w:pBdr>
                <w:top w:val="nil"/>
                <w:left w:val="nil"/>
                <w:bottom w:val="nil"/>
                <w:right w:val="nil"/>
                <w:between w:val="nil"/>
              </w:pBdr>
              <w:spacing w:line="264" w:lineRule="auto"/>
              <w:rPr>
                <w:rFonts w:cstheme="minorHAnsi"/>
                <w:b/>
                <w:bCs/>
                <w:color w:val="000000"/>
              </w:rPr>
            </w:pPr>
            <w:r w:rsidRPr="00EA49FB">
              <w:rPr>
                <w:rFonts w:cstheme="minorHAnsi"/>
                <w:b/>
                <w:bCs/>
                <w:color w:val="000000"/>
              </w:rPr>
              <w:t>Amount requested</w:t>
            </w:r>
          </w:p>
        </w:tc>
        <w:tc>
          <w:tcPr>
            <w:tcW w:w="12600" w:type="dxa"/>
          </w:tcPr>
          <w:p w14:paraId="0117DC9E" w14:textId="07B3F813" w:rsidR="00EA49FB" w:rsidRPr="002C2C75" w:rsidRDefault="00EA49FB" w:rsidP="00EA49FB">
            <w:pPr>
              <w:pBdr>
                <w:top w:val="nil"/>
                <w:left w:val="nil"/>
                <w:bottom w:val="nil"/>
                <w:right w:val="nil"/>
                <w:between w:val="nil"/>
              </w:pBdr>
              <w:spacing w:line="264" w:lineRule="auto"/>
              <w:jc w:val="both"/>
              <w:rPr>
                <w:rFonts w:cstheme="minorHAnsi"/>
                <w:b/>
                <w:bCs/>
                <w:color w:val="000000"/>
              </w:rPr>
            </w:pPr>
            <w:r w:rsidRPr="002C2C75">
              <w:rPr>
                <w:rFonts w:cstheme="minorHAnsi"/>
                <w:b/>
                <w:bCs/>
                <w:color w:val="000000"/>
              </w:rPr>
              <w:t>Within allocation: $1,064,420</w:t>
            </w:r>
          </w:p>
        </w:tc>
      </w:tr>
      <w:tr w:rsidR="00EA49FB" w:rsidRPr="002C2C75" w14:paraId="45741124" w14:textId="77777777" w:rsidTr="00036B0D">
        <w:trPr>
          <w:gridAfter w:val="1"/>
          <w:wAfter w:w="68" w:type="dxa"/>
          <w:cantSplit/>
        </w:trPr>
        <w:tc>
          <w:tcPr>
            <w:tcW w:w="2605" w:type="dxa"/>
            <w:gridSpan w:val="2"/>
          </w:tcPr>
          <w:p w14:paraId="1AE6FEBF" w14:textId="47B55CA4" w:rsidR="00EA49FB" w:rsidRPr="00EA49FB" w:rsidRDefault="00EA49FB" w:rsidP="00EA49FB">
            <w:pPr>
              <w:pBdr>
                <w:top w:val="nil"/>
                <w:left w:val="nil"/>
                <w:bottom w:val="nil"/>
                <w:right w:val="nil"/>
                <w:between w:val="nil"/>
              </w:pBdr>
              <w:spacing w:line="264" w:lineRule="auto"/>
              <w:rPr>
                <w:rFonts w:cstheme="minorHAnsi"/>
                <w:b/>
                <w:bCs/>
                <w:color w:val="000000"/>
              </w:rPr>
            </w:pPr>
            <w:r w:rsidRPr="00EA49FB">
              <w:rPr>
                <w:rFonts w:cstheme="minorHAnsi"/>
                <w:b/>
                <w:bCs/>
                <w:color w:val="000000"/>
              </w:rPr>
              <w:t>Expected outcome</w:t>
            </w:r>
          </w:p>
        </w:tc>
        <w:tc>
          <w:tcPr>
            <w:tcW w:w="12600" w:type="dxa"/>
          </w:tcPr>
          <w:p w14:paraId="13AFE5C9" w14:textId="77777777" w:rsidR="00EA49FB" w:rsidRPr="002C2C75" w:rsidRDefault="00EA49FB" w:rsidP="00EA49FB">
            <w:pPr>
              <w:numPr>
                <w:ilvl w:val="0"/>
                <w:numId w:val="61"/>
              </w:numPr>
              <w:pBdr>
                <w:top w:val="nil"/>
                <w:left w:val="nil"/>
                <w:bottom w:val="nil"/>
                <w:right w:val="nil"/>
                <w:between w:val="nil"/>
              </w:pBdr>
              <w:spacing w:after="0" w:line="264" w:lineRule="auto"/>
              <w:jc w:val="both"/>
              <w:rPr>
                <w:rFonts w:cstheme="minorHAnsi"/>
                <w:color w:val="000000"/>
              </w:rPr>
            </w:pPr>
            <w:r w:rsidRPr="002C2C75">
              <w:rPr>
                <w:rFonts w:cstheme="minorHAnsi"/>
                <w:color w:val="000000"/>
              </w:rPr>
              <w:t>Continuous improvement of supply chain management IT systems, including their extension to the community.</w:t>
            </w:r>
          </w:p>
          <w:p w14:paraId="5F93638D" w14:textId="77777777" w:rsidR="00EA49FB" w:rsidRDefault="00EA49FB" w:rsidP="00EA49FB">
            <w:pPr>
              <w:numPr>
                <w:ilvl w:val="0"/>
                <w:numId w:val="61"/>
              </w:numPr>
              <w:pBdr>
                <w:top w:val="nil"/>
                <w:left w:val="nil"/>
                <w:bottom w:val="nil"/>
                <w:right w:val="nil"/>
                <w:between w:val="nil"/>
              </w:pBdr>
              <w:spacing w:after="0" w:line="264" w:lineRule="auto"/>
              <w:jc w:val="both"/>
              <w:rPr>
                <w:rFonts w:cstheme="minorHAnsi"/>
                <w:color w:val="000000"/>
              </w:rPr>
            </w:pPr>
            <w:r w:rsidRPr="002C2C75">
              <w:rPr>
                <w:rFonts w:cstheme="minorHAnsi"/>
                <w:color w:val="000000"/>
              </w:rPr>
              <w:t>Improved data-driven decision-making process and early warning systems to reduce risk of stockouts/overstocks</w:t>
            </w:r>
          </w:p>
          <w:p w14:paraId="2AC7938B" w14:textId="6FCE7CB7" w:rsidR="00EA49FB" w:rsidRPr="00EA49FB" w:rsidRDefault="00EA49FB" w:rsidP="00EA49FB">
            <w:pPr>
              <w:numPr>
                <w:ilvl w:val="0"/>
                <w:numId w:val="61"/>
              </w:numPr>
              <w:pBdr>
                <w:top w:val="nil"/>
                <w:left w:val="nil"/>
                <w:bottom w:val="nil"/>
                <w:right w:val="nil"/>
                <w:between w:val="nil"/>
              </w:pBdr>
              <w:spacing w:after="0" w:line="264" w:lineRule="auto"/>
              <w:jc w:val="both"/>
              <w:rPr>
                <w:rFonts w:cstheme="minorHAnsi"/>
                <w:color w:val="000000"/>
              </w:rPr>
            </w:pPr>
            <w:r w:rsidRPr="00EA49FB">
              <w:rPr>
                <w:rFonts w:cstheme="minorHAnsi"/>
                <w:color w:val="000000"/>
              </w:rPr>
              <w:t>Developed and integrated the community drugs management module in nSIMAM/SIGLUS</w:t>
            </w:r>
          </w:p>
        </w:tc>
      </w:tr>
      <w:tr w:rsidR="00EA49FB" w:rsidRPr="002C2C75" w14:paraId="4F3F0815" w14:textId="77777777" w:rsidTr="00036B0D">
        <w:trPr>
          <w:gridAfter w:val="1"/>
          <w:wAfter w:w="68" w:type="dxa"/>
          <w:cantSplit/>
        </w:trPr>
        <w:tc>
          <w:tcPr>
            <w:tcW w:w="2605" w:type="dxa"/>
            <w:gridSpan w:val="2"/>
          </w:tcPr>
          <w:p w14:paraId="5E2DB5FF" w14:textId="1C47DEF0" w:rsidR="00EA49FB" w:rsidRPr="002C2C75" w:rsidRDefault="00EA49FB" w:rsidP="00EA49FB">
            <w:pPr>
              <w:pBdr>
                <w:top w:val="nil"/>
                <w:left w:val="nil"/>
                <w:bottom w:val="nil"/>
                <w:right w:val="nil"/>
                <w:between w:val="nil"/>
              </w:pBdr>
              <w:spacing w:line="264" w:lineRule="auto"/>
              <w:rPr>
                <w:rFonts w:cstheme="minorHAnsi"/>
                <w:b/>
                <w:bCs/>
                <w:i/>
                <w:iCs/>
                <w:color w:val="000000"/>
              </w:rPr>
            </w:pPr>
            <w:r w:rsidRPr="002C2C75">
              <w:rPr>
                <w:rFonts w:cstheme="minorHAnsi"/>
                <w:b/>
                <w:bCs/>
                <w:i/>
                <w:iCs/>
                <w:color w:val="000000"/>
              </w:rPr>
              <w:t>MODULE 9 TOTAL</w:t>
            </w:r>
          </w:p>
        </w:tc>
        <w:tc>
          <w:tcPr>
            <w:tcW w:w="12600" w:type="dxa"/>
          </w:tcPr>
          <w:p w14:paraId="36C81899" w14:textId="77777777" w:rsidR="00EA49FB" w:rsidRDefault="00EA49FB" w:rsidP="00EA49FB">
            <w:pPr>
              <w:pBdr>
                <w:top w:val="nil"/>
                <w:left w:val="nil"/>
                <w:bottom w:val="nil"/>
                <w:right w:val="nil"/>
                <w:between w:val="nil"/>
              </w:pBdr>
              <w:spacing w:line="264" w:lineRule="auto"/>
              <w:jc w:val="both"/>
              <w:rPr>
                <w:rFonts w:cstheme="minorHAnsi"/>
                <w:i/>
                <w:iCs/>
                <w:color w:val="000000"/>
              </w:rPr>
            </w:pPr>
            <w:r w:rsidRPr="002C2C75">
              <w:rPr>
                <w:rFonts w:cstheme="minorHAnsi"/>
                <w:i/>
                <w:iCs/>
                <w:color w:val="000000"/>
              </w:rPr>
              <w:t>Within allocation: $23,343,092</w:t>
            </w:r>
          </w:p>
          <w:p w14:paraId="1AABE363" w14:textId="2DBD6325" w:rsidR="00E74D8B" w:rsidRPr="002C2C75" w:rsidRDefault="00EA49FB" w:rsidP="00EA49FB">
            <w:pPr>
              <w:pBdr>
                <w:top w:val="nil"/>
                <w:left w:val="nil"/>
                <w:bottom w:val="nil"/>
                <w:right w:val="nil"/>
                <w:between w:val="nil"/>
              </w:pBdr>
              <w:spacing w:line="264" w:lineRule="auto"/>
              <w:jc w:val="both"/>
              <w:rPr>
                <w:rFonts w:cstheme="minorHAnsi"/>
                <w:i/>
                <w:iCs/>
                <w:color w:val="000000"/>
              </w:rPr>
            </w:pPr>
            <w:r>
              <w:rPr>
                <w:rFonts w:cstheme="minorHAnsi"/>
                <w:i/>
                <w:iCs/>
                <w:color w:val="000000"/>
              </w:rPr>
              <w:t>PAAR: $26,469,793</w:t>
            </w:r>
          </w:p>
        </w:tc>
      </w:tr>
      <w:tr w:rsidR="00EA49FB" w:rsidRPr="002C2C75" w14:paraId="1AA28609" w14:textId="77777777" w:rsidTr="00E74D8B">
        <w:trPr>
          <w:gridAfter w:val="1"/>
          <w:wAfter w:w="68" w:type="dxa"/>
          <w:cantSplit/>
        </w:trPr>
        <w:tc>
          <w:tcPr>
            <w:tcW w:w="2605" w:type="dxa"/>
            <w:gridSpan w:val="2"/>
          </w:tcPr>
          <w:p w14:paraId="490CA79A" w14:textId="7F31B5F9" w:rsidR="00EA49FB" w:rsidRPr="002C2C75" w:rsidRDefault="00EA49FB" w:rsidP="00EA49FB">
            <w:pPr>
              <w:pBdr>
                <w:top w:val="nil"/>
                <w:left w:val="nil"/>
                <w:bottom w:val="nil"/>
                <w:right w:val="nil"/>
                <w:between w:val="nil"/>
              </w:pBdr>
              <w:spacing w:line="264" w:lineRule="auto"/>
              <w:rPr>
                <w:rFonts w:cstheme="minorHAnsi"/>
                <w:b/>
                <w:bCs/>
                <w:color w:val="000000"/>
              </w:rPr>
            </w:pPr>
            <w:r w:rsidRPr="002C2C75">
              <w:rPr>
                <w:rFonts w:cstheme="minorHAnsi"/>
                <w:b/>
                <w:bCs/>
                <w:color w:val="000000"/>
              </w:rPr>
              <w:t>MODULE 10</w:t>
            </w:r>
          </w:p>
        </w:tc>
        <w:tc>
          <w:tcPr>
            <w:tcW w:w="12600" w:type="dxa"/>
          </w:tcPr>
          <w:p w14:paraId="0586ACDE" w14:textId="5DE8AC90" w:rsidR="00EA49FB" w:rsidRPr="002C2C75" w:rsidRDefault="00EA49FB" w:rsidP="00EA49FB">
            <w:pPr>
              <w:pBdr>
                <w:top w:val="nil"/>
                <w:left w:val="nil"/>
                <w:bottom w:val="nil"/>
                <w:right w:val="nil"/>
                <w:between w:val="nil"/>
              </w:pBdr>
              <w:spacing w:line="264" w:lineRule="auto"/>
              <w:rPr>
                <w:rFonts w:cstheme="minorHAnsi"/>
                <w:b/>
                <w:bCs/>
                <w:color w:val="000000"/>
              </w:rPr>
            </w:pPr>
            <w:r w:rsidRPr="002C2C75">
              <w:rPr>
                <w:rFonts w:cstheme="minorHAnsi"/>
                <w:b/>
                <w:bCs/>
                <w:color w:val="000000"/>
              </w:rPr>
              <w:t>RSSH: Human Resources for Health (HRH) and Quality of Care</w:t>
            </w:r>
          </w:p>
        </w:tc>
      </w:tr>
      <w:tr w:rsidR="00EA49FB" w:rsidRPr="002C2C75" w14:paraId="10B160B1" w14:textId="77777777" w:rsidTr="00E74D8B">
        <w:trPr>
          <w:gridAfter w:val="1"/>
          <w:wAfter w:w="68" w:type="dxa"/>
          <w:cantSplit/>
        </w:trPr>
        <w:tc>
          <w:tcPr>
            <w:tcW w:w="2605" w:type="dxa"/>
            <w:gridSpan w:val="2"/>
          </w:tcPr>
          <w:p w14:paraId="67FCC263" w14:textId="52264294" w:rsidR="00EA49FB" w:rsidRPr="00051B91" w:rsidRDefault="00EA49FB" w:rsidP="00EA49FB">
            <w:pPr>
              <w:pBdr>
                <w:top w:val="nil"/>
                <w:left w:val="nil"/>
                <w:bottom w:val="nil"/>
                <w:right w:val="nil"/>
                <w:between w:val="nil"/>
              </w:pBdr>
              <w:spacing w:line="264" w:lineRule="auto"/>
              <w:rPr>
                <w:rFonts w:cstheme="minorHAnsi"/>
                <w:b/>
                <w:bCs/>
                <w:color w:val="000000"/>
              </w:rPr>
            </w:pPr>
            <w:r w:rsidRPr="00051B91">
              <w:rPr>
                <w:rFonts w:cstheme="minorHAnsi"/>
                <w:b/>
                <w:bCs/>
                <w:color w:val="000000"/>
              </w:rPr>
              <w:t xml:space="preserve">Intervention(s) </w:t>
            </w:r>
          </w:p>
        </w:tc>
        <w:tc>
          <w:tcPr>
            <w:tcW w:w="12600" w:type="dxa"/>
          </w:tcPr>
          <w:p w14:paraId="147CDFD4" w14:textId="5F04E4CF" w:rsidR="00EA49FB" w:rsidRPr="002C2C75" w:rsidRDefault="00EA49FB" w:rsidP="00EA49FB">
            <w:pPr>
              <w:pBdr>
                <w:top w:val="nil"/>
                <w:left w:val="nil"/>
                <w:bottom w:val="nil"/>
                <w:right w:val="nil"/>
                <w:between w:val="nil"/>
              </w:pBdr>
              <w:spacing w:line="264" w:lineRule="auto"/>
              <w:rPr>
                <w:rFonts w:cstheme="minorHAnsi"/>
                <w:color w:val="000000"/>
              </w:rPr>
            </w:pPr>
            <w:r w:rsidRPr="00EA49FB">
              <w:rPr>
                <w:rFonts w:cstheme="minorHAnsi"/>
                <w:b/>
                <w:bCs/>
                <w:color w:val="000000"/>
              </w:rPr>
              <w:t>Intervention</w:t>
            </w:r>
            <w:r>
              <w:rPr>
                <w:rFonts w:cstheme="minorHAnsi"/>
                <w:color w:val="000000"/>
              </w:rPr>
              <w:t xml:space="preserve">: </w:t>
            </w:r>
            <w:r w:rsidRPr="00EA49FB">
              <w:rPr>
                <w:rFonts w:cstheme="minorHAnsi"/>
                <w:color w:val="000000"/>
              </w:rPr>
              <w:t>HRH</w:t>
            </w:r>
            <w:r w:rsidRPr="002C2C75">
              <w:rPr>
                <w:rFonts w:cstheme="minorHAnsi"/>
                <w:color w:val="000000"/>
              </w:rPr>
              <w:t xml:space="preserve"> planning, management and governance including for community health workers (CHWs) </w:t>
            </w:r>
          </w:p>
          <w:p w14:paraId="66BA35DE" w14:textId="6D1737FE" w:rsidR="00EA49FB" w:rsidRPr="002C2C75" w:rsidRDefault="00EA49FB" w:rsidP="00051B91">
            <w:pPr>
              <w:pBdr>
                <w:top w:val="nil"/>
                <w:left w:val="nil"/>
                <w:bottom w:val="nil"/>
                <w:right w:val="nil"/>
                <w:between w:val="nil"/>
              </w:pBdr>
              <w:spacing w:line="264" w:lineRule="auto"/>
              <w:rPr>
                <w:rFonts w:cstheme="minorHAnsi"/>
                <w:color w:val="000000"/>
              </w:rPr>
            </w:pPr>
            <w:r w:rsidRPr="002C2C75">
              <w:rPr>
                <w:rFonts w:cstheme="minorHAnsi"/>
                <w:color w:val="000000"/>
              </w:rPr>
              <w:t xml:space="preserve">Change in Programming from current grant: </w:t>
            </w:r>
            <w:sdt>
              <w:sdtPr>
                <w:rPr>
                  <w:rFonts w:cstheme="minorHAnsi"/>
                </w:rPr>
                <w:tag w:val="goog_rdk_32"/>
                <w:id w:val="-886873460"/>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New, </w:t>
            </w:r>
            <w:r w:rsidRPr="002C2C75">
              <w:rPr>
                <w:rFonts w:ascii="Segoe UI Symbol" w:eastAsia="Arial Unicode MS" w:hAnsi="Segoe UI Symbol" w:cs="Segoe UI Symbol"/>
                <w:color w:val="000000"/>
              </w:rPr>
              <w:t>☐</w:t>
            </w:r>
            <w:r w:rsidRPr="002C2C75">
              <w:rPr>
                <w:rFonts w:cstheme="minorHAnsi"/>
                <w:color w:val="000000"/>
              </w:rPr>
              <w:t xml:space="preserve"> Scale-up, </w:t>
            </w:r>
            <w:r w:rsidRPr="002C2C75">
              <w:rPr>
                <w:rFonts w:ascii="Segoe UI Symbol" w:eastAsia="Arial Unicode MS" w:hAnsi="Segoe UI Symbol" w:cs="Segoe UI Symbol"/>
                <w:color w:val="000000"/>
              </w:rPr>
              <w:t>☐</w:t>
            </w:r>
            <w:r w:rsidRPr="002C2C75">
              <w:rPr>
                <w:rFonts w:cstheme="minorHAnsi"/>
                <w:color w:val="000000"/>
              </w:rPr>
              <w:t xml:space="preserve"> Continuation, or </w:t>
            </w:r>
            <w:r w:rsidRPr="002C2C75">
              <w:rPr>
                <w:rFonts w:ascii="Segoe UI Symbol" w:eastAsia="Arial Unicode MS" w:hAnsi="Segoe UI Symbol" w:cs="Segoe UI Symbol"/>
                <w:color w:val="000000"/>
              </w:rPr>
              <w:t>☐</w:t>
            </w:r>
            <w:r w:rsidRPr="002C2C75">
              <w:rPr>
                <w:rFonts w:cstheme="minorHAnsi"/>
                <w:color w:val="000000"/>
              </w:rPr>
              <w:t xml:space="preserve"> Scale-down</w:t>
            </w:r>
          </w:p>
        </w:tc>
      </w:tr>
      <w:tr w:rsidR="00036B0D" w:rsidRPr="002C2C75" w14:paraId="6D91E739" w14:textId="77777777" w:rsidTr="00E74D8B">
        <w:trPr>
          <w:gridAfter w:val="1"/>
          <w:wAfter w:w="68" w:type="dxa"/>
          <w:cantSplit/>
        </w:trPr>
        <w:tc>
          <w:tcPr>
            <w:tcW w:w="2605" w:type="dxa"/>
            <w:gridSpan w:val="2"/>
          </w:tcPr>
          <w:p w14:paraId="506143FD" w14:textId="34FD3515" w:rsidR="00036B0D" w:rsidRPr="00051B91" w:rsidRDefault="00036B0D" w:rsidP="00EA49FB">
            <w:pPr>
              <w:pBdr>
                <w:top w:val="nil"/>
                <w:left w:val="nil"/>
                <w:bottom w:val="nil"/>
                <w:right w:val="nil"/>
                <w:between w:val="nil"/>
              </w:pBdr>
              <w:spacing w:line="264" w:lineRule="auto"/>
              <w:rPr>
                <w:rFonts w:cstheme="minorHAnsi"/>
                <w:b/>
                <w:bCs/>
                <w:color w:val="000000"/>
              </w:rPr>
            </w:pPr>
            <w:r w:rsidRPr="00051B91">
              <w:rPr>
                <w:rFonts w:cstheme="minorHAnsi"/>
                <w:b/>
                <w:bCs/>
                <w:color w:val="000000"/>
              </w:rPr>
              <w:t>Population, geographies and/or barriers addressed</w:t>
            </w:r>
          </w:p>
        </w:tc>
        <w:tc>
          <w:tcPr>
            <w:tcW w:w="12600" w:type="dxa"/>
          </w:tcPr>
          <w:p w14:paraId="79E2FDF1" w14:textId="479B06CA" w:rsidR="00036B0D" w:rsidRPr="002C2C75" w:rsidRDefault="00036B0D" w:rsidP="00036B0D">
            <w:pPr>
              <w:pBdr>
                <w:top w:val="nil"/>
                <w:left w:val="nil"/>
                <w:bottom w:val="nil"/>
                <w:right w:val="nil"/>
                <w:between w:val="nil"/>
              </w:pBdr>
              <w:spacing w:line="264" w:lineRule="auto"/>
              <w:jc w:val="both"/>
              <w:rPr>
                <w:rFonts w:cstheme="minorHAnsi"/>
                <w:color w:val="000000"/>
              </w:rPr>
            </w:pPr>
            <w:r w:rsidRPr="002C2C75">
              <w:rPr>
                <w:rFonts w:cstheme="minorHAnsi"/>
                <w:color w:val="000000"/>
              </w:rPr>
              <w:t>The HRH strategic plan (PNDRHS) under implementation ends in 2025, so there is a need to prepare a new guidance document for HRH development. This plan will be preceded by an evaluation exercise of the current PNDRHS to assess its degree of implementation, and to what extent the objectives have been achieved, and lessons learned throughout its implementation to recommend key issues in the new plan, especially in recruitment, equitable distribution and retention of personnel, professional development and motivation. On the other hand, the new PNDRHS must be aligned with the strategies for pr</w:t>
            </w:r>
            <w:r>
              <w:rPr>
                <w:rFonts w:cstheme="minorHAnsi"/>
                <w:color w:val="000000"/>
              </w:rPr>
              <w:t>e-</w:t>
            </w:r>
            <w:r w:rsidRPr="002C2C75">
              <w:rPr>
                <w:rFonts w:cstheme="minorHAnsi"/>
                <w:color w:val="000000"/>
              </w:rPr>
              <w:t xml:space="preserve"> and in service training of personnel, as well as policies related to the provision of health services, with a focus on Primary Health Care (CSP).</w:t>
            </w:r>
            <w:r>
              <w:rPr>
                <w:rFonts w:cstheme="minorHAnsi"/>
                <w:color w:val="000000"/>
              </w:rPr>
              <w:t xml:space="preserve"> </w:t>
            </w:r>
          </w:p>
          <w:p w14:paraId="1435081B" w14:textId="77777777" w:rsidR="00036B0D" w:rsidRPr="002C2C75" w:rsidRDefault="00036B0D" w:rsidP="00036B0D">
            <w:pPr>
              <w:pBdr>
                <w:top w:val="nil"/>
                <w:left w:val="nil"/>
                <w:bottom w:val="nil"/>
                <w:right w:val="nil"/>
                <w:between w:val="nil"/>
              </w:pBdr>
              <w:spacing w:line="264" w:lineRule="auto"/>
              <w:jc w:val="both"/>
              <w:rPr>
                <w:rFonts w:cstheme="minorHAnsi"/>
                <w:color w:val="000000"/>
              </w:rPr>
            </w:pPr>
            <w:r w:rsidRPr="002C2C75">
              <w:rPr>
                <w:rFonts w:cstheme="minorHAnsi"/>
                <w:color w:val="000000"/>
              </w:rPr>
              <w:t>The community health strategy reinforces the crucial role of APEs/APS in improving access to PHC, especially for the most undeserved. To overcome the challenges of its legal framework and lack of motivation resulting from various factors, the sector intends to prepare and approve its legal status.</w:t>
            </w:r>
          </w:p>
          <w:p w14:paraId="5184A988" w14:textId="59227759" w:rsidR="00036B0D" w:rsidRPr="002C2C75" w:rsidRDefault="00036B0D" w:rsidP="00036B0D">
            <w:pPr>
              <w:pBdr>
                <w:top w:val="nil"/>
                <w:left w:val="nil"/>
                <w:bottom w:val="nil"/>
                <w:right w:val="nil"/>
                <w:between w:val="nil"/>
              </w:pBdr>
              <w:spacing w:line="264" w:lineRule="auto"/>
              <w:jc w:val="both"/>
              <w:rPr>
                <w:rFonts w:cstheme="minorHAnsi"/>
                <w:color w:val="000000"/>
              </w:rPr>
            </w:pPr>
            <w:r w:rsidRPr="002C2C75">
              <w:rPr>
                <w:rFonts w:cstheme="minorHAnsi"/>
                <w:color w:val="000000"/>
              </w:rPr>
              <w:t>The central government has introduced a new HRH management information system for civil servants the eSNGRHE. This, unlike the previous system (eCAF) does not yet collect all the information nor automatically generate all the data required to project, manage and plan HRH needs, nor measure key indicators of the National HRH Development Plan. Because of this, it is essential to develop these functionalities as soon as possible. Technical discussions with CEDSIF (Responsible for managing the SNGRHE) have already been held and the viability has already been confirmed. Additionally, a part of the process (query formulation and development) has already been initiated with Jhpiego technical support. However, the more complex components are still unsupported. Once this HR information system has been adjusted to health sector needs, HRH managers will be trained</w:t>
            </w:r>
            <w:r>
              <w:rPr>
                <w:rFonts w:cstheme="minorHAnsi"/>
                <w:color w:val="000000"/>
              </w:rPr>
              <w:t>.</w:t>
            </w:r>
          </w:p>
          <w:p w14:paraId="3E7A1C06" w14:textId="59EF4149" w:rsidR="00036B0D" w:rsidRPr="00EA49FB" w:rsidRDefault="00036B0D" w:rsidP="00EA49FB">
            <w:pPr>
              <w:pBdr>
                <w:top w:val="nil"/>
                <w:left w:val="nil"/>
                <w:bottom w:val="nil"/>
                <w:right w:val="nil"/>
                <w:between w:val="nil"/>
              </w:pBdr>
              <w:spacing w:line="264" w:lineRule="auto"/>
              <w:rPr>
                <w:rFonts w:cstheme="minorHAnsi"/>
                <w:b/>
                <w:bCs/>
                <w:color w:val="000000"/>
              </w:rPr>
            </w:pPr>
            <w:r w:rsidRPr="002C2C75">
              <w:rPr>
                <w:rFonts w:cstheme="minorHAnsi"/>
                <w:color w:val="000000"/>
              </w:rPr>
              <w:t>To ensure the production of HRH information that allows formulation of adequate policies and evidence based decision-making, the sector established the HRH Observatory (HRHO) whose operationalization has been deficient due to the weak capacity of data analysis and production of relevant information and limited dissemination of scarce information. Hence, the sector proposes to train technicians assigned to the ORHS, regularly hold ORHS conferences and use digital platforms to disseminate information.</w:t>
            </w:r>
          </w:p>
        </w:tc>
      </w:tr>
      <w:tr w:rsidR="00EA49FB" w:rsidRPr="002C2C75" w14:paraId="3B8884E0" w14:textId="77777777" w:rsidTr="00E74D8B">
        <w:trPr>
          <w:gridAfter w:val="1"/>
          <w:wAfter w:w="68" w:type="dxa"/>
          <w:cantSplit/>
        </w:trPr>
        <w:tc>
          <w:tcPr>
            <w:tcW w:w="2605" w:type="dxa"/>
            <w:gridSpan w:val="2"/>
          </w:tcPr>
          <w:p w14:paraId="565D87FA" w14:textId="1F899A01" w:rsidR="00EA49FB" w:rsidRPr="00051B91" w:rsidRDefault="00051B91" w:rsidP="00EA49FB">
            <w:pPr>
              <w:pBdr>
                <w:top w:val="nil"/>
                <w:left w:val="nil"/>
                <w:bottom w:val="nil"/>
                <w:right w:val="nil"/>
                <w:between w:val="nil"/>
              </w:pBdr>
              <w:spacing w:line="264" w:lineRule="auto"/>
              <w:rPr>
                <w:rFonts w:cstheme="minorHAnsi"/>
                <w:b/>
                <w:bCs/>
                <w:color w:val="000000"/>
              </w:rPr>
            </w:pPr>
            <w:r w:rsidRPr="00051B91">
              <w:rPr>
                <w:rFonts w:cstheme="minorHAnsi"/>
                <w:b/>
                <w:bCs/>
                <w:color w:val="000000"/>
              </w:rPr>
              <w:t>List of activities</w:t>
            </w:r>
          </w:p>
        </w:tc>
        <w:tc>
          <w:tcPr>
            <w:tcW w:w="12600" w:type="dxa"/>
          </w:tcPr>
          <w:p w14:paraId="2ECBF200" w14:textId="77777777" w:rsidR="00051B91" w:rsidRPr="002C2C75" w:rsidRDefault="00051B91" w:rsidP="00051B91">
            <w:pPr>
              <w:numPr>
                <w:ilvl w:val="0"/>
                <w:numId w:val="61"/>
              </w:numPr>
              <w:pBdr>
                <w:top w:val="nil"/>
                <w:left w:val="nil"/>
                <w:bottom w:val="nil"/>
                <w:right w:val="nil"/>
                <w:between w:val="nil"/>
              </w:pBdr>
              <w:spacing w:after="0" w:line="264" w:lineRule="auto"/>
              <w:rPr>
                <w:rFonts w:cstheme="minorHAnsi"/>
                <w:color w:val="000000"/>
              </w:rPr>
            </w:pPr>
            <w:r w:rsidRPr="002C2C75">
              <w:rPr>
                <w:rFonts w:cstheme="minorHAnsi"/>
                <w:color w:val="000000"/>
              </w:rPr>
              <w:t>Evaluate the National Plan for HRH Development (NPHRHD) 2016-2025</w:t>
            </w:r>
            <w:sdt>
              <w:sdtPr>
                <w:rPr>
                  <w:rFonts w:cstheme="minorHAnsi"/>
                </w:rPr>
                <w:tag w:val="goog_rdk_47"/>
                <w:id w:val="-995500090"/>
              </w:sdtPr>
              <w:sdtContent>
                <w:r w:rsidRPr="002C2C75">
                  <w:rPr>
                    <w:rFonts w:cstheme="minorHAnsi"/>
                    <w:color w:val="000000"/>
                  </w:rPr>
                  <w:t xml:space="preserve"> </w:t>
                </w:r>
              </w:sdtContent>
            </w:sdt>
          </w:p>
          <w:p w14:paraId="610FC509" w14:textId="77777777" w:rsidR="00051B91" w:rsidRPr="002C2C75" w:rsidRDefault="00051B91" w:rsidP="00051B91">
            <w:pPr>
              <w:numPr>
                <w:ilvl w:val="0"/>
                <w:numId w:val="61"/>
              </w:numPr>
              <w:pBdr>
                <w:top w:val="nil"/>
                <w:left w:val="nil"/>
                <w:bottom w:val="nil"/>
                <w:right w:val="nil"/>
                <w:between w:val="nil"/>
              </w:pBdr>
              <w:spacing w:after="0" w:line="264" w:lineRule="auto"/>
              <w:rPr>
                <w:rFonts w:cstheme="minorHAnsi"/>
                <w:color w:val="000000"/>
              </w:rPr>
            </w:pPr>
            <w:r w:rsidRPr="002C2C75">
              <w:rPr>
                <w:rFonts w:cstheme="minorHAnsi"/>
                <w:color w:val="000000"/>
              </w:rPr>
              <w:t>Develop the NPHRHD 2026-2035</w:t>
            </w:r>
          </w:p>
          <w:p w14:paraId="0EDD431F" w14:textId="3D00E7EE" w:rsidR="00051B91" w:rsidRDefault="00051B91" w:rsidP="00051B91">
            <w:pPr>
              <w:numPr>
                <w:ilvl w:val="0"/>
                <w:numId w:val="61"/>
              </w:numPr>
              <w:pBdr>
                <w:top w:val="nil"/>
                <w:left w:val="nil"/>
                <w:bottom w:val="nil"/>
                <w:right w:val="nil"/>
                <w:between w:val="nil"/>
              </w:pBdr>
              <w:spacing w:after="0" w:line="264" w:lineRule="auto"/>
              <w:rPr>
                <w:rFonts w:cstheme="minorHAnsi"/>
                <w:color w:val="000000"/>
              </w:rPr>
            </w:pPr>
            <w:r w:rsidRPr="002C2C75">
              <w:rPr>
                <w:rFonts w:cstheme="minorHAnsi"/>
                <w:color w:val="000000"/>
              </w:rPr>
              <w:t>Develop the Statute of the CHW</w:t>
            </w:r>
          </w:p>
          <w:p w14:paraId="5602912E" w14:textId="57526443" w:rsidR="00EA49FB" w:rsidRPr="00051B91" w:rsidRDefault="00051B91" w:rsidP="00051B91">
            <w:pPr>
              <w:numPr>
                <w:ilvl w:val="0"/>
                <w:numId w:val="61"/>
              </w:numPr>
              <w:pBdr>
                <w:top w:val="nil"/>
                <w:left w:val="nil"/>
                <w:bottom w:val="nil"/>
                <w:right w:val="nil"/>
                <w:between w:val="nil"/>
              </w:pBdr>
              <w:spacing w:after="0" w:line="264" w:lineRule="auto"/>
              <w:rPr>
                <w:rFonts w:cstheme="minorHAnsi"/>
                <w:color w:val="000000"/>
              </w:rPr>
            </w:pPr>
            <w:r w:rsidRPr="00051B91">
              <w:rPr>
                <w:rFonts w:cstheme="minorHAnsi"/>
                <w:color w:val="000000"/>
              </w:rPr>
              <w:t>Support the CEDSIF in developing the SNGRHE-Health Extension</w:t>
            </w:r>
          </w:p>
        </w:tc>
      </w:tr>
      <w:tr w:rsidR="00EA49FB" w:rsidRPr="002C2C75" w14:paraId="4E791267" w14:textId="77777777" w:rsidTr="00E74D8B">
        <w:trPr>
          <w:gridAfter w:val="1"/>
          <w:wAfter w:w="68" w:type="dxa"/>
          <w:cantSplit/>
        </w:trPr>
        <w:tc>
          <w:tcPr>
            <w:tcW w:w="2605" w:type="dxa"/>
            <w:gridSpan w:val="2"/>
          </w:tcPr>
          <w:p w14:paraId="7F5E662E" w14:textId="77777777" w:rsidR="00EA49FB" w:rsidRPr="00051B91" w:rsidRDefault="00EA49FB" w:rsidP="00EA49FB">
            <w:pPr>
              <w:pBdr>
                <w:top w:val="nil"/>
                <w:left w:val="nil"/>
                <w:bottom w:val="nil"/>
                <w:right w:val="nil"/>
                <w:between w:val="nil"/>
              </w:pBdr>
              <w:spacing w:line="264" w:lineRule="auto"/>
              <w:rPr>
                <w:rFonts w:cstheme="minorHAnsi"/>
                <w:b/>
                <w:bCs/>
                <w:color w:val="000000"/>
              </w:rPr>
            </w:pPr>
            <w:r w:rsidRPr="00051B91">
              <w:rPr>
                <w:rFonts w:cstheme="minorHAnsi"/>
                <w:b/>
                <w:bCs/>
                <w:color w:val="000000"/>
              </w:rPr>
              <w:t>Amount requested</w:t>
            </w:r>
          </w:p>
        </w:tc>
        <w:tc>
          <w:tcPr>
            <w:tcW w:w="12600" w:type="dxa"/>
          </w:tcPr>
          <w:p w14:paraId="2FD661F7" w14:textId="442DF456" w:rsidR="00EA49FB" w:rsidRPr="002C2C75" w:rsidRDefault="00EA49FB" w:rsidP="00EA49FB">
            <w:pPr>
              <w:pBdr>
                <w:top w:val="nil"/>
                <w:left w:val="nil"/>
                <w:bottom w:val="nil"/>
                <w:right w:val="nil"/>
                <w:between w:val="nil"/>
              </w:pBdr>
              <w:spacing w:line="264" w:lineRule="auto"/>
              <w:rPr>
                <w:rFonts w:cstheme="minorHAnsi"/>
                <w:b/>
                <w:color w:val="000000"/>
              </w:rPr>
            </w:pPr>
            <w:r w:rsidRPr="002C2C75">
              <w:rPr>
                <w:rFonts w:cstheme="minorHAnsi"/>
                <w:b/>
                <w:color w:val="000000"/>
              </w:rPr>
              <w:t>Within allocation: $1,719,529</w:t>
            </w:r>
          </w:p>
        </w:tc>
      </w:tr>
      <w:tr w:rsidR="00051B91" w:rsidRPr="002C2C75" w14:paraId="1CCF557C" w14:textId="77777777" w:rsidTr="00E74D8B">
        <w:trPr>
          <w:gridAfter w:val="1"/>
          <w:wAfter w:w="68" w:type="dxa"/>
          <w:cantSplit/>
        </w:trPr>
        <w:tc>
          <w:tcPr>
            <w:tcW w:w="2605" w:type="dxa"/>
            <w:gridSpan w:val="2"/>
          </w:tcPr>
          <w:p w14:paraId="2D8AA63A" w14:textId="7AB8A79F" w:rsidR="00051B91" w:rsidRPr="00051B91" w:rsidRDefault="00051B91" w:rsidP="00051B91">
            <w:pPr>
              <w:pBdr>
                <w:top w:val="nil"/>
                <w:left w:val="nil"/>
                <w:bottom w:val="nil"/>
                <w:right w:val="nil"/>
                <w:between w:val="nil"/>
              </w:pBdr>
              <w:spacing w:line="264" w:lineRule="auto"/>
              <w:rPr>
                <w:rFonts w:cstheme="minorHAnsi"/>
                <w:b/>
                <w:bCs/>
                <w:color w:val="000000"/>
              </w:rPr>
            </w:pPr>
            <w:r w:rsidRPr="00051B91">
              <w:rPr>
                <w:rFonts w:cstheme="minorHAnsi"/>
                <w:b/>
                <w:bCs/>
                <w:color w:val="000000"/>
              </w:rPr>
              <w:t>Expected outcome</w:t>
            </w:r>
          </w:p>
        </w:tc>
        <w:tc>
          <w:tcPr>
            <w:tcW w:w="12600" w:type="dxa"/>
          </w:tcPr>
          <w:p w14:paraId="19036FD5" w14:textId="77777777" w:rsidR="00051B91" w:rsidRPr="002C2C75" w:rsidRDefault="00051B91" w:rsidP="00051B91">
            <w:pPr>
              <w:numPr>
                <w:ilvl w:val="0"/>
                <w:numId w:val="61"/>
              </w:numPr>
              <w:pBdr>
                <w:top w:val="nil"/>
                <w:left w:val="nil"/>
                <w:bottom w:val="nil"/>
                <w:right w:val="nil"/>
                <w:between w:val="nil"/>
              </w:pBdr>
              <w:spacing w:after="0" w:line="264" w:lineRule="auto"/>
              <w:rPr>
                <w:rFonts w:cstheme="minorHAnsi"/>
                <w:color w:val="000000"/>
              </w:rPr>
            </w:pPr>
            <w:r w:rsidRPr="002C2C75">
              <w:rPr>
                <w:rFonts w:cstheme="minorHAnsi"/>
                <w:color w:val="000000"/>
              </w:rPr>
              <w:t>Improved CHW motivation and performance</w:t>
            </w:r>
          </w:p>
          <w:p w14:paraId="75694237" w14:textId="77777777" w:rsidR="00051B91" w:rsidRDefault="00051B91" w:rsidP="00051B91">
            <w:pPr>
              <w:numPr>
                <w:ilvl w:val="0"/>
                <w:numId w:val="61"/>
              </w:numPr>
              <w:pBdr>
                <w:top w:val="nil"/>
                <w:left w:val="nil"/>
                <w:bottom w:val="nil"/>
                <w:right w:val="nil"/>
                <w:between w:val="nil"/>
              </w:pBdr>
              <w:spacing w:after="0" w:line="264" w:lineRule="auto"/>
              <w:rPr>
                <w:rFonts w:cstheme="minorHAnsi"/>
                <w:color w:val="000000"/>
              </w:rPr>
            </w:pPr>
            <w:r w:rsidRPr="002C2C75">
              <w:rPr>
                <w:rFonts w:cstheme="minorHAnsi"/>
                <w:color w:val="000000"/>
              </w:rPr>
              <w:t>Improved HRH management at all levels of the sector, including at community level</w:t>
            </w:r>
          </w:p>
          <w:p w14:paraId="3B17D83C" w14:textId="343BCE62" w:rsidR="00051B91" w:rsidRPr="00051B91" w:rsidRDefault="00051B91" w:rsidP="00051B91">
            <w:pPr>
              <w:numPr>
                <w:ilvl w:val="0"/>
                <w:numId w:val="61"/>
              </w:numPr>
              <w:pBdr>
                <w:top w:val="nil"/>
                <w:left w:val="nil"/>
                <w:bottom w:val="nil"/>
                <w:right w:val="nil"/>
                <w:between w:val="nil"/>
              </w:pBdr>
              <w:spacing w:after="0" w:line="264" w:lineRule="auto"/>
              <w:rPr>
                <w:rFonts w:cstheme="minorHAnsi"/>
                <w:color w:val="000000"/>
              </w:rPr>
            </w:pPr>
            <w:r w:rsidRPr="00051B91">
              <w:rPr>
                <w:rFonts w:cstheme="minorHAnsi"/>
                <w:color w:val="000000"/>
              </w:rPr>
              <w:t>Ensured the effective dissemination of quality information generated by the HRHO</w:t>
            </w:r>
          </w:p>
        </w:tc>
      </w:tr>
      <w:tr w:rsidR="00051B91" w:rsidRPr="002C2C75" w14:paraId="01D3D25C" w14:textId="77777777" w:rsidTr="00E74D8B">
        <w:trPr>
          <w:gridAfter w:val="1"/>
          <w:wAfter w:w="68" w:type="dxa"/>
          <w:cantSplit/>
        </w:trPr>
        <w:tc>
          <w:tcPr>
            <w:tcW w:w="2605" w:type="dxa"/>
            <w:gridSpan w:val="2"/>
          </w:tcPr>
          <w:p w14:paraId="79416FAA" w14:textId="1A5C99F4" w:rsidR="00051B91" w:rsidRPr="00051B91" w:rsidRDefault="00051B91" w:rsidP="00051B91">
            <w:pPr>
              <w:pBdr>
                <w:top w:val="nil"/>
                <w:left w:val="nil"/>
                <w:bottom w:val="nil"/>
                <w:right w:val="nil"/>
                <w:between w:val="nil"/>
              </w:pBdr>
              <w:spacing w:line="264" w:lineRule="auto"/>
              <w:rPr>
                <w:rFonts w:cstheme="minorHAnsi"/>
                <w:b/>
                <w:bCs/>
                <w:color w:val="000000"/>
              </w:rPr>
            </w:pPr>
            <w:r w:rsidRPr="00051B91">
              <w:rPr>
                <w:rFonts w:cstheme="minorHAnsi"/>
                <w:b/>
                <w:bCs/>
                <w:color w:val="000000"/>
              </w:rPr>
              <w:t xml:space="preserve">Intervention(s) </w:t>
            </w:r>
          </w:p>
        </w:tc>
        <w:tc>
          <w:tcPr>
            <w:tcW w:w="12600" w:type="dxa"/>
          </w:tcPr>
          <w:p w14:paraId="12681886" w14:textId="40D8BB9F" w:rsidR="00051B91" w:rsidRPr="00051B91" w:rsidRDefault="00051B91" w:rsidP="00051B91">
            <w:pPr>
              <w:pBdr>
                <w:top w:val="nil"/>
                <w:left w:val="nil"/>
                <w:bottom w:val="nil"/>
                <w:right w:val="nil"/>
                <w:between w:val="nil"/>
              </w:pBdr>
              <w:spacing w:line="264" w:lineRule="auto"/>
              <w:rPr>
                <w:rFonts w:cstheme="minorHAnsi"/>
                <w:color w:val="000000"/>
              </w:rPr>
            </w:pPr>
            <w:r>
              <w:rPr>
                <w:rFonts w:cstheme="minorHAnsi"/>
                <w:b/>
                <w:bCs/>
                <w:color w:val="000000"/>
              </w:rPr>
              <w:t xml:space="preserve">Intervention: </w:t>
            </w:r>
            <w:r w:rsidRPr="00051B91">
              <w:rPr>
                <w:rFonts w:cstheme="minorHAnsi"/>
                <w:color w:val="000000"/>
              </w:rPr>
              <w:t xml:space="preserve">Education and production of new health workers (excluding community health workers) </w:t>
            </w:r>
          </w:p>
          <w:p w14:paraId="5E65C8C3" w14:textId="5E8E1B38" w:rsidR="00051B91" w:rsidRPr="002C2C75" w:rsidRDefault="00051B91" w:rsidP="00051B91">
            <w:pPr>
              <w:pBdr>
                <w:top w:val="nil"/>
                <w:left w:val="nil"/>
                <w:bottom w:val="nil"/>
                <w:right w:val="nil"/>
                <w:between w:val="nil"/>
              </w:pBdr>
              <w:spacing w:line="264" w:lineRule="auto"/>
              <w:rPr>
                <w:rFonts w:cstheme="minorHAnsi"/>
                <w:color w:val="000000"/>
              </w:rPr>
            </w:pPr>
            <w:r w:rsidRPr="00051B91">
              <w:rPr>
                <w:rFonts w:cstheme="minorHAnsi"/>
                <w:color w:val="000000"/>
              </w:rPr>
              <w:t>Change in Pro</w:t>
            </w:r>
            <w:r w:rsidRPr="002C2C75">
              <w:rPr>
                <w:rFonts w:cstheme="minorHAnsi"/>
                <w:color w:val="000000"/>
              </w:rPr>
              <w:t xml:space="preserve">gramming from current grant: </w:t>
            </w:r>
            <w:sdt>
              <w:sdtPr>
                <w:rPr>
                  <w:rFonts w:cstheme="minorHAnsi"/>
                </w:rPr>
                <w:tag w:val="goog_rdk_85"/>
                <w:id w:val="-842866347"/>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New, </w:t>
            </w:r>
            <w:sdt>
              <w:sdtPr>
                <w:rPr>
                  <w:rFonts w:cstheme="minorHAnsi"/>
                </w:rPr>
                <w:tag w:val="goog_rdk_86"/>
                <w:id w:val="-418557331"/>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Scale-up, </w:t>
            </w:r>
            <w:sdt>
              <w:sdtPr>
                <w:rPr>
                  <w:rFonts w:cstheme="minorHAnsi"/>
                </w:rPr>
                <w:tag w:val="goog_rdk_87"/>
                <w:id w:val="2131046052"/>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Continuation, or </w:t>
            </w:r>
            <w:sdt>
              <w:sdtPr>
                <w:rPr>
                  <w:rFonts w:cstheme="minorHAnsi"/>
                </w:rPr>
                <w:tag w:val="goog_rdk_88"/>
                <w:id w:val="-1721739617"/>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Scale-down</w:t>
            </w:r>
          </w:p>
        </w:tc>
      </w:tr>
      <w:tr w:rsidR="00036B0D" w:rsidRPr="002C2C75" w14:paraId="1A071175" w14:textId="77777777" w:rsidTr="00E74D8B">
        <w:trPr>
          <w:gridAfter w:val="1"/>
          <w:wAfter w:w="68" w:type="dxa"/>
          <w:cantSplit/>
        </w:trPr>
        <w:tc>
          <w:tcPr>
            <w:tcW w:w="2605" w:type="dxa"/>
            <w:gridSpan w:val="2"/>
          </w:tcPr>
          <w:p w14:paraId="0F044E75" w14:textId="16C332C9" w:rsidR="00036B0D" w:rsidRPr="00051B91" w:rsidRDefault="00036B0D" w:rsidP="00051B91">
            <w:pPr>
              <w:pBdr>
                <w:top w:val="nil"/>
                <w:left w:val="nil"/>
                <w:bottom w:val="nil"/>
                <w:right w:val="nil"/>
                <w:between w:val="nil"/>
              </w:pBdr>
              <w:spacing w:line="264" w:lineRule="auto"/>
              <w:rPr>
                <w:rFonts w:cstheme="minorHAnsi"/>
                <w:b/>
                <w:bCs/>
                <w:color w:val="000000"/>
              </w:rPr>
            </w:pPr>
            <w:r w:rsidRPr="00051B91">
              <w:rPr>
                <w:rFonts w:cstheme="minorHAnsi"/>
                <w:b/>
                <w:bCs/>
                <w:color w:val="000000"/>
              </w:rPr>
              <w:t>Population, geographies and/or barriers addressed</w:t>
            </w:r>
          </w:p>
        </w:tc>
        <w:tc>
          <w:tcPr>
            <w:tcW w:w="12600" w:type="dxa"/>
          </w:tcPr>
          <w:p w14:paraId="1C356636" w14:textId="77777777" w:rsidR="00036B0D" w:rsidRPr="00E74D8B" w:rsidRDefault="00036B0D" w:rsidP="00036B0D">
            <w:pPr>
              <w:pBdr>
                <w:top w:val="nil"/>
                <w:left w:val="nil"/>
                <w:bottom w:val="nil"/>
                <w:right w:val="nil"/>
                <w:between w:val="nil"/>
              </w:pBdr>
              <w:spacing w:line="264" w:lineRule="auto"/>
              <w:jc w:val="both"/>
              <w:rPr>
                <w:rFonts w:cstheme="minorHAnsi"/>
                <w:color w:val="000000"/>
              </w:rPr>
            </w:pPr>
            <w:r w:rsidRPr="00E74D8B">
              <w:rPr>
                <w:rFonts w:cstheme="minorHAnsi"/>
                <w:color w:val="000000"/>
              </w:rPr>
              <w:t xml:space="preserve">MISAU approved the 2022-2025 Accelerated Plan for Training Specialized Personnel to respond to the growing needs imposed by the increasing demand for Human Resources for Health (HRH) in the provision of Primary Health Care (CSP), in particular the ambitious goals of HIV, TB and Malaria (HTM) programs. In addition, the National Directorate for the Training of Health Professionals Strategic Plan 2022-2026 prioritizes the training of competent Medium Health Technicians. These plans impose additional budgetary challenges on Training Institutions (IdFs) to respond effectively to the growing demand of health professionals at the primary level, including the first referral level. Hence, it is intended to continue to allocate financial resources from the Global Fund (GF) to the IdFs to increase their training capacity of PHC level HRH. </w:t>
            </w:r>
          </w:p>
          <w:p w14:paraId="479EDBA4" w14:textId="77777777" w:rsidR="00036B0D" w:rsidRPr="00E74D8B" w:rsidRDefault="00036B0D" w:rsidP="00036B0D">
            <w:pPr>
              <w:pBdr>
                <w:top w:val="nil"/>
                <w:left w:val="nil"/>
                <w:bottom w:val="nil"/>
                <w:right w:val="nil"/>
                <w:between w:val="nil"/>
              </w:pBdr>
              <w:spacing w:line="264" w:lineRule="auto"/>
              <w:jc w:val="both"/>
              <w:rPr>
                <w:rFonts w:cstheme="minorHAnsi"/>
                <w:color w:val="000000"/>
              </w:rPr>
            </w:pPr>
            <w:r w:rsidRPr="00E74D8B">
              <w:rPr>
                <w:rFonts w:cstheme="minorHAnsi"/>
                <w:color w:val="000000"/>
              </w:rPr>
              <w:t>For an efficient and equitable allocation of scarce financial resources to the IdFs in the country, the sector intends to update the training costs dated 2012, disaggregated by geographic area and type of courses, etc., and institutionalize this process in order to keep this information updated and adjusted to the specific context of the country.</w:t>
            </w:r>
          </w:p>
          <w:p w14:paraId="33428578" w14:textId="6E15C8FF" w:rsidR="00036B0D" w:rsidRPr="00036B0D" w:rsidRDefault="00036B0D" w:rsidP="00036B0D">
            <w:pPr>
              <w:pBdr>
                <w:top w:val="nil"/>
                <w:left w:val="nil"/>
                <w:bottom w:val="nil"/>
                <w:right w:val="nil"/>
                <w:between w:val="nil"/>
              </w:pBdr>
              <w:spacing w:line="264" w:lineRule="auto"/>
              <w:jc w:val="both"/>
              <w:rPr>
                <w:rFonts w:cstheme="minorHAnsi"/>
                <w:color w:val="000000"/>
              </w:rPr>
            </w:pPr>
            <w:r w:rsidRPr="00E74D8B">
              <w:rPr>
                <w:rFonts w:cstheme="minorHAnsi"/>
                <w:color w:val="000000"/>
              </w:rPr>
              <w:t xml:space="preserve">The increasing volume of training courses to respond to the plans described above requires the existence of a mechanism that ensures the training of competent health professionals, so the sector will develop and implement a quality assurance program for training health professionals that is more comprehensive, strategic and long-term. While this quality improvement program is being developed, the sector intends to minimize the quality deficits already identified in pre-service training, namely in the technical and pedagogical skills of trainers, trainees' professional practice and internships, management of IdFs, among others. Thus, the training sector intends to update training curricula and teaching manuals to turn them into competence-based model and respond to the country's epidemiological profile, as well as proposing a revision of the authorization flowchart for updating clinical protocols with the involvement of all stakeholders (programs, training, CMAM, etc) to ensure timely integration of new or updated clinical protocols into training curricula. Trainers will also be trained in pedagogical issues and updated techniques on PHC package for their competences-based A and B Certification, with focus on the contents of the HTM programs. </w:t>
            </w:r>
          </w:p>
        </w:tc>
      </w:tr>
      <w:tr w:rsidR="00051B91" w:rsidRPr="002C2C75" w14:paraId="510BF91C" w14:textId="77777777" w:rsidTr="00E74D8B">
        <w:trPr>
          <w:gridAfter w:val="1"/>
          <w:wAfter w:w="68" w:type="dxa"/>
          <w:cantSplit/>
        </w:trPr>
        <w:tc>
          <w:tcPr>
            <w:tcW w:w="2605" w:type="dxa"/>
            <w:gridSpan w:val="2"/>
          </w:tcPr>
          <w:p w14:paraId="3639CE04" w14:textId="52B8CDFD" w:rsidR="00051B91" w:rsidRPr="00051B91" w:rsidRDefault="00051B91" w:rsidP="00051B91">
            <w:pPr>
              <w:pBdr>
                <w:top w:val="nil"/>
                <w:left w:val="nil"/>
                <w:bottom w:val="nil"/>
                <w:right w:val="nil"/>
                <w:between w:val="nil"/>
              </w:pBdr>
              <w:spacing w:line="264" w:lineRule="auto"/>
              <w:rPr>
                <w:rFonts w:cstheme="minorHAnsi"/>
                <w:b/>
                <w:bCs/>
                <w:color w:val="000000"/>
              </w:rPr>
            </w:pPr>
          </w:p>
        </w:tc>
        <w:tc>
          <w:tcPr>
            <w:tcW w:w="12600" w:type="dxa"/>
          </w:tcPr>
          <w:p w14:paraId="50AC3C19" w14:textId="43D0BDC9" w:rsidR="00E74D8B" w:rsidRPr="00E74D8B" w:rsidRDefault="00E74D8B" w:rsidP="00E74D8B">
            <w:pPr>
              <w:pBdr>
                <w:top w:val="nil"/>
                <w:left w:val="nil"/>
                <w:bottom w:val="nil"/>
                <w:right w:val="nil"/>
                <w:between w:val="nil"/>
              </w:pBdr>
              <w:spacing w:line="264" w:lineRule="auto"/>
              <w:jc w:val="both"/>
              <w:rPr>
                <w:rFonts w:cstheme="minorHAnsi"/>
                <w:color w:val="000000"/>
              </w:rPr>
            </w:pPr>
            <w:r>
              <w:rPr>
                <w:rFonts w:cstheme="minorHAnsi"/>
                <w:color w:val="000000"/>
              </w:rPr>
              <w:t>F</w:t>
            </w:r>
            <w:r w:rsidRPr="00E74D8B">
              <w:rPr>
                <w:rFonts w:cstheme="minorHAnsi"/>
                <w:color w:val="000000"/>
              </w:rPr>
              <w:t xml:space="preserve">inally, in order to improve quality standards of both pre-service and in-service courses, an authorization mechanism will be established in consultation with the operational directorates, department and programs of the MoH. This will include a decision-making structure, submission process, as well as formats, templates and standards. </w:t>
            </w:r>
          </w:p>
          <w:p w14:paraId="2C624B7C" w14:textId="77777777" w:rsidR="00E74D8B" w:rsidRPr="00E74D8B" w:rsidRDefault="00E74D8B" w:rsidP="00E74D8B">
            <w:pPr>
              <w:pBdr>
                <w:top w:val="nil"/>
                <w:left w:val="nil"/>
                <w:bottom w:val="nil"/>
                <w:right w:val="nil"/>
                <w:between w:val="nil"/>
              </w:pBdr>
              <w:spacing w:line="264" w:lineRule="auto"/>
              <w:jc w:val="both"/>
              <w:rPr>
                <w:rFonts w:cstheme="minorHAnsi"/>
                <w:color w:val="000000"/>
              </w:rPr>
            </w:pPr>
            <w:r w:rsidRPr="00E74D8B">
              <w:rPr>
                <w:rFonts w:cstheme="minorHAnsi"/>
                <w:color w:val="000000"/>
              </w:rPr>
              <w:t>Currently public training institutions of mid-level health professionals rely on extremely limited and often out of date bibliography. This leads not only to problems of training quality, but also prevents the habit of lifelong learning among health workers. To address this issue the sector intends to introduce access to online bibliography, via terminals and subscriptions to online libraries and academic databases. Additionally, library staff will receive training and support to help students access online material.</w:t>
            </w:r>
          </w:p>
          <w:p w14:paraId="7A666997" w14:textId="77777777" w:rsidR="00E74D8B" w:rsidRPr="00E74D8B" w:rsidRDefault="00E74D8B" w:rsidP="00E74D8B">
            <w:pPr>
              <w:pBdr>
                <w:top w:val="nil"/>
                <w:left w:val="nil"/>
                <w:bottom w:val="nil"/>
                <w:right w:val="nil"/>
                <w:between w:val="nil"/>
              </w:pBdr>
              <w:spacing w:line="264" w:lineRule="auto"/>
              <w:jc w:val="both"/>
              <w:rPr>
                <w:rFonts w:cstheme="minorHAnsi"/>
                <w:color w:val="000000"/>
              </w:rPr>
            </w:pPr>
            <w:r w:rsidRPr="00E74D8B">
              <w:rPr>
                <w:rFonts w:cstheme="minorHAnsi"/>
                <w:color w:val="000000"/>
              </w:rPr>
              <w:t xml:space="preserve">Skills labs and biochemistry labs are essential for students to acquire the psychomotor skills required to carry out effective physical exams, take and process samples, and administer many common procedures even at the primary level. Because of this, it is essential that labs have sufficient equipment and materials for students to observe, practice and consolidate these skills.  </w:t>
            </w:r>
          </w:p>
          <w:p w14:paraId="4B335D75" w14:textId="77777777" w:rsidR="00E74D8B" w:rsidRPr="00E74D8B" w:rsidRDefault="00E74D8B" w:rsidP="00E74D8B">
            <w:pPr>
              <w:pBdr>
                <w:top w:val="nil"/>
                <w:left w:val="nil"/>
                <w:bottom w:val="nil"/>
                <w:right w:val="nil"/>
                <w:between w:val="nil"/>
              </w:pBdr>
              <w:spacing w:line="264" w:lineRule="auto"/>
              <w:jc w:val="both"/>
              <w:rPr>
                <w:rFonts w:cstheme="minorHAnsi"/>
                <w:color w:val="000000"/>
              </w:rPr>
            </w:pPr>
            <w:r w:rsidRPr="00E74D8B">
              <w:rPr>
                <w:rFonts w:cstheme="minorHAnsi"/>
                <w:color w:val="000000"/>
              </w:rPr>
              <w:t xml:space="preserve">The sector thus intends to re-equip IdFs laboratories not only to replace damaged and out-of-date equipment (last done in 2012) but also to expand the quantities to ensure sufficient access. This is part of a broader plan to increase and improve the use of labs.  </w:t>
            </w:r>
          </w:p>
          <w:p w14:paraId="536FEC56" w14:textId="77777777" w:rsidR="00E74D8B" w:rsidRPr="00E74D8B" w:rsidRDefault="00E74D8B" w:rsidP="00E74D8B">
            <w:pPr>
              <w:pBdr>
                <w:top w:val="nil"/>
                <w:left w:val="nil"/>
                <w:bottom w:val="nil"/>
                <w:right w:val="nil"/>
                <w:between w:val="nil"/>
              </w:pBdr>
              <w:spacing w:line="264" w:lineRule="auto"/>
              <w:jc w:val="both"/>
              <w:rPr>
                <w:rFonts w:cstheme="minorHAnsi"/>
                <w:color w:val="000000"/>
              </w:rPr>
            </w:pPr>
            <w:r w:rsidRPr="00E74D8B">
              <w:rPr>
                <w:rFonts w:cstheme="minorHAnsi"/>
                <w:color w:val="000000"/>
              </w:rPr>
              <w:t>Improvement in the quality of teaching has often been compromised by the poor quality of practice. This is related to, among other things, the overloading of practicum sites near training facilities as well as inadequate supervision. To address this issue, the sector intends to both improve the distribution of students to include more distant practicum sites and to increase the intensity of practicum oversite by IdF faculty. As part of this process, the sector intends to obtain vehicles for 12 IdF.</w:t>
            </w:r>
          </w:p>
          <w:p w14:paraId="3E795DB0" w14:textId="7E490426" w:rsidR="00051B91" w:rsidRPr="002C2C75" w:rsidRDefault="00E74D8B" w:rsidP="00E74D8B">
            <w:pPr>
              <w:pBdr>
                <w:top w:val="nil"/>
                <w:left w:val="nil"/>
                <w:bottom w:val="nil"/>
                <w:right w:val="nil"/>
                <w:between w:val="nil"/>
              </w:pBdr>
              <w:spacing w:line="264" w:lineRule="auto"/>
              <w:jc w:val="both"/>
              <w:rPr>
                <w:rFonts w:cstheme="minorHAnsi"/>
                <w:color w:val="000000"/>
              </w:rPr>
            </w:pPr>
            <w:r w:rsidRPr="00E74D8B">
              <w:rPr>
                <w:rFonts w:cstheme="minorHAnsi"/>
                <w:color w:val="000000"/>
              </w:rPr>
              <w:t>The IT information systems for health training (SIFIn and SIFo) are outdated, making it necessary to revitalize them in order to improve the monitoring and management of training activities, and ensure their interoperability and integration with other Government information systems (SISMA, SNGRHE, ANEP, etc).</w:t>
            </w:r>
          </w:p>
        </w:tc>
      </w:tr>
      <w:tr w:rsidR="00051B91" w:rsidRPr="002C2C75" w14:paraId="198BD188" w14:textId="77777777" w:rsidTr="00E74D8B">
        <w:trPr>
          <w:gridAfter w:val="1"/>
          <w:wAfter w:w="68" w:type="dxa"/>
          <w:cantSplit/>
        </w:trPr>
        <w:tc>
          <w:tcPr>
            <w:tcW w:w="2605" w:type="dxa"/>
            <w:gridSpan w:val="2"/>
          </w:tcPr>
          <w:p w14:paraId="53608EA6" w14:textId="3F2FC08A" w:rsidR="00051B91" w:rsidRPr="00051B91" w:rsidRDefault="00051B91" w:rsidP="00051B91">
            <w:pPr>
              <w:pBdr>
                <w:top w:val="nil"/>
                <w:left w:val="nil"/>
                <w:bottom w:val="nil"/>
                <w:right w:val="nil"/>
                <w:between w:val="nil"/>
              </w:pBdr>
              <w:spacing w:line="264" w:lineRule="auto"/>
              <w:rPr>
                <w:rFonts w:cstheme="minorHAnsi"/>
                <w:b/>
                <w:bCs/>
                <w:color w:val="000000"/>
              </w:rPr>
            </w:pPr>
            <w:r w:rsidRPr="00051B91">
              <w:rPr>
                <w:rFonts w:cstheme="minorHAnsi"/>
                <w:b/>
                <w:bCs/>
                <w:color w:val="000000"/>
              </w:rPr>
              <w:t>List of activities</w:t>
            </w:r>
          </w:p>
        </w:tc>
        <w:tc>
          <w:tcPr>
            <w:tcW w:w="12600" w:type="dxa"/>
          </w:tcPr>
          <w:p w14:paraId="358096D0" w14:textId="77777777" w:rsidR="00E74D8B" w:rsidRPr="00E74D8B" w:rsidRDefault="00E74D8B" w:rsidP="00E74D8B">
            <w:pPr>
              <w:numPr>
                <w:ilvl w:val="0"/>
                <w:numId w:val="61"/>
              </w:numPr>
              <w:pBdr>
                <w:top w:val="nil"/>
                <w:left w:val="nil"/>
                <w:bottom w:val="nil"/>
                <w:right w:val="nil"/>
                <w:between w:val="nil"/>
              </w:pBdr>
              <w:spacing w:after="0" w:line="264" w:lineRule="auto"/>
              <w:rPr>
                <w:rFonts w:cstheme="minorHAnsi"/>
                <w:color w:val="000000"/>
              </w:rPr>
            </w:pPr>
            <w:r w:rsidRPr="00E74D8B">
              <w:rPr>
                <w:rFonts w:cstheme="minorHAnsi"/>
                <w:color w:val="000000"/>
              </w:rPr>
              <w:t>Allocate additional financial resources to IdFs as to increase their training capacity HRHs focusing on both CHW (APS) and PHC level</w:t>
            </w:r>
          </w:p>
          <w:p w14:paraId="21267B29" w14:textId="77777777" w:rsidR="00E74D8B" w:rsidRPr="00E74D8B" w:rsidRDefault="00E74D8B" w:rsidP="00E74D8B">
            <w:pPr>
              <w:numPr>
                <w:ilvl w:val="0"/>
                <w:numId w:val="61"/>
              </w:numPr>
              <w:pBdr>
                <w:top w:val="nil"/>
                <w:left w:val="nil"/>
                <w:bottom w:val="nil"/>
                <w:right w:val="nil"/>
                <w:between w:val="nil"/>
              </w:pBdr>
              <w:spacing w:after="0" w:line="264" w:lineRule="auto"/>
              <w:rPr>
                <w:rFonts w:cstheme="minorHAnsi"/>
                <w:color w:val="000000"/>
              </w:rPr>
            </w:pPr>
            <w:r w:rsidRPr="00E74D8B">
              <w:rPr>
                <w:rFonts w:cstheme="minorHAnsi"/>
                <w:color w:val="000000"/>
              </w:rPr>
              <w:t xml:space="preserve">Update pre-service training costs to improve allocation of funds to IdF </w:t>
            </w:r>
          </w:p>
          <w:p w14:paraId="5C4FA650" w14:textId="77777777" w:rsidR="00E74D8B" w:rsidRPr="00E74D8B" w:rsidRDefault="00E74D8B" w:rsidP="00E74D8B">
            <w:pPr>
              <w:numPr>
                <w:ilvl w:val="0"/>
                <w:numId w:val="61"/>
              </w:numPr>
              <w:pBdr>
                <w:top w:val="nil"/>
                <w:left w:val="nil"/>
                <w:bottom w:val="nil"/>
                <w:right w:val="nil"/>
                <w:between w:val="nil"/>
              </w:pBdr>
              <w:spacing w:after="0" w:line="264" w:lineRule="auto"/>
              <w:rPr>
                <w:rFonts w:cstheme="minorHAnsi"/>
                <w:color w:val="000000"/>
              </w:rPr>
            </w:pPr>
            <w:r w:rsidRPr="00E74D8B">
              <w:rPr>
                <w:rFonts w:cstheme="minorHAnsi"/>
                <w:color w:val="000000"/>
              </w:rPr>
              <w:t>Develop the training quality assurance program for health professionals</w:t>
            </w:r>
          </w:p>
          <w:p w14:paraId="76AC43C5" w14:textId="77777777" w:rsidR="00E74D8B" w:rsidRPr="00E74D8B" w:rsidRDefault="00E74D8B" w:rsidP="00E74D8B">
            <w:pPr>
              <w:numPr>
                <w:ilvl w:val="0"/>
                <w:numId w:val="61"/>
              </w:numPr>
              <w:pBdr>
                <w:top w:val="nil"/>
                <w:left w:val="nil"/>
                <w:bottom w:val="nil"/>
                <w:right w:val="nil"/>
                <w:between w:val="nil"/>
              </w:pBdr>
              <w:spacing w:after="0" w:line="264" w:lineRule="auto"/>
              <w:rPr>
                <w:rFonts w:cstheme="minorHAnsi"/>
                <w:color w:val="000000"/>
              </w:rPr>
            </w:pPr>
            <w:r w:rsidRPr="00E74D8B">
              <w:rPr>
                <w:rFonts w:cstheme="minorHAnsi"/>
                <w:color w:val="000000"/>
              </w:rPr>
              <w:t xml:space="preserve">Reinforce the libraries and labs (both skills labs and biochemistry labs) material and equipment </w:t>
            </w:r>
          </w:p>
          <w:p w14:paraId="49B0CE4F" w14:textId="77777777" w:rsidR="00E74D8B" w:rsidRPr="00E74D8B" w:rsidRDefault="00E74D8B" w:rsidP="00E74D8B">
            <w:pPr>
              <w:numPr>
                <w:ilvl w:val="0"/>
                <w:numId w:val="61"/>
              </w:numPr>
              <w:pBdr>
                <w:top w:val="nil"/>
                <w:left w:val="nil"/>
                <w:bottom w:val="nil"/>
                <w:right w:val="nil"/>
                <w:between w:val="nil"/>
              </w:pBdr>
              <w:spacing w:after="0" w:line="264" w:lineRule="auto"/>
              <w:rPr>
                <w:rFonts w:cstheme="minorHAnsi"/>
                <w:color w:val="000000"/>
              </w:rPr>
            </w:pPr>
            <w:r w:rsidRPr="00E74D8B">
              <w:rPr>
                <w:rFonts w:cstheme="minorHAnsi"/>
                <w:color w:val="000000"/>
              </w:rPr>
              <w:t>Update training curricula and teaching manuals to fulfill competency-based standards</w:t>
            </w:r>
          </w:p>
          <w:p w14:paraId="1EE77C5A" w14:textId="77777777" w:rsidR="00E74D8B" w:rsidRPr="00E74D8B" w:rsidRDefault="00E74D8B" w:rsidP="00E74D8B">
            <w:pPr>
              <w:numPr>
                <w:ilvl w:val="0"/>
                <w:numId w:val="61"/>
              </w:numPr>
              <w:pBdr>
                <w:top w:val="nil"/>
                <w:left w:val="nil"/>
                <w:bottom w:val="nil"/>
                <w:right w:val="nil"/>
                <w:between w:val="nil"/>
              </w:pBdr>
              <w:spacing w:after="0" w:line="264" w:lineRule="auto"/>
              <w:rPr>
                <w:rFonts w:cstheme="minorHAnsi"/>
                <w:color w:val="000000"/>
              </w:rPr>
            </w:pPr>
            <w:r w:rsidRPr="00E74D8B">
              <w:rPr>
                <w:rFonts w:cstheme="minorHAnsi"/>
                <w:color w:val="000000"/>
              </w:rPr>
              <w:t>Train trainers and IdF managers in pedagogical matters to meet competency-based standards to ensure their certification (A and B)</w:t>
            </w:r>
          </w:p>
          <w:p w14:paraId="319A3F65" w14:textId="77777777" w:rsidR="00E74D8B" w:rsidRPr="00E74D8B" w:rsidRDefault="00E74D8B" w:rsidP="00E74D8B">
            <w:pPr>
              <w:numPr>
                <w:ilvl w:val="0"/>
                <w:numId w:val="61"/>
              </w:numPr>
              <w:pBdr>
                <w:top w:val="nil"/>
                <w:left w:val="nil"/>
                <w:bottom w:val="nil"/>
                <w:right w:val="nil"/>
                <w:between w:val="nil"/>
              </w:pBdr>
              <w:spacing w:after="0" w:line="264" w:lineRule="auto"/>
              <w:rPr>
                <w:rFonts w:cstheme="minorHAnsi"/>
                <w:color w:val="000000"/>
              </w:rPr>
            </w:pPr>
            <w:r w:rsidRPr="00E74D8B">
              <w:rPr>
                <w:rFonts w:cstheme="minorHAnsi"/>
                <w:color w:val="000000"/>
              </w:rPr>
              <w:t>Revitalize health training information systems (SIFIn and SIFo)</w:t>
            </w:r>
          </w:p>
          <w:p w14:paraId="057ED019" w14:textId="77777777" w:rsidR="00E74D8B" w:rsidRPr="00E74D8B" w:rsidRDefault="00E74D8B" w:rsidP="00E74D8B">
            <w:pPr>
              <w:numPr>
                <w:ilvl w:val="0"/>
                <w:numId w:val="61"/>
              </w:numPr>
              <w:pBdr>
                <w:top w:val="nil"/>
                <w:left w:val="nil"/>
                <w:bottom w:val="nil"/>
                <w:right w:val="nil"/>
                <w:between w:val="nil"/>
              </w:pBdr>
              <w:spacing w:after="0" w:line="264" w:lineRule="auto"/>
              <w:rPr>
                <w:rFonts w:cstheme="minorHAnsi"/>
                <w:color w:val="000000"/>
              </w:rPr>
            </w:pPr>
            <w:r w:rsidRPr="00E74D8B">
              <w:rPr>
                <w:rFonts w:cstheme="minorHAnsi"/>
                <w:color w:val="000000"/>
              </w:rPr>
              <w:t>Establish standards and mechanism for approval of training programs of the NHS</w:t>
            </w:r>
          </w:p>
          <w:p w14:paraId="46F7552F" w14:textId="6D0210B7" w:rsidR="00051B91" w:rsidRPr="00051B91" w:rsidRDefault="00E74D8B" w:rsidP="00E74D8B">
            <w:pPr>
              <w:numPr>
                <w:ilvl w:val="0"/>
                <w:numId w:val="61"/>
              </w:numPr>
              <w:pBdr>
                <w:top w:val="nil"/>
                <w:left w:val="nil"/>
                <w:bottom w:val="nil"/>
                <w:right w:val="nil"/>
                <w:between w:val="nil"/>
              </w:pBdr>
              <w:spacing w:after="0" w:line="264" w:lineRule="auto"/>
              <w:rPr>
                <w:rFonts w:cstheme="minorHAnsi"/>
                <w:color w:val="000000"/>
              </w:rPr>
            </w:pPr>
            <w:r w:rsidRPr="00E74D8B">
              <w:rPr>
                <w:rFonts w:cstheme="minorHAnsi"/>
                <w:color w:val="000000"/>
              </w:rPr>
              <w:t>Develop a centralized online database (or adapt the virtual library of the telehealth platform) for all approved training materials (curricula, manuals, teaching aids etc)</w:t>
            </w:r>
          </w:p>
        </w:tc>
      </w:tr>
      <w:tr w:rsidR="00051B91" w:rsidRPr="002C2C75" w14:paraId="1F99789A" w14:textId="77777777" w:rsidTr="00E74D8B">
        <w:trPr>
          <w:gridAfter w:val="1"/>
          <w:wAfter w:w="68" w:type="dxa"/>
          <w:cantSplit/>
        </w:trPr>
        <w:tc>
          <w:tcPr>
            <w:tcW w:w="2605" w:type="dxa"/>
            <w:gridSpan w:val="2"/>
          </w:tcPr>
          <w:p w14:paraId="23F1FFA3" w14:textId="77777777" w:rsidR="00051B91" w:rsidRPr="00051B91" w:rsidRDefault="00051B91" w:rsidP="00051B91">
            <w:pPr>
              <w:pBdr>
                <w:top w:val="nil"/>
                <w:left w:val="nil"/>
                <w:bottom w:val="nil"/>
                <w:right w:val="nil"/>
                <w:between w:val="nil"/>
              </w:pBdr>
              <w:spacing w:line="264" w:lineRule="auto"/>
              <w:rPr>
                <w:rFonts w:cstheme="minorHAnsi"/>
                <w:b/>
                <w:bCs/>
                <w:color w:val="000000"/>
              </w:rPr>
            </w:pPr>
            <w:r w:rsidRPr="00051B91">
              <w:rPr>
                <w:rFonts w:cstheme="minorHAnsi"/>
                <w:b/>
                <w:bCs/>
                <w:color w:val="000000"/>
              </w:rPr>
              <w:t>Amount requested</w:t>
            </w:r>
          </w:p>
        </w:tc>
        <w:tc>
          <w:tcPr>
            <w:tcW w:w="12600" w:type="dxa"/>
          </w:tcPr>
          <w:p w14:paraId="15E8D0A8" w14:textId="62159385" w:rsidR="00051B91" w:rsidRPr="002C2C75" w:rsidRDefault="00051B91" w:rsidP="00051B91">
            <w:pPr>
              <w:pBdr>
                <w:top w:val="nil"/>
                <w:left w:val="nil"/>
                <w:bottom w:val="nil"/>
                <w:right w:val="nil"/>
                <w:between w:val="nil"/>
              </w:pBdr>
              <w:spacing w:line="264" w:lineRule="auto"/>
              <w:rPr>
                <w:rFonts w:cstheme="minorHAnsi"/>
                <w:b/>
                <w:bCs/>
                <w:color w:val="000000"/>
              </w:rPr>
            </w:pPr>
            <w:r w:rsidRPr="002C2C75">
              <w:rPr>
                <w:rFonts w:cstheme="minorHAnsi"/>
                <w:b/>
                <w:bCs/>
                <w:color w:val="000000"/>
              </w:rPr>
              <w:t>Within allocation: $</w:t>
            </w:r>
            <w:r>
              <w:rPr>
                <w:rFonts w:cstheme="minorHAnsi"/>
                <w:b/>
                <w:bCs/>
                <w:color w:val="000000"/>
              </w:rPr>
              <w:t>6</w:t>
            </w:r>
            <w:r w:rsidRPr="002C2C75">
              <w:rPr>
                <w:rFonts w:cstheme="minorHAnsi"/>
                <w:b/>
                <w:bCs/>
                <w:color w:val="000000"/>
              </w:rPr>
              <w:t>,</w:t>
            </w:r>
            <w:r>
              <w:rPr>
                <w:rFonts w:cstheme="minorHAnsi"/>
                <w:b/>
                <w:bCs/>
                <w:color w:val="000000"/>
              </w:rPr>
              <w:t>428</w:t>
            </w:r>
            <w:r w:rsidRPr="002C2C75">
              <w:rPr>
                <w:rFonts w:cstheme="minorHAnsi"/>
                <w:b/>
                <w:bCs/>
                <w:color w:val="000000"/>
              </w:rPr>
              <w:t>,</w:t>
            </w:r>
            <w:r>
              <w:rPr>
                <w:rFonts w:cstheme="minorHAnsi"/>
                <w:b/>
                <w:bCs/>
                <w:color w:val="000000"/>
              </w:rPr>
              <w:t>537</w:t>
            </w:r>
          </w:p>
        </w:tc>
      </w:tr>
      <w:tr w:rsidR="00051B91" w:rsidRPr="002C2C75" w14:paraId="57D83E56" w14:textId="77777777" w:rsidTr="00E74D8B">
        <w:trPr>
          <w:gridAfter w:val="1"/>
          <w:wAfter w:w="68" w:type="dxa"/>
          <w:cantSplit/>
        </w:trPr>
        <w:tc>
          <w:tcPr>
            <w:tcW w:w="2605" w:type="dxa"/>
            <w:gridSpan w:val="2"/>
          </w:tcPr>
          <w:p w14:paraId="7F365467" w14:textId="67E3357B" w:rsidR="00051B91" w:rsidRPr="00051B91" w:rsidRDefault="00051B91" w:rsidP="00051B91">
            <w:pPr>
              <w:pBdr>
                <w:top w:val="nil"/>
                <w:left w:val="nil"/>
                <w:bottom w:val="nil"/>
                <w:right w:val="nil"/>
                <w:between w:val="nil"/>
              </w:pBdr>
              <w:spacing w:line="264" w:lineRule="auto"/>
              <w:rPr>
                <w:rFonts w:cstheme="minorHAnsi"/>
                <w:b/>
                <w:bCs/>
                <w:color w:val="000000"/>
              </w:rPr>
            </w:pPr>
            <w:r w:rsidRPr="00051B91">
              <w:rPr>
                <w:rFonts w:cstheme="minorHAnsi"/>
                <w:b/>
                <w:bCs/>
                <w:color w:val="000000"/>
              </w:rPr>
              <w:t>Expected outcome</w:t>
            </w:r>
          </w:p>
        </w:tc>
        <w:tc>
          <w:tcPr>
            <w:tcW w:w="12600" w:type="dxa"/>
          </w:tcPr>
          <w:p w14:paraId="266A7F35" w14:textId="77777777" w:rsidR="00051B91" w:rsidRDefault="00051B91" w:rsidP="00051B91">
            <w:pPr>
              <w:numPr>
                <w:ilvl w:val="0"/>
                <w:numId w:val="61"/>
              </w:numPr>
              <w:pBdr>
                <w:top w:val="nil"/>
                <w:left w:val="nil"/>
                <w:bottom w:val="nil"/>
                <w:right w:val="nil"/>
                <w:between w:val="nil"/>
              </w:pBdr>
              <w:spacing w:after="0" w:line="264" w:lineRule="auto"/>
              <w:rPr>
                <w:rFonts w:cstheme="minorHAnsi"/>
                <w:color w:val="000000"/>
              </w:rPr>
            </w:pPr>
            <w:r w:rsidRPr="002C2C75">
              <w:rPr>
                <w:rFonts w:cstheme="minorHAnsi"/>
                <w:color w:val="000000"/>
              </w:rPr>
              <w:t>Increased availability of quality human resources for CSP delivery, including CHWs</w:t>
            </w:r>
          </w:p>
          <w:p w14:paraId="6250FBC9" w14:textId="4AFEA771" w:rsidR="00051B91" w:rsidRPr="00051B91" w:rsidRDefault="00051B91" w:rsidP="00051B91">
            <w:pPr>
              <w:numPr>
                <w:ilvl w:val="0"/>
                <w:numId w:val="61"/>
              </w:numPr>
              <w:pBdr>
                <w:top w:val="nil"/>
                <w:left w:val="nil"/>
                <w:bottom w:val="nil"/>
                <w:right w:val="nil"/>
                <w:between w:val="nil"/>
              </w:pBdr>
              <w:spacing w:after="0" w:line="264" w:lineRule="auto"/>
              <w:rPr>
                <w:rFonts w:cstheme="minorHAnsi"/>
                <w:color w:val="000000"/>
              </w:rPr>
            </w:pPr>
            <w:r w:rsidRPr="00051B91">
              <w:rPr>
                <w:rFonts w:cstheme="minorHAnsi"/>
                <w:color w:val="000000"/>
              </w:rPr>
              <w:t xml:space="preserve">Improved IdFs management and funding </w:t>
            </w:r>
          </w:p>
        </w:tc>
      </w:tr>
      <w:tr w:rsidR="00051B91" w:rsidRPr="002C2C75" w14:paraId="4A79118F" w14:textId="77777777" w:rsidTr="00E74D8B">
        <w:trPr>
          <w:gridAfter w:val="1"/>
          <w:wAfter w:w="68" w:type="dxa"/>
          <w:cantSplit/>
        </w:trPr>
        <w:tc>
          <w:tcPr>
            <w:tcW w:w="2605" w:type="dxa"/>
            <w:gridSpan w:val="2"/>
          </w:tcPr>
          <w:p w14:paraId="4367FC21" w14:textId="3C20220E" w:rsidR="00051B91" w:rsidRPr="00051B91" w:rsidRDefault="00051B91" w:rsidP="00051B91">
            <w:pPr>
              <w:pBdr>
                <w:top w:val="nil"/>
                <w:left w:val="nil"/>
                <w:bottom w:val="nil"/>
                <w:right w:val="nil"/>
                <w:between w:val="nil"/>
              </w:pBdr>
              <w:spacing w:line="264" w:lineRule="auto"/>
              <w:rPr>
                <w:rFonts w:cstheme="minorHAnsi"/>
                <w:b/>
                <w:bCs/>
                <w:color w:val="000000"/>
              </w:rPr>
            </w:pPr>
            <w:r w:rsidRPr="00051B91">
              <w:rPr>
                <w:rFonts w:cstheme="minorHAnsi"/>
                <w:b/>
                <w:bCs/>
                <w:color w:val="000000"/>
              </w:rPr>
              <w:t>Intervention(s)</w:t>
            </w:r>
          </w:p>
        </w:tc>
        <w:tc>
          <w:tcPr>
            <w:tcW w:w="12600" w:type="dxa"/>
          </w:tcPr>
          <w:p w14:paraId="35AF9BFB" w14:textId="2F8A14AE" w:rsidR="00051B91" w:rsidRPr="00051B91" w:rsidRDefault="00051B91" w:rsidP="00051B91">
            <w:pPr>
              <w:pBdr>
                <w:top w:val="nil"/>
                <w:left w:val="nil"/>
                <w:bottom w:val="nil"/>
                <w:right w:val="nil"/>
                <w:between w:val="nil"/>
              </w:pBdr>
              <w:spacing w:line="264" w:lineRule="auto"/>
              <w:rPr>
                <w:rFonts w:cstheme="minorHAnsi"/>
                <w:color w:val="000000"/>
              </w:rPr>
            </w:pPr>
            <w:r>
              <w:rPr>
                <w:rFonts w:cstheme="minorHAnsi"/>
                <w:b/>
                <w:bCs/>
                <w:color w:val="000000"/>
              </w:rPr>
              <w:t xml:space="preserve">Intervention: </w:t>
            </w:r>
            <w:r w:rsidRPr="00051B91">
              <w:rPr>
                <w:rFonts w:cstheme="minorHAnsi"/>
                <w:color w:val="000000"/>
              </w:rPr>
              <w:t xml:space="preserve">Remuneration and deployment of existing/new staff (excluding community health workers) </w:t>
            </w:r>
          </w:p>
          <w:p w14:paraId="074057E8" w14:textId="5A346C79" w:rsidR="00051B91" w:rsidRPr="002C2C75" w:rsidRDefault="00051B91" w:rsidP="00051B91">
            <w:pPr>
              <w:pBdr>
                <w:top w:val="nil"/>
                <w:left w:val="nil"/>
                <w:bottom w:val="nil"/>
                <w:right w:val="nil"/>
                <w:between w:val="nil"/>
              </w:pBdr>
              <w:spacing w:line="264" w:lineRule="auto"/>
              <w:rPr>
                <w:rFonts w:cstheme="minorHAnsi"/>
                <w:color w:val="000000"/>
              </w:rPr>
            </w:pPr>
            <w:r w:rsidRPr="00051B91">
              <w:rPr>
                <w:rFonts w:cstheme="minorHAnsi"/>
                <w:color w:val="000000"/>
              </w:rPr>
              <w:t>Change in Pro</w:t>
            </w:r>
            <w:r w:rsidRPr="002C2C75">
              <w:rPr>
                <w:rFonts w:cstheme="minorHAnsi"/>
                <w:color w:val="000000"/>
              </w:rPr>
              <w:t xml:space="preserve">gramming from current grant: </w:t>
            </w:r>
            <w:sdt>
              <w:sdtPr>
                <w:rPr>
                  <w:rFonts w:cstheme="minorHAnsi"/>
                </w:rPr>
                <w:tag w:val="goog_rdk_128"/>
                <w:id w:val="-297533121"/>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New, </w:t>
            </w:r>
            <w:sdt>
              <w:sdtPr>
                <w:rPr>
                  <w:rFonts w:cstheme="minorHAnsi"/>
                </w:rPr>
                <w:tag w:val="goog_rdk_129"/>
                <w:id w:val="370729955"/>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Scale-up, </w:t>
            </w:r>
            <w:sdt>
              <w:sdtPr>
                <w:rPr>
                  <w:rFonts w:cstheme="minorHAnsi"/>
                </w:rPr>
                <w:tag w:val="goog_rdk_130"/>
                <w:id w:val="-543907805"/>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Continuation, or </w:t>
            </w:r>
            <w:sdt>
              <w:sdtPr>
                <w:rPr>
                  <w:rFonts w:cstheme="minorHAnsi"/>
                </w:rPr>
                <w:tag w:val="goog_rdk_131"/>
                <w:id w:val="-977059479"/>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Scale-down</w:t>
            </w:r>
          </w:p>
        </w:tc>
      </w:tr>
      <w:tr w:rsidR="00051B91" w:rsidRPr="002C2C75" w14:paraId="34B09C1B" w14:textId="77777777" w:rsidTr="00E74D8B">
        <w:trPr>
          <w:gridAfter w:val="1"/>
          <w:wAfter w:w="68" w:type="dxa"/>
          <w:cantSplit/>
        </w:trPr>
        <w:tc>
          <w:tcPr>
            <w:tcW w:w="2605" w:type="dxa"/>
            <w:gridSpan w:val="2"/>
          </w:tcPr>
          <w:p w14:paraId="21A37038" w14:textId="77777777" w:rsidR="00051B91" w:rsidRPr="00051B91" w:rsidRDefault="00051B91" w:rsidP="00051B91">
            <w:pPr>
              <w:pBdr>
                <w:top w:val="nil"/>
                <w:left w:val="nil"/>
                <w:bottom w:val="nil"/>
                <w:right w:val="nil"/>
                <w:between w:val="nil"/>
              </w:pBdr>
              <w:spacing w:line="264" w:lineRule="auto"/>
              <w:rPr>
                <w:rFonts w:cstheme="minorHAnsi"/>
                <w:b/>
                <w:bCs/>
                <w:color w:val="000000"/>
              </w:rPr>
            </w:pPr>
            <w:r w:rsidRPr="00051B91">
              <w:rPr>
                <w:rFonts w:cstheme="minorHAnsi"/>
                <w:b/>
                <w:bCs/>
                <w:color w:val="000000"/>
              </w:rPr>
              <w:t>Population, geographies and/or barriers addressed</w:t>
            </w:r>
          </w:p>
        </w:tc>
        <w:tc>
          <w:tcPr>
            <w:tcW w:w="12600" w:type="dxa"/>
          </w:tcPr>
          <w:p w14:paraId="1614E2F2" w14:textId="77777777" w:rsidR="00051B91" w:rsidRPr="002C2C75" w:rsidRDefault="00051B91" w:rsidP="00051B91">
            <w:pPr>
              <w:spacing w:after="240" w:line="264" w:lineRule="auto"/>
              <w:jc w:val="both"/>
              <w:rPr>
                <w:rFonts w:cstheme="minorHAnsi"/>
                <w:color w:val="000000"/>
              </w:rPr>
            </w:pPr>
            <w:r w:rsidRPr="002C2C75">
              <w:rPr>
                <w:rFonts w:cstheme="minorHAnsi"/>
                <w:color w:val="000000"/>
              </w:rPr>
              <w:t>To accurately project the staff requirements for achievement of universal health care as outlined in SDG3, the NHS needs to take into account both the diversity of services to be provided at different levels of care and the workload of different health facilities at the same level of care. To achieve this, the sector intends to both revise facility-based staffing standards and develop a WISN tool to adjust these standards workloads</w:t>
            </w:r>
          </w:p>
          <w:p w14:paraId="3A532625" w14:textId="77777777" w:rsidR="00051B91" w:rsidRPr="002C2C75" w:rsidRDefault="00051B91" w:rsidP="00051B91">
            <w:pPr>
              <w:spacing w:before="240" w:after="240" w:line="264" w:lineRule="auto"/>
              <w:jc w:val="both"/>
              <w:rPr>
                <w:rFonts w:cstheme="minorHAnsi"/>
                <w:color w:val="000000"/>
              </w:rPr>
            </w:pPr>
            <w:r w:rsidRPr="002C2C75">
              <w:rPr>
                <w:rFonts w:cstheme="minorHAnsi"/>
                <w:color w:val="000000"/>
              </w:rPr>
              <w:t>Facility-based staffing standards for all levels of health facility, outlined in the July 31 Ministerial Diploma No. 127/2002, are out of date, as they don’t take into account epidemiologic (increase in chronic diseases) and demographic changes (urbanization) in the population as well as changes in health service delivery (for example the expansion of HIV and TB care provision at the decentralized level). Furthermore, they don’t take into account HRH requirements for the recently developed essential service package for Universal Health Care, prepared by the MISAU with WHO support.</w:t>
            </w:r>
          </w:p>
          <w:p w14:paraId="22EB372E" w14:textId="77777777" w:rsidR="00051B91" w:rsidRPr="002C2C75" w:rsidRDefault="00051B91" w:rsidP="00051B91">
            <w:pPr>
              <w:pBdr>
                <w:top w:val="nil"/>
                <w:left w:val="nil"/>
                <w:bottom w:val="nil"/>
                <w:right w:val="nil"/>
                <w:between w:val="nil"/>
              </w:pBdr>
              <w:spacing w:line="264" w:lineRule="auto"/>
              <w:jc w:val="both"/>
              <w:rPr>
                <w:rFonts w:cstheme="minorHAnsi"/>
                <w:color w:val="000000"/>
              </w:rPr>
            </w:pPr>
            <w:r w:rsidRPr="002C2C75">
              <w:rPr>
                <w:rFonts w:cstheme="minorHAnsi"/>
                <w:color w:val="000000"/>
              </w:rPr>
              <w:t>To this end the sector intends to revise facility-based staffing standards (Quadro Tipo) based on the Essential Service Package for health facilities at all levels of primary care (including the first level of referral). Additionally, a WISN study will be carried out and the respective staff allocation tool developed.</w:t>
            </w:r>
          </w:p>
        </w:tc>
      </w:tr>
      <w:tr w:rsidR="00051B91" w:rsidRPr="002C2C75" w14:paraId="3314924F" w14:textId="77777777" w:rsidTr="00E74D8B">
        <w:trPr>
          <w:gridAfter w:val="1"/>
          <w:wAfter w:w="68" w:type="dxa"/>
          <w:cantSplit/>
        </w:trPr>
        <w:tc>
          <w:tcPr>
            <w:tcW w:w="2605" w:type="dxa"/>
            <w:gridSpan w:val="2"/>
          </w:tcPr>
          <w:p w14:paraId="76617AB7" w14:textId="03AD54CB" w:rsidR="00051B91" w:rsidRPr="00051B91" w:rsidRDefault="00051B91" w:rsidP="00051B91">
            <w:pPr>
              <w:pBdr>
                <w:top w:val="nil"/>
                <w:left w:val="nil"/>
                <w:bottom w:val="nil"/>
                <w:right w:val="nil"/>
                <w:between w:val="nil"/>
              </w:pBdr>
              <w:spacing w:line="264" w:lineRule="auto"/>
              <w:rPr>
                <w:rFonts w:cstheme="minorHAnsi"/>
                <w:b/>
                <w:bCs/>
                <w:color w:val="000000"/>
              </w:rPr>
            </w:pPr>
            <w:r w:rsidRPr="00051B91">
              <w:rPr>
                <w:rFonts w:cstheme="minorHAnsi"/>
                <w:b/>
                <w:bCs/>
                <w:color w:val="000000"/>
              </w:rPr>
              <w:t>List of activities</w:t>
            </w:r>
          </w:p>
        </w:tc>
        <w:tc>
          <w:tcPr>
            <w:tcW w:w="12600" w:type="dxa"/>
          </w:tcPr>
          <w:p w14:paraId="28324177" w14:textId="77777777" w:rsidR="00051B91" w:rsidRPr="002C2C75" w:rsidRDefault="00051B91" w:rsidP="00051B91">
            <w:pPr>
              <w:numPr>
                <w:ilvl w:val="0"/>
                <w:numId w:val="61"/>
              </w:numPr>
              <w:spacing w:after="0" w:line="264" w:lineRule="auto"/>
              <w:rPr>
                <w:rFonts w:cstheme="minorHAnsi"/>
                <w:color w:val="000000"/>
              </w:rPr>
            </w:pPr>
            <w:r w:rsidRPr="002C2C75">
              <w:rPr>
                <w:rFonts w:cstheme="minorHAnsi"/>
                <w:color w:val="000000"/>
              </w:rPr>
              <w:t>Alignment Facility-based staffing standards (core teams) to the Essential Health Services Package for Rural Health Centers Type 1 and 2, Urban Health Centers Type A,B,C and District Hospitals</w:t>
            </w:r>
          </w:p>
          <w:p w14:paraId="1D605674" w14:textId="77777777" w:rsidR="00051B91" w:rsidRDefault="00051B91" w:rsidP="00051B91">
            <w:pPr>
              <w:numPr>
                <w:ilvl w:val="0"/>
                <w:numId w:val="61"/>
              </w:numPr>
              <w:spacing w:after="0" w:line="264" w:lineRule="auto"/>
              <w:rPr>
                <w:rFonts w:cstheme="minorHAnsi"/>
                <w:color w:val="000000"/>
              </w:rPr>
            </w:pPr>
            <w:r w:rsidRPr="002C2C75">
              <w:rPr>
                <w:rFonts w:cstheme="minorHAnsi"/>
                <w:color w:val="000000"/>
              </w:rPr>
              <w:t>Conduct a WISN study and develop the respective tool to project staffing needs based on workload and</w:t>
            </w:r>
          </w:p>
          <w:p w14:paraId="4278E5CC" w14:textId="5F9CCC8E" w:rsidR="00051B91" w:rsidRPr="00051B91" w:rsidRDefault="00051B91" w:rsidP="00051B91">
            <w:pPr>
              <w:numPr>
                <w:ilvl w:val="0"/>
                <w:numId w:val="61"/>
              </w:numPr>
              <w:spacing w:after="0" w:line="264" w:lineRule="auto"/>
              <w:rPr>
                <w:rFonts w:cstheme="minorHAnsi"/>
                <w:color w:val="000000"/>
              </w:rPr>
            </w:pPr>
            <w:r w:rsidRPr="00051B91">
              <w:rPr>
                <w:rFonts w:cstheme="minorHAnsi"/>
                <w:color w:val="000000"/>
              </w:rPr>
              <w:t>Develop SOP for projecting HRH needs using core health team and WISN tools</w:t>
            </w:r>
          </w:p>
        </w:tc>
      </w:tr>
      <w:tr w:rsidR="00051B91" w:rsidRPr="002C2C75" w14:paraId="5C26A78D" w14:textId="77777777" w:rsidTr="00E74D8B">
        <w:trPr>
          <w:gridAfter w:val="1"/>
          <w:wAfter w:w="68" w:type="dxa"/>
          <w:cantSplit/>
        </w:trPr>
        <w:tc>
          <w:tcPr>
            <w:tcW w:w="2605" w:type="dxa"/>
            <w:gridSpan w:val="2"/>
          </w:tcPr>
          <w:p w14:paraId="373DBA50" w14:textId="77777777" w:rsidR="00051B91" w:rsidRPr="00051B91" w:rsidRDefault="00051B91" w:rsidP="00051B91">
            <w:pPr>
              <w:pBdr>
                <w:top w:val="nil"/>
                <w:left w:val="nil"/>
                <w:bottom w:val="nil"/>
                <w:right w:val="nil"/>
                <w:between w:val="nil"/>
              </w:pBdr>
              <w:spacing w:line="264" w:lineRule="auto"/>
              <w:rPr>
                <w:rFonts w:cstheme="minorHAnsi"/>
                <w:b/>
                <w:bCs/>
                <w:color w:val="000000"/>
              </w:rPr>
            </w:pPr>
            <w:r w:rsidRPr="00051B91">
              <w:rPr>
                <w:rFonts w:cstheme="minorHAnsi"/>
                <w:b/>
                <w:bCs/>
                <w:color w:val="000000"/>
              </w:rPr>
              <w:t>Amount requested</w:t>
            </w:r>
          </w:p>
        </w:tc>
        <w:tc>
          <w:tcPr>
            <w:tcW w:w="12600" w:type="dxa"/>
          </w:tcPr>
          <w:p w14:paraId="56217231" w14:textId="1CF6EFAC" w:rsidR="00051B91" w:rsidRPr="002C2C75" w:rsidRDefault="00051B91" w:rsidP="00051B91">
            <w:pPr>
              <w:pBdr>
                <w:top w:val="nil"/>
                <w:left w:val="nil"/>
                <w:bottom w:val="nil"/>
                <w:right w:val="nil"/>
                <w:between w:val="nil"/>
              </w:pBdr>
              <w:spacing w:line="264" w:lineRule="auto"/>
              <w:rPr>
                <w:rFonts w:cstheme="minorHAnsi"/>
                <w:b/>
                <w:bCs/>
                <w:color w:val="000000"/>
              </w:rPr>
            </w:pPr>
            <w:r w:rsidRPr="002C2C75">
              <w:rPr>
                <w:rFonts w:cstheme="minorHAnsi"/>
                <w:b/>
                <w:bCs/>
                <w:color w:val="000000"/>
              </w:rPr>
              <w:t>Within allocation: $2,950,283</w:t>
            </w:r>
          </w:p>
        </w:tc>
      </w:tr>
      <w:tr w:rsidR="00051B91" w:rsidRPr="002C2C75" w14:paraId="69006F77" w14:textId="77777777" w:rsidTr="00E74D8B">
        <w:trPr>
          <w:gridAfter w:val="1"/>
          <w:wAfter w:w="68" w:type="dxa"/>
          <w:cantSplit/>
        </w:trPr>
        <w:tc>
          <w:tcPr>
            <w:tcW w:w="2605" w:type="dxa"/>
            <w:gridSpan w:val="2"/>
          </w:tcPr>
          <w:p w14:paraId="035A1B3A" w14:textId="4A473EAC" w:rsidR="00365D5A" w:rsidRPr="00051B91" w:rsidRDefault="00051B91" w:rsidP="00051B91">
            <w:pPr>
              <w:pBdr>
                <w:top w:val="nil"/>
                <w:left w:val="nil"/>
                <w:bottom w:val="nil"/>
                <w:right w:val="nil"/>
                <w:between w:val="nil"/>
              </w:pBdr>
              <w:spacing w:line="264" w:lineRule="auto"/>
              <w:rPr>
                <w:rFonts w:cstheme="minorHAnsi"/>
                <w:b/>
                <w:bCs/>
                <w:color w:val="000000"/>
              </w:rPr>
            </w:pPr>
            <w:r w:rsidRPr="00051B91">
              <w:rPr>
                <w:rFonts w:cstheme="minorHAnsi"/>
                <w:b/>
                <w:bCs/>
                <w:color w:val="000000"/>
              </w:rPr>
              <w:t>Expected outcome</w:t>
            </w:r>
          </w:p>
        </w:tc>
        <w:tc>
          <w:tcPr>
            <w:tcW w:w="12600" w:type="dxa"/>
          </w:tcPr>
          <w:p w14:paraId="687390E6" w14:textId="77777777" w:rsidR="00051B91" w:rsidRDefault="00051B91" w:rsidP="00051B91">
            <w:pPr>
              <w:numPr>
                <w:ilvl w:val="0"/>
                <w:numId w:val="61"/>
              </w:numPr>
              <w:spacing w:after="0" w:line="264" w:lineRule="auto"/>
              <w:rPr>
                <w:rFonts w:cstheme="minorHAnsi"/>
                <w:color w:val="000000"/>
              </w:rPr>
            </w:pPr>
            <w:r w:rsidRPr="002C2C75">
              <w:rPr>
                <w:rFonts w:cstheme="minorHAnsi"/>
                <w:color w:val="000000"/>
              </w:rPr>
              <w:t>Improved planning of HRH resource needs</w:t>
            </w:r>
          </w:p>
          <w:p w14:paraId="32D3235D" w14:textId="68784172" w:rsidR="00051B91" w:rsidRPr="00051B91" w:rsidRDefault="00051B91" w:rsidP="00051B91">
            <w:pPr>
              <w:numPr>
                <w:ilvl w:val="0"/>
                <w:numId w:val="61"/>
              </w:numPr>
              <w:spacing w:after="0" w:line="264" w:lineRule="auto"/>
              <w:rPr>
                <w:rFonts w:cstheme="minorHAnsi"/>
                <w:color w:val="000000"/>
              </w:rPr>
            </w:pPr>
            <w:r w:rsidRPr="00051B91">
              <w:rPr>
                <w:rFonts w:cstheme="minorHAnsi"/>
                <w:color w:val="000000"/>
              </w:rPr>
              <w:t>Reduced inequities in the distribution/allocation of HRH at all levels, including the community</w:t>
            </w:r>
            <w:sdt>
              <w:sdtPr>
                <w:rPr>
                  <w:rFonts w:cstheme="minorHAnsi"/>
                </w:rPr>
                <w:tag w:val="goog_rdk_174"/>
                <w:id w:val="2085254493"/>
              </w:sdtPr>
              <w:sdtContent/>
            </w:sdt>
          </w:p>
        </w:tc>
      </w:tr>
      <w:tr w:rsidR="00051B91" w:rsidRPr="002C2C75" w14:paraId="464FF124" w14:textId="77777777" w:rsidTr="00E74D8B">
        <w:trPr>
          <w:gridAfter w:val="1"/>
          <w:wAfter w:w="68" w:type="dxa"/>
          <w:cantSplit/>
        </w:trPr>
        <w:tc>
          <w:tcPr>
            <w:tcW w:w="2605" w:type="dxa"/>
            <w:gridSpan w:val="2"/>
          </w:tcPr>
          <w:p w14:paraId="6C6220F5" w14:textId="48EF67F0" w:rsidR="00051B91" w:rsidRPr="00051B91" w:rsidRDefault="00051B91" w:rsidP="00051B91">
            <w:pPr>
              <w:pBdr>
                <w:top w:val="nil"/>
                <w:left w:val="nil"/>
                <w:bottom w:val="nil"/>
                <w:right w:val="nil"/>
                <w:between w:val="nil"/>
              </w:pBdr>
              <w:spacing w:line="264" w:lineRule="auto"/>
              <w:rPr>
                <w:rFonts w:cstheme="minorHAnsi"/>
                <w:b/>
                <w:bCs/>
                <w:color w:val="000000"/>
              </w:rPr>
            </w:pPr>
            <w:r w:rsidRPr="00051B91">
              <w:rPr>
                <w:rFonts w:cstheme="minorHAnsi"/>
                <w:b/>
                <w:bCs/>
                <w:color w:val="000000"/>
              </w:rPr>
              <w:t xml:space="preserve">Intervention(s) </w:t>
            </w:r>
          </w:p>
        </w:tc>
        <w:tc>
          <w:tcPr>
            <w:tcW w:w="12600" w:type="dxa"/>
          </w:tcPr>
          <w:p w14:paraId="4B618749" w14:textId="779A9D0B" w:rsidR="00051B91" w:rsidRPr="00051B91" w:rsidRDefault="00051B91" w:rsidP="00051B91">
            <w:pPr>
              <w:pBdr>
                <w:top w:val="nil"/>
                <w:left w:val="nil"/>
                <w:bottom w:val="nil"/>
                <w:right w:val="nil"/>
                <w:between w:val="nil"/>
              </w:pBdr>
              <w:spacing w:line="264" w:lineRule="auto"/>
              <w:rPr>
                <w:rFonts w:cstheme="minorHAnsi"/>
                <w:color w:val="000000"/>
              </w:rPr>
            </w:pPr>
            <w:r>
              <w:rPr>
                <w:rFonts w:cstheme="minorHAnsi"/>
                <w:b/>
                <w:bCs/>
                <w:color w:val="000000"/>
              </w:rPr>
              <w:t xml:space="preserve">Intervention: </w:t>
            </w:r>
            <w:r w:rsidRPr="00051B91">
              <w:rPr>
                <w:rFonts w:cstheme="minorHAnsi"/>
                <w:color w:val="000000"/>
              </w:rPr>
              <w:t xml:space="preserve">In-service training (excluding community health workers) </w:t>
            </w:r>
          </w:p>
          <w:p w14:paraId="0B974C1F" w14:textId="210C80E1" w:rsidR="00051B91" w:rsidRPr="002C2C75" w:rsidRDefault="00051B91" w:rsidP="00051B91">
            <w:pPr>
              <w:pBdr>
                <w:top w:val="nil"/>
                <w:left w:val="nil"/>
                <w:bottom w:val="nil"/>
                <w:right w:val="nil"/>
                <w:between w:val="nil"/>
              </w:pBdr>
              <w:spacing w:line="264" w:lineRule="auto"/>
              <w:rPr>
                <w:rFonts w:cstheme="minorHAnsi"/>
                <w:color w:val="000000"/>
              </w:rPr>
            </w:pPr>
            <w:r w:rsidRPr="00051B91">
              <w:rPr>
                <w:rFonts w:cstheme="minorHAnsi"/>
                <w:color w:val="000000"/>
              </w:rPr>
              <w:t>Change in Pro</w:t>
            </w:r>
            <w:r w:rsidRPr="002C2C75">
              <w:rPr>
                <w:rFonts w:cstheme="minorHAnsi"/>
                <w:color w:val="000000"/>
              </w:rPr>
              <w:t xml:space="preserve">gramming from current grant: </w:t>
            </w:r>
            <w:r w:rsidRPr="002C2C75">
              <w:rPr>
                <w:rFonts w:ascii="Segoe UI Symbol" w:eastAsia="MS Gothic" w:hAnsi="Segoe UI Symbol" w:cs="Segoe UI Symbol"/>
                <w:color w:val="000000"/>
              </w:rPr>
              <w:t>☐</w:t>
            </w:r>
            <w:r w:rsidRPr="002C2C75">
              <w:rPr>
                <w:rFonts w:cstheme="minorHAnsi"/>
                <w:color w:val="000000"/>
              </w:rPr>
              <w:t xml:space="preserve"> New, </w:t>
            </w:r>
            <w:r w:rsidRPr="002C2C75">
              <w:rPr>
                <w:rFonts w:ascii="Segoe UI Symbol" w:eastAsia="MS Gothic" w:hAnsi="Segoe UI Symbol" w:cs="Segoe UI Symbol"/>
                <w:color w:val="000000"/>
              </w:rPr>
              <w:t>☐</w:t>
            </w:r>
            <w:r w:rsidRPr="002C2C75">
              <w:rPr>
                <w:rFonts w:cstheme="minorHAnsi"/>
                <w:color w:val="000000"/>
              </w:rPr>
              <w:t xml:space="preserve"> Scale-up, </w:t>
            </w:r>
            <w:r w:rsidRPr="002C2C75">
              <w:rPr>
                <w:rFonts w:ascii="Segoe UI Symbol" w:eastAsia="MS Gothic" w:hAnsi="Segoe UI Symbol" w:cs="Segoe UI Symbol"/>
                <w:color w:val="000000"/>
              </w:rPr>
              <w:t>☒</w:t>
            </w:r>
            <w:r w:rsidRPr="002C2C75">
              <w:rPr>
                <w:rFonts w:cstheme="minorHAnsi"/>
                <w:color w:val="000000"/>
              </w:rPr>
              <w:t xml:space="preserve"> Continuation, or </w:t>
            </w:r>
            <w:r w:rsidRPr="002C2C75">
              <w:rPr>
                <w:rFonts w:ascii="Segoe UI Symbol" w:eastAsia="MS Gothic" w:hAnsi="Segoe UI Symbol" w:cs="Segoe UI Symbol"/>
                <w:color w:val="000000"/>
              </w:rPr>
              <w:t>☐</w:t>
            </w:r>
            <w:r w:rsidRPr="002C2C75">
              <w:rPr>
                <w:rFonts w:cstheme="minorHAnsi"/>
                <w:color w:val="000000"/>
              </w:rPr>
              <w:t xml:space="preserve"> Scale-down</w:t>
            </w:r>
          </w:p>
        </w:tc>
      </w:tr>
      <w:tr w:rsidR="00036B0D" w:rsidRPr="002C2C75" w14:paraId="3E177033" w14:textId="77777777" w:rsidTr="00E74D8B">
        <w:trPr>
          <w:gridAfter w:val="1"/>
          <w:wAfter w:w="68" w:type="dxa"/>
          <w:cantSplit/>
        </w:trPr>
        <w:tc>
          <w:tcPr>
            <w:tcW w:w="2605" w:type="dxa"/>
            <w:gridSpan w:val="2"/>
          </w:tcPr>
          <w:p w14:paraId="2B0DC062" w14:textId="0293C333" w:rsidR="00036B0D" w:rsidRPr="00051B91" w:rsidRDefault="00036B0D" w:rsidP="00051B91">
            <w:pPr>
              <w:pBdr>
                <w:top w:val="nil"/>
                <w:left w:val="nil"/>
                <w:bottom w:val="nil"/>
                <w:right w:val="nil"/>
                <w:between w:val="nil"/>
              </w:pBdr>
              <w:spacing w:line="264" w:lineRule="auto"/>
              <w:rPr>
                <w:rFonts w:cstheme="minorHAnsi"/>
                <w:b/>
                <w:bCs/>
                <w:color w:val="000000"/>
              </w:rPr>
            </w:pPr>
            <w:r w:rsidRPr="00051B91">
              <w:rPr>
                <w:rFonts w:cstheme="minorHAnsi"/>
                <w:b/>
                <w:bCs/>
                <w:color w:val="000000"/>
              </w:rPr>
              <w:t>Population, geographies and/or barriers addressed</w:t>
            </w:r>
          </w:p>
        </w:tc>
        <w:tc>
          <w:tcPr>
            <w:tcW w:w="12600" w:type="dxa"/>
          </w:tcPr>
          <w:p w14:paraId="4A910EA4" w14:textId="77777777" w:rsidR="00036B0D" w:rsidRPr="00A47BE5" w:rsidRDefault="00036B0D" w:rsidP="00036B0D">
            <w:pPr>
              <w:pBdr>
                <w:top w:val="nil"/>
                <w:left w:val="nil"/>
                <w:bottom w:val="nil"/>
                <w:right w:val="nil"/>
                <w:between w:val="nil"/>
              </w:pBdr>
              <w:spacing w:line="264" w:lineRule="auto"/>
              <w:jc w:val="both"/>
              <w:rPr>
                <w:rFonts w:cstheme="minorHAnsi"/>
                <w:color w:val="000000"/>
              </w:rPr>
            </w:pPr>
            <w:r w:rsidRPr="00A47BE5">
              <w:rPr>
                <w:rFonts w:cstheme="minorHAnsi"/>
                <w:color w:val="000000"/>
              </w:rPr>
              <w:t xml:space="preserve">The traditional way of face-to-face in-service training to improve staff performance implies frequent absences from their workplace and consequent negative impact on the provision of health services. Also, this approach entails high logistical costs to gather professionals and keep them continuously updated in a context of rapid evolution of knowledge, especially in HIV, Tuberculosis and Malaria programmes. For this reason, the sector has invested in innovative HR approaches to in-service training such as the use of a Telehealth platform that allows distance learning and real-time refreshment of health professionals’ skills. These interventions are not supported by a clear strategic vision and legislation to guide their effective development. Thus, with technical support from Jhpiego and the CDC the training sector intends to develop a Telehealth strategy. To this end, a working group has been established and is currently developing the TOR for developing the strategy. This strategy will focus on teleconsultation (between professionals) and telementoring to improve the quality of care, telediagnostics to improve access to diagnostic support for populations living in periphery areas, and tele-education to improve access to in-service training (as well as to reduce staff absence from the workplace and reduce costs).    In parallel with the development of the strategy and associated policies, the sector intends to expand the availability of in-service training packages via tele-education. This includes both primarily the transformation of presential training courses to virtual courses and the development of new courses such as those focused on building the capacity of CHW. Content is transformed to online interactive self-learning packages, which include instructional videos, animations, narrative text, automatic testing and correction. This is done in collaboration with the relevant programs. </w:t>
            </w:r>
          </w:p>
          <w:p w14:paraId="3A859BC5" w14:textId="77777777" w:rsidR="00036B0D" w:rsidRDefault="00036B0D" w:rsidP="00036B0D">
            <w:pPr>
              <w:pBdr>
                <w:top w:val="nil"/>
                <w:left w:val="nil"/>
                <w:bottom w:val="nil"/>
                <w:right w:val="nil"/>
                <w:between w:val="nil"/>
              </w:pBdr>
              <w:spacing w:line="264" w:lineRule="auto"/>
              <w:jc w:val="both"/>
              <w:rPr>
                <w:rFonts w:cstheme="minorHAnsi"/>
                <w:color w:val="000000"/>
              </w:rPr>
            </w:pPr>
            <w:r w:rsidRPr="00A47BE5">
              <w:rPr>
                <w:rFonts w:cstheme="minorHAnsi"/>
                <w:color w:val="000000"/>
              </w:rPr>
              <w:t>To reinforce and institutionalize the teleconsultation service, the department intends to transfer responsibility from the partners (I-TECH) physicians to physicians in the NHS. This will include virtual monitoring and management functions, which will allow providers to provide services from their workplaces.</w:t>
            </w:r>
          </w:p>
          <w:p w14:paraId="7D0DB32D" w14:textId="77777777" w:rsidR="00036B0D" w:rsidRPr="00A47BE5" w:rsidRDefault="00036B0D" w:rsidP="00036B0D">
            <w:pPr>
              <w:pBdr>
                <w:top w:val="nil"/>
                <w:left w:val="nil"/>
                <w:bottom w:val="nil"/>
                <w:right w:val="nil"/>
                <w:between w:val="nil"/>
              </w:pBdr>
              <w:spacing w:line="264" w:lineRule="auto"/>
              <w:jc w:val="both"/>
              <w:rPr>
                <w:rFonts w:cstheme="minorHAnsi"/>
                <w:color w:val="000000"/>
              </w:rPr>
            </w:pPr>
            <w:r w:rsidRPr="00A47BE5">
              <w:rPr>
                <w:rFonts w:cstheme="minorHAnsi"/>
                <w:color w:val="000000"/>
              </w:rPr>
              <w:t>Finally the sector will develop a telementoring plan appropriate for facility based health workers and CHW. It is expected that this will serve not only to improve quality in itself but also to stimulate demand for health consultation service</w:t>
            </w:r>
          </w:p>
          <w:p w14:paraId="499A435F" w14:textId="5F7F87B2" w:rsidR="00036B0D" w:rsidRPr="00036B0D" w:rsidRDefault="00036B0D" w:rsidP="00036B0D">
            <w:pPr>
              <w:pBdr>
                <w:top w:val="nil"/>
                <w:left w:val="nil"/>
                <w:bottom w:val="nil"/>
                <w:right w:val="nil"/>
                <w:between w:val="nil"/>
              </w:pBdr>
              <w:spacing w:line="264" w:lineRule="auto"/>
              <w:jc w:val="both"/>
              <w:rPr>
                <w:rFonts w:cstheme="minorHAnsi"/>
                <w:color w:val="000000"/>
              </w:rPr>
            </w:pPr>
          </w:p>
        </w:tc>
      </w:tr>
      <w:tr w:rsidR="00051B91" w:rsidRPr="002C2C75" w14:paraId="041FF0DE" w14:textId="77777777" w:rsidTr="00E74D8B">
        <w:trPr>
          <w:gridAfter w:val="1"/>
          <w:wAfter w:w="68" w:type="dxa"/>
          <w:cantSplit/>
        </w:trPr>
        <w:tc>
          <w:tcPr>
            <w:tcW w:w="2605" w:type="dxa"/>
            <w:gridSpan w:val="2"/>
          </w:tcPr>
          <w:p w14:paraId="03E2CE8B" w14:textId="30929610" w:rsidR="00051B91" w:rsidRPr="00051B91" w:rsidRDefault="00051B91" w:rsidP="00051B91">
            <w:pPr>
              <w:pBdr>
                <w:top w:val="nil"/>
                <w:left w:val="nil"/>
                <w:bottom w:val="nil"/>
                <w:right w:val="nil"/>
                <w:between w:val="nil"/>
              </w:pBdr>
              <w:spacing w:line="264" w:lineRule="auto"/>
              <w:rPr>
                <w:rFonts w:cstheme="minorHAnsi"/>
                <w:b/>
                <w:bCs/>
                <w:color w:val="000000"/>
              </w:rPr>
            </w:pPr>
          </w:p>
        </w:tc>
        <w:tc>
          <w:tcPr>
            <w:tcW w:w="12600" w:type="dxa"/>
          </w:tcPr>
          <w:p w14:paraId="5B9527AD" w14:textId="181C4450" w:rsidR="00051B91" w:rsidRPr="002C2C75" w:rsidRDefault="00A47BE5" w:rsidP="00A47BE5">
            <w:pPr>
              <w:pBdr>
                <w:top w:val="nil"/>
                <w:left w:val="nil"/>
                <w:bottom w:val="nil"/>
                <w:right w:val="nil"/>
                <w:between w:val="nil"/>
              </w:pBdr>
              <w:spacing w:line="264" w:lineRule="auto"/>
              <w:jc w:val="both"/>
              <w:rPr>
                <w:rFonts w:cstheme="minorHAnsi"/>
                <w:color w:val="000000"/>
              </w:rPr>
            </w:pPr>
            <w:r w:rsidRPr="00A47BE5">
              <w:rPr>
                <w:rFonts w:cstheme="minorHAnsi"/>
                <w:color w:val="000000"/>
              </w:rPr>
              <w:t>Given the limited availability of administrative staff, the management bodies of the National Health Service (SNS) are, to a large extent, composed of health professionals who are not familiar with the principles of management and administration of health services. Thus, to remedy this situation, the training sector will design and implement a management and leadership training package for NHS managers at various levels to improve the management of the available scarce resources to the health sector.</w:t>
            </w:r>
          </w:p>
        </w:tc>
      </w:tr>
      <w:tr w:rsidR="00051B91" w:rsidRPr="002C2C75" w14:paraId="44462414" w14:textId="77777777" w:rsidTr="00E74D8B">
        <w:trPr>
          <w:gridAfter w:val="1"/>
          <w:wAfter w:w="68" w:type="dxa"/>
          <w:cantSplit/>
        </w:trPr>
        <w:tc>
          <w:tcPr>
            <w:tcW w:w="2605" w:type="dxa"/>
            <w:gridSpan w:val="2"/>
          </w:tcPr>
          <w:p w14:paraId="58682008" w14:textId="4F7FD209" w:rsidR="00051B91" w:rsidRPr="00051B91" w:rsidRDefault="00051B91" w:rsidP="00051B91">
            <w:pPr>
              <w:pBdr>
                <w:top w:val="nil"/>
                <w:left w:val="nil"/>
                <w:bottom w:val="nil"/>
                <w:right w:val="nil"/>
                <w:between w:val="nil"/>
              </w:pBdr>
              <w:spacing w:line="264" w:lineRule="auto"/>
              <w:rPr>
                <w:rFonts w:cstheme="minorHAnsi"/>
                <w:b/>
                <w:bCs/>
                <w:color w:val="000000"/>
              </w:rPr>
            </w:pPr>
            <w:r w:rsidRPr="00051B91">
              <w:rPr>
                <w:rFonts w:cstheme="minorHAnsi"/>
                <w:b/>
                <w:bCs/>
                <w:color w:val="000000"/>
              </w:rPr>
              <w:t>List of activities</w:t>
            </w:r>
          </w:p>
        </w:tc>
        <w:tc>
          <w:tcPr>
            <w:tcW w:w="12600" w:type="dxa"/>
          </w:tcPr>
          <w:p w14:paraId="4D7F189E" w14:textId="77777777" w:rsidR="00A47BE5" w:rsidRPr="00A47BE5" w:rsidRDefault="00A47BE5" w:rsidP="00A47BE5">
            <w:pPr>
              <w:numPr>
                <w:ilvl w:val="0"/>
                <w:numId w:val="61"/>
              </w:numPr>
              <w:pBdr>
                <w:top w:val="nil"/>
                <w:left w:val="nil"/>
                <w:bottom w:val="nil"/>
                <w:right w:val="nil"/>
                <w:between w:val="nil"/>
              </w:pBdr>
              <w:spacing w:after="0" w:line="264" w:lineRule="auto"/>
              <w:rPr>
                <w:rFonts w:cstheme="minorHAnsi"/>
                <w:color w:val="000000"/>
              </w:rPr>
            </w:pPr>
            <w:r w:rsidRPr="00A47BE5">
              <w:rPr>
                <w:rFonts w:cstheme="minorHAnsi"/>
                <w:color w:val="000000"/>
              </w:rPr>
              <w:t>Transformation of 18 existing courses to the tele-education format. This includes technical updating of content  (includes courses in Malaria, TB, and HIV as well as diverse courses related to HSS)</w:t>
            </w:r>
          </w:p>
          <w:p w14:paraId="1FE031FA" w14:textId="77777777" w:rsidR="00A47BE5" w:rsidRPr="00A47BE5" w:rsidRDefault="00A47BE5" w:rsidP="00A47BE5">
            <w:pPr>
              <w:numPr>
                <w:ilvl w:val="0"/>
                <w:numId w:val="61"/>
              </w:numPr>
              <w:pBdr>
                <w:top w:val="nil"/>
                <w:left w:val="nil"/>
                <w:bottom w:val="nil"/>
                <w:right w:val="nil"/>
                <w:between w:val="nil"/>
              </w:pBdr>
              <w:spacing w:after="0" w:line="264" w:lineRule="auto"/>
              <w:rPr>
                <w:rFonts w:cstheme="minorHAnsi"/>
                <w:color w:val="000000"/>
              </w:rPr>
            </w:pPr>
            <w:r w:rsidRPr="00A47BE5">
              <w:rPr>
                <w:rFonts w:cstheme="minorHAnsi"/>
                <w:color w:val="000000"/>
              </w:rPr>
              <w:t>Development of an online telehealth, including teleconsultation monitoring and management system</w:t>
            </w:r>
          </w:p>
          <w:p w14:paraId="76EA0FB8" w14:textId="77777777" w:rsidR="00A47BE5" w:rsidRPr="00A47BE5" w:rsidRDefault="00A47BE5" w:rsidP="00A47BE5">
            <w:pPr>
              <w:numPr>
                <w:ilvl w:val="0"/>
                <w:numId w:val="61"/>
              </w:numPr>
              <w:pBdr>
                <w:top w:val="nil"/>
                <w:left w:val="nil"/>
                <w:bottom w:val="nil"/>
                <w:right w:val="nil"/>
                <w:between w:val="nil"/>
              </w:pBdr>
              <w:spacing w:after="0" w:line="264" w:lineRule="auto"/>
              <w:rPr>
                <w:rFonts w:cstheme="minorHAnsi"/>
                <w:color w:val="000000"/>
              </w:rPr>
            </w:pPr>
            <w:r w:rsidRPr="00A47BE5">
              <w:rPr>
                <w:rFonts w:cstheme="minorHAnsi"/>
                <w:color w:val="000000"/>
              </w:rPr>
              <w:t>Development of a promotion strategy focussing on health workers, social networks, training institutions etc - includes virtual and manual posters and videoclips as well as inclusion in existing fora</w:t>
            </w:r>
          </w:p>
          <w:p w14:paraId="0C6A0620" w14:textId="77777777" w:rsidR="00A47BE5" w:rsidRPr="00A47BE5" w:rsidRDefault="00A47BE5" w:rsidP="00A47BE5">
            <w:pPr>
              <w:numPr>
                <w:ilvl w:val="0"/>
                <w:numId w:val="61"/>
              </w:numPr>
              <w:pBdr>
                <w:top w:val="nil"/>
                <w:left w:val="nil"/>
                <w:bottom w:val="nil"/>
                <w:right w:val="nil"/>
                <w:between w:val="nil"/>
              </w:pBdr>
              <w:spacing w:after="0" w:line="264" w:lineRule="auto"/>
              <w:rPr>
                <w:rFonts w:cstheme="minorHAnsi"/>
                <w:color w:val="000000"/>
              </w:rPr>
            </w:pPr>
            <w:r w:rsidRPr="00A47BE5">
              <w:rPr>
                <w:rFonts w:cstheme="minorHAnsi"/>
                <w:color w:val="000000"/>
              </w:rPr>
              <w:t>Landscape analysis to inform the development of a telehealth, including telementoring strategy and plan for primary care health workers and community  and community health workers, including regulamentation</w:t>
            </w:r>
          </w:p>
          <w:p w14:paraId="5A79ABE7" w14:textId="77777777" w:rsidR="00A47BE5" w:rsidRPr="00A47BE5" w:rsidRDefault="00A47BE5" w:rsidP="00A47BE5">
            <w:pPr>
              <w:numPr>
                <w:ilvl w:val="0"/>
                <w:numId w:val="61"/>
              </w:numPr>
              <w:pBdr>
                <w:top w:val="nil"/>
                <w:left w:val="nil"/>
                <w:bottom w:val="nil"/>
                <w:right w:val="nil"/>
                <w:between w:val="nil"/>
              </w:pBdr>
              <w:spacing w:after="0" w:line="264" w:lineRule="auto"/>
              <w:rPr>
                <w:rFonts w:cstheme="minorHAnsi"/>
                <w:color w:val="000000"/>
              </w:rPr>
            </w:pPr>
            <w:r w:rsidRPr="00A47BE5">
              <w:rPr>
                <w:rFonts w:cstheme="minorHAnsi"/>
                <w:color w:val="000000"/>
              </w:rPr>
              <w:t>Development of an appropriate detailed telementoring plan</w:t>
            </w:r>
          </w:p>
          <w:p w14:paraId="5A77E2D6" w14:textId="08C49231" w:rsidR="00051B91" w:rsidRPr="00051B91" w:rsidRDefault="00A47BE5" w:rsidP="00A47BE5">
            <w:pPr>
              <w:numPr>
                <w:ilvl w:val="0"/>
                <w:numId w:val="61"/>
              </w:numPr>
              <w:pBdr>
                <w:top w:val="nil"/>
                <w:left w:val="nil"/>
                <w:bottom w:val="nil"/>
                <w:right w:val="nil"/>
                <w:between w:val="nil"/>
              </w:pBdr>
              <w:spacing w:after="0" w:line="264" w:lineRule="auto"/>
              <w:rPr>
                <w:rFonts w:cstheme="minorHAnsi"/>
                <w:color w:val="000000"/>
              </w:rPr>
            </w:pPr>
            <w:r w:rsidRPr="00A47BE5">
              <w:rPr>
                <w:rFonts w:cstheme="minorHAnsi"/>
                <w:color w:val="000000"/>
              </w:rPr>
              <w:t>Design and implement a management and leadership training package for NHS managers at various levels</w:t>
            </w:r>
          </w:p>
        </w:tc>
      </w:tr>
      <w:tr w:rsidR="00051B91" w:rsidRPr="002C2C75" w14:paraId="340A420A" w14:textId="77777777" w:rsidTr="00E74D8B">
        <w:trPr>
          <w:gridAfter w:val="1"/>
          <w:wAfter w:w="68" w:type="dxa"/>
          <w:cantSplit/>
        </w:trPr>
        <w:tc>
          <w:tcPr>
            <w:tcW w:w="2605" w:type="dxa"/>
            <w:gridSpan w:val="2"/>
          </w:tcPr>
          <w:p w14:paraId="51E2E22A" w14:textId="77777777" w:rsidR="00051B91" w:rsidRPr="00051B91" w:rsidRDefault="00051B91" w:rsidP="00051B91">
            <w:pPr>
              <w:pBdr>
                <w:top w:val="nil"/>
                <w:left w:val="nil"/>
                <w:bottom w:val="nil"/>
                <w:right w:val="nil"/>
                <w:between w:val="nil"/>
              </w:pBdr>
              <w:spacing w:line="264" w:lineRule="auto"/>
              <w:rPr>
                <w:rFonts w:cstheme="minorHAnsi"/>
                <w:b/>
                <w:bCs/>
                <w:color w:val="000000"/>
              </w:rPr>
            </w:pPr>
            <w:r w:rsidRPr="00051B91">
              <w:rPr>
                <w:rFonts w:cstheme="minorHAnsi"/>
                <w:b/>
                <w:bCs/>
                <w:color w:val="000000"/>
              </w:rPr>
              <w:t>Amount requested</w:t>
            </w:r>
          </w:p>
        </w:tc>
        <w:tc>
          <w:tcPr>
            <w:tcW w:w="12600" w:type="dxa"/>
          </w:tcPr>
          <w:p w14:paraId="080B495E" w14:textId="3977CE99" w:rsidR="00051B91" w:rsidRPr="002C2C75" w:rsidRDefault="00051B91" w:rsidP="00051B91">
            <w:pPr>
              <w:pBdr>
                <w:top w:val="nil"/>
                <w:left w:val="nil"/>
                <w:bottom w:val="nil"/>
                <w:right w:val="nil"/>
                <w:between w:val="nil"/>
              </w:pBdr>
              <w:spacing w:line="264" w:lineRule="auto"/>
              <w:rPr>
                <w:rFonts w:cstheme="minorHAnsi"/>
                <w:b/>
                <w:bCs/>
                <w:color w:val="000000"/>
              </w:rPr>
            </w:pPr>
            <w:r w:rsidRPr="002C2C75">
              <w:rPr>
                <w:rFonts w:cstheme="minorHAnsi"/>
                <w:b/>
                <w:bCs/>
                <w:color w:val="000000"/>
              </w:rPr>
              <w:t>Within allocation: $</w:t>
            </w:r>
            <w:r>
              <w:rPr>
                <w:rFonts w:cstheme="minorHAnsi"/>
                <w:b/>
                <w:bCs/>
                <w:color w:val="000000"/>
              </w:rPr>
              <w:t>507,579</w:t>
            </w:r>
          </w:p>
        </w:tc>
      </w:tr>
      <w:tr w:rsidR="00051B91" w:rsidRPr="002C2C75" w14:paraId="72BDE750" w14:textId="77777777" w:rsidTr="00E74D8B">
        <w:trPr>
          <w:gridAfter w:val="1"/>
          <w:wAfter w:w="68" w:type="dxa"/>
          <w:cantSplit/>
        </w:trPr>
        <w:tc>
          <w:tcPr>
            <w:tcW w:w="2605" w:type="dxa"/>
            <w:gridSpan w:val="2"/>
          </w:tcPr>
          <w:p w14:paraId="54B4B7CF" w14:textId="5D887E9C" w:rsidR="00051B91" w:rsidRPr="00051B91" w:rsidRDefault="00051B91" w:rsidP="00051B91">
            <w:pPr>
              <w:pBdr>
                <w:top w:val="nil"/>
                <w:left w:val="nil"/>
                <w:bottom w:val="nil"/>
                <w:right w:val="nil"/>
                <w:between w:val="nil"/>
              </w:pBdr>
              <w:spacing w:line="264" w:lineRule="auto"/>
              <w:rPr>
                <w:rFonts w:cstheme="minorHAnsi"/>
                <w:b/>
                <w:bCs/>
                <w:color w:val="000000"/>
              </w:rPr>
            </w:pPr>
            <w:r w:rsidRPr="00051B91">
              <w:rPr>
                <w:rFonts w:cstheme="minorHAnsi"/>
                <w:b/>
                <w:bCs/>
                <w:color w:val="000000"/>
              </w:rPr>
              <w:t>Expected outcome</w:t>
            </w:r>
          </w:p>
        </w:tc>
        <w:tc>
          <w:tcPr>
            <w:tcW w:w="12600" w:type="dxa"/>
          </w:tcPr>
          <w:p w14:paraId="515A25E6" w14:textId="77777777" w:rsidR="00051B91" w:rsidRDefault="00051B91" w:rsidP="00051B91">
            <w:pPr>
              <w:numPr>
                <w:ilvl w:val="0"/>
                <w:numId w:val="61"/>
              </w:numPr>
              <w:pBdr>
                <w:top w:val="nil"/>
                <w:left w:val="nil"/>
                <w:bottom w:val="nil"/>
                <w:right w:val="nil"/>
                <w:between w:val="nil"/>
              </w:pBdr>
              <w:spacing w:after="0" w:line="264" w:lineRule="auto"/>
              <w:rPr>
                <w:rFonts w:cstheme="minorHAnsi"/>
                <w:color w:val="000000"/>
              </w:rPr>
            </w:pPr>
            <w:r w:rsidRPr="002C2C75">
              <w:rPr>
                <w:rFonts w:cstheme="minorHAnsi"/>
                <w:color w:val="000000"/>
              </w:rPr>
              <w:t xml:space="preserve">Improved the quality delivery of in-service training activities  </w:t>
            </w:r>
          </w:p>
          <w:p w14:paraId="33FC57B7" w14:textId="022144D4" w:rsidR="00051B91" w:rsidRPr="00051B91" w:rsidRDefault="00051B91" w:rsidP="00051B91">
            <w:pPr>
              <w:numPr>
                <w:ilvl w:val="0"/>
                <w:numId w:val="61"/>
              </w:numPr>
              <w:pBdr>
                <w:top w:val="nil"/>
                <w:left w:val="nil"/>
                <w:bottom w:val="nil"/>
                <w:right w:val="nil"/>
                <w:between w:val="nil"/>
              </w:pBdr>
              <w:spacing w:after="0" w:line="264" w:lineRule="auto"/>
              <w:rPr>
                <w:rFonts w:cstheme="minorHAnsi"/>
                <w:color w:val="000000"/>
              </w:rPr>
            </w:pPr>
            <w:r w:rsidRPr="00051B91">
              <w:rPr>
                <w:rFonts w:cstheme="minorHAnsi"/>
                <w:color w:val="000000"/>
              </w:rPr>
              <w:t>Improved efficiency in the management of health sector resources at all levels</w:t>
            </w:r>
          </w:p>
        </w:tc>
      </w:tr>
      <w:tr w:rsidR="00051B91" w:rsidRPr="002C2C75" w14:paraId="52CFE14D" w14:textId="77777777" w:rsidTr="00E74D8B">
        <w:trPr>
          <w:gridAfter w:val="1"/>
          <w:wAfter w:w="68" w:type="dxa"/>
          <w:cantSplit/>
        </w:trPr>
        <w:tc>
          <w:tcPr>
            <w:tcW w:w="2605" w:type="dxa"/>
            <w:gridSpan w:val="2"/>
          </w:tcPr>
          <w:p w14:paraId="13866904" w14:textId="7CC1650D" w:rsidR="00051B91" w:rsidRPr="00051B91" w:rsidRDefault="00051B91" w:rsidP="00051B91">
            <w:pPr>
              <w:pBdr>
                <w:top w:val="nil"/>
                <w:left w:val="nil"/>
                <w:bottom w:val="nil"/>
                <w:right w:val="nil"/>
                <w:between w:val="nil"/>
              </w:pBdr>
              <w:spacing w:line="264" w:lineRule="auto"/>
              <w:rPr>
                <w:rFonts w:cstheme="minorHAnsi"/>
                <w:b/>
                <w:bCs/>
                <w:color w:val="000000"/>
              </w:rPr>
            </w:pPr>
            <w:r w:rsidRPr="00051B91">
              <w:rPr>
                <w:rFonts w:cstheme="minorHAnsi"/>
                <w:b/>
                <w:bCs/>
                <w:color w:val="000000"/>
              </w:rPr>
              <w:t>Intervention(s)</w:t>
            </w:r>
          </w:p>
        </w:tc>
        <w:tc>
          <w:tcPr>
            <w:tcW w:w="12600" w:type="dxa"/>
          </w:tcPr>
          <w:p w14:paraId="013BF064" w14:textId="1CCEF8AC" w:rsidR="00051B91" w:rsidRPr="002C2C75" w:rsidRDefault="00051B91" w:rsidP="00051B91">
            <w:pPr>
              <w:pBdr>
                <w:top w:val="nil"/>
                <w:left w:val="nil"/>
                <w:bottom w:val="nil"/>
                <w:right w:val="nil"/>
                <w:between w:val="nil"/>
              </w:pBdr>
              <w:spacing w:line="264" w:lineRule="auto"/>
              <w:rPr>
                <w:rFonts w:cstheme="minorHAnsi"/>
                <w:color w:val="000000"/>
              </w:rPr>
            </w:pPr>
            <w:r>
              <w:rPr>
                <w:rFonts w:cstheme="minorHAnsi"/>
                <w:b/>
                <w:bCs/>
                <w:color w:val="000000"/>
              </w:rPr>
              <w:t xml:space="preserve">Intervention: </w:t>
            </w:r>
            <w:r w:rsidRPr="002C2C75">
              <w:rPr>
                <w:rFonts w:cstheme="minorHAnsi"/>
                <w:color w:val="000000"/>
              </w:rPr>
              <w:t xml:space="preserve">Integrated supportive supervision for health workers (excluding CHWs) </w:t>
            </w:r>
          </w:p>
          <w:p w14:paraId="26778902" w14:textId="5C2FFB9B" w:rsidR="00051B91" w:rsidRPr="002C2C75" w:rsidRDefault="00051B91" w:rsidP="00051B91">
            <w:pPr>
              <w:pBdr>
                <w:top w:val="nil"/>
                <w:left w:val="nil"/>
                <w:bottom w:val="nil"/>
                <w:right w:val="nil"/>
                <w:between w:val="nil"/>
              </w:pBdr>
              <w:spacing w:line="264" w:lineRule="auto"/>
              <w:rPr>
                <w:rFonts w:cstheme="minorHAnsi"/>
                <w:color w:val="000000"/>
              </w:rPr>
            </w:pPr>
            <w:r w:rsidRPr="002C2C75">
              <w:rPr>
                <w:rFonts w:cstheme="minorHAnsi"/>
                <w:color w:val="000000"/>
              </w:rPr>
              <w:t xml:space="preserve">Change in Programming from current grant: </w:t>
            </w:r>
            <w:r w:rsidRPr="002C2C75">
              <w:rPr>
                <w:rFonts w:ascii="Segoe UI Symbol" w:eastAsia="MS Gothic" w:hAnsi="Segoe UI Symbol" w:cs="Segoe UI Symbol"/>
                <w:color w:val="000000"/>
              </w:rPr>
              <w:t>☒</w:t>
            </w:r>
            <w:r w:rsidRPr="002C2C75">
              <w:rPr>
                <w:rFonts w:cstheme="minorHAnsi"/>
                <w:color w:val="000000"/>
              </w:rPr>
              <w:t xml:space="preserve"> New, </w:t>
            </w:r>
            <w:r w:rsidRPr="002C2C75">
              <w:rPr>
                <w:rFonts w:ascii="Segoe UI Symbol" w:eastAsia="MS Gothic" w:hAnsi="Segoe UI Symbol" w:cs="Segoe UI Symbol"/>
                <w:color w:val="000000"/>
              </w:rPr>
              <w:t>☐</w:t>
            </w:r>
            <w:r w:rsidRPr="002C2C75">
              <w:rPr>
                <w:rFonts w:cstheme="minorHAnsi"/>
                <w:color w:val="000000"/>
              </w:rPr>
              <w:t xml:space="preserve"> Scale-up, </w:t>
            </w:r>
            <w:r w:rsidRPr="002C2C75">
              <w:rPr>
                <w:rFonts w:ascii="Segoe UI Symbol" w:eastAsia="MS Gothic" w:hAnsi="Segoe UI Symbol" w:cs="Segoe UI Symbol"/>
                <w:color w:val="000000"/>
              </w:rPr>
              <w:t>☐</w:t>
            </w:r>
            <w:r w:rsidRPr="002C2C75">
              <w:rPr>
                <w:rFonts w:cstheme="minorHAnsi"/>
                <w:color w:val="000000"/>
              </w:rPr>
              <w:t xml:space="preserve"> Continuation, or </w:t>
            </w:r>
            <w:r w:rsidRPr="002C2C75">
              <w:rPr>
                <w:rFonts w:ascii="Segoe UI Symbol" w:eastAsia="MS Gothic" w:hAnsi="Segoe UI Symbol" w:cs="Segoe UI Symbol"/>
                <w:color w:val="000000"/>
              </w:rPr>
              <w:t>☐</w:t>
            </w:r>
            <w:r w:rsidRPr="002C2C75">
              <w:rPr>
                <w:rFonts w:cstheme="minorHAnsi"/>
                <w:color w:val="000000"/>
              </w:rPr>
              <w:t xml:space="preserve"> Scale-down</w:t>
            </w:r>
          </w:p>
        </w:tc>
      </w:tr>
      <w:tr w:rsidR="00051B91" w:rsidRPr="002C2C75" w14:paraId="67AE97EE" w14:textId="77777777" w:rsidTr="00E74D8B">
        <w:trPr>
          <w:gridAfter w:val="1"/>
          <w:wAfter w:w="68" w:type="dxa"/>
          <w:cantSplit/>
        </w:trPr>
        <w:tc>
          <w:tcPr>
            <w:tcW w:w="2605" w:type="dxa"/>
            <w:gridSpan w:val="2"/>
          </w:tcPr>
          <w:p w14:paraId="0C031D12" w14:textId="77777777" w:rsidR="00051B91" w:rsidRPr="00051B91" w:rsidRDefault="00051B91" w:rsidP="00051B91">
            <w:pPr>
              <w:pBdr>
                <w:top w:val="nil"/>
                <w:left w:val="nil"/>
                <w:bottom w:val="nil"/>
                <w:right w:val="nil"/>
                <w:between w:val="nil"/>
              </w:pBdr>
              <w:spacing w:line="264" w:lineRule="auto"/>
              <w:rPr>
                <w:rFonts w:cstheme="minorHAnsi"/>
                <w:b/>
                <w:bCs/>
                <w:color w:val="000000"/>
              </w:rPr>
            </w:pPr>
            <w:r w:rsidRPr="00051B91">
              <w:rPr>
                <w:rFonts w:cstheme="minorHAnsi"/>
                <w:b/>
                <w:bCs/>
                <w:color w:val="000000"/>
              </w:rPr>
              <w:t>Population, geographies and/or barriers addressed</w:t>
            </w:r>
          </w:p>
        </w:tc>
        <w:tc>
          <w:tcPr>
            <w:tcW w:w="12600" w:type="dxa"/>
          </w:tcPr>
          <w:p w14:paraId="1B11C2E3" w14:textId="77777777" w:rsidR="00A47BE5" w:rsidRPr="00A47BE5" w:rsidRDefault="00A47BE5" w:rsidP="00A47BE5">
            <w:pPr>
              <w:pBdr>
                <w:top w:val="nil"/>
                <w:left w:val="nil"/>
                <w:bottom w:val="nil"/>
                <w:right w:val="nil"/>
                <w:between w:val="nil"/>
              </w:pBdr>
              <w:spacing w:line="264" w:lineRule="auto"/>
              <w:jc w:val="both"/>
              <w:rPr>
                <w:rFonts w:cstheme="minorHAnsi"/>
                <w:color w:val="000000"/>
              </w:rPr>
            </w:pPr>
            <w:r w:rsidRPr="00A47BE5">
              <w:rPr>
                <w:rFonts w:cstheme="minorHAnsi"/>
                <w:color w:val="000000"/>
              </w:rPr>
              <w:t>The vertical approach to supervision of health service providers is a programmatic challenge that directly affects health service performance, as it entails high costs, reduces the availability of health professionals in the HFs, among other challenges. Thus, the sector intends to reorganize this activity through the elaboration of a supervision guide to be implemented at the various levels of health care provision by purposely-trained supervisors. The objective of integrated supervision is to guarantee the monitoring of the execution of the activities of the health programs in general according to the plan and to detect practical difficulties and guide in-service training, for the improvement of the quality in the provision of health services in all areas and with special attention to the primary network. The intention is to form a team at the central and local levels to ensure supervision of the health units of the National Health Service, with a focus on the primary network and to avoid the fragmentation of supervision.</w:t>
            </w:r>
          </w:p>
          <w:p w14:paraId="2A67B59A" w14:textId="08D475D1" w:rsidR="00051B91" w:rsidRPr="002C2C75" w:rsidRDefault="00A47BE5" w:rsidP="00A47BE5">
            <w:pPr>
              <w:pBdr>
                <w:top w:val="nil"/>
                <w:left w:val="nil"/>
                <w:bottom w:val="nil"/>
                <w:right w:val="nil"/>
                <w:between w:val="nil"/>
              </w:pBdr>
              <w:spacing w:line="264" w:lineRule="auto"/>
              <w:jc w:val="both"/>
              <w:rPr>
                <w:rFonts w:cstheme="minorHAnsi"/>
                <w:color w:val="000000"/>
              </w:rPr>
            </w:pPr>
            <w:r w:rsidRPr="00A47BE5">
              <w:rPr>
                <w:rFonts w:cstheme="minorHAnsi"/>
                <w:color w:val="000000"/>
              </w:rPr>
              <w:t>For the elaboration of the Integrated Supervision Guide, a technical Assistance service will be contracted and will have the support of the WHO to guarantee the inclusion of good regional/international practices and all programs will be involved.</w:t>
            </w:r>
          </w:p>
        </w:tc>
      </w:tr>
      <w:tr w:rsidR="00051B91" w:rsidRPr="002C2C75" w14:paraId="3637AAA0" w14:textId="77777777" w:rsidTr="00E74D8B">
        <w:trPr>
          <w:gridAfter w:val="1"/>
          <w:wAfter w:w="68" w:type="dxa"/>
          <w:cantSplit/>
        </w:trPr>
        <w:tc>
          <w:tcPr>
            <w:tcW w:w="2605" w:type="dxa"/>
            <w:gridSpan w:val="2"/>
          </w:tcPr>
          <w:p w14:paraId="30076E23" w14:textId="32B7A4A0" w:rsidR="00051B91" w:rsidRPr="00051B91" w:rsidRDefault="00051B91" w:rsidP="00051B91">
            <w:pPr>
              <w:pBdr>
                <w:top w:val="nil"/>
                <w:left w:val="nil"/>
                <w:bottom w:val="nil"/>
                <w:right w:val="nil"/>
                <w:between w:val="nil"/>
              </w:pBdr>
              <w:spacing w:line="264" w:lineRule="auto"/>
              <w:rPr>
                <w:rFonts w:cstheme="minorHAnsi"/>
                <w:b/>
                <w:bCs/>
                <w:color w:val="000000"/>
              </w:rPr>
            </w:pPr>
            <w:r w:rsidRPr="00051B91">
              <w:rPr>
                <w:rFonts w:cstheme="minorHAnsi"/>
                <w:b/>
                <w:bCs/>
                <w:color w:val="000000"/>
              </w:rPr>
              <w:t>List of activities</w:t>
            </w:r>
          </w:p>
        </w:tc>
        <w:tc>
          <w:tcPr>
            <w:tcW w:w="12600" w:type="dxa"/>
          </w:tcPr>
          <w:p w14:paraId="37D45DD3" w14:textId="77777777" w:rsidR="00051B91" w:rsidRPr="002C2C75" w:rsidRDefault="00051B91" w:rsidP="00051B91">
            <w:pPr>
              <w:numPr>
                <w:ilvl w:val="0"/>
                <w:numId w:val="61"/>
              </w:numPr>
              <w:pBdr>
                <w:top w:val="nil"/>
                <w:left w:val="nil"/>
                <w:bottom w:val="nil"/>
                <w:right w:val="nil"/>
                <w:between w:val="nil"/>
              </w:pBdr>
              <w:spacing w:after="0" w:line="264" w:lineRule="auto"/>
              <w:rPr>
                <w:rFonts w:cstheme="minorHAnsi"/>
                <w:color w:val="000000"/>
              </w:rPr>
            </w:pPr>
            <w:r w:rsidRPr="002C2C75">
              <w:rPr>
                <w:rFonts w:cstheme="minorHAnsi"/>
                <w:color w:val="000000"/>
              </w:rPr>
              <w:t>Develop the Integrated Supervision Guide and its implementation rules</w:t>
            </w:r>
          </w:p>
          <w:p w14:paraId="12CDF098" w14:textId="77777777" w:rsidR="00051B91" w:rsidRDefault="00051B91" w:rsidP="00051B91">
            <w:pPr>
              <w:numPr>
                <w:ilvl w:val="0"/>
                <w:numId w:val="61"/>
              </w:numPr>
              <w:pBdr>
                <w:top w:val="nil"/>
                <w:left w:val="nil"/>
                <w:bottom w:val="nil"/>
                <w:right w:val="nil"/>
                <w:between w:val="nil"/>
              </w:pBdr>
              <w:spacing w:after="0" w:line="264" w:lineRule="auto"/>
              <w:rPr>
                <w:rFonts w:cstheme="minorHAnsi"/>
                <w:color w:val="000000"/>
              </w:rPr>
            </w:pPr>
            <w:r w:rsidRPr="002C2C75">
              <w:rPr>
                <w:rFonts w:cstheme="minorHAnsi"/>
                <w:color w:val="000000"/>
              </w:rPr>
              <w:t>Print and disseminate the Integrated Supervision Guide;</w:t>
            </w:r>
          </w:p>
          <w:p w14:paraId="3E434841" w14:textId="120CDED9" w:rsidR="00051B91" w:rsidRPr="00051B91" w:rsidRDefault="00051B91" w:rsidP="00051B91">
            <w:pPr>
              <w:numPr>
                <w:ilvl w:val="0"/>
                <w:numId w:val="61"/>
              </w:numPr>
              <w:pBdr>
                <w:top w:val="nil"/>
                <w:left w:val="nil"/>
                <w:bottom w:val="nil"/>
                <w:right w:val="nil"/>
                <w:between w:val="nil"/>
              </w:pBdr>
              <w:spacing w:after="0" w:line="264" w:lineRule="auto"/>
              <w:rPr>
                <w:rFonts w:cstheme="minorHAnsi"/>
                <w:color w:val="000000"/>
              </w:rPr>
            </w:pPr>
            <w:r w:rsidRPr="00051B91">
              <w:rPr>
                <w:rFonts w:cstheme="minorHAnsi"/>
                <w:color w:val="000000"/>
              </w:rPr>
              <w:t>Train central and provincial level supervisors to perform integrated supervision.</w:t>
            </w:r>
          </w:p>
        </w:tc>
      </w:tr>
      <w:tr w:rsidR="00051B91" w:rsidRPr="002C2C75" w14:paraId="1A938080" w14:textId="77777777" w:rsidTr="00E74D8B">
        <w:trPr>
          <w:gridAfter w:val="1"/>
          <w:wAfter w:w="68" w:type="dxa"/>
          <w:cantSplit/>
        </w:trPr>
        <w:tc>
          <w:tcPr>
            <w:tcW w:w="2605" w:type="dxa"/>
            <w:gridSpan w:val="2"/>
          </w:tcPr>
          <w:p w14:paraId="10997AC5" w14:textId="77777777" w:rsidR="00051B91" w:rsidRPr="00051B91" w:rsidRDefault="00051B91" w:rsidP="00051B91">
            <w:pPr>
              <w:pBdr>
                <w:top w:val="nil"/>
                <w:left w:val="nil"/>
                <w:bottom w:val="nil"/>
                <w:right w:val="nil"/>
                <w:between w:val="nil"/>
              </w:pBdr>
              <w:spacing w:line="264" w:lineRule="auto"/>
              <w:rPr>
                <w:rFonts w:cstheme="minorHAnsi"/>
                <w:b/>
                <w:bCs/>
                <w:color w:val="000000"/>
              </w:rPr>
            </w:pPr>
            <w:r w:rsidRPr="00051B91">
              <w:rPr>
                <w:rFonts w:cstheme="minorHAnsi"/>
                <w:b/>
                <w:bCs/>
                <w:color w:val="000000"/>
              </w:rPr>
              <w:t>Amount requested</w:t>
            </w:r>
          </w:p>
        </w:tc>
        <w:tc>
          <w:tcPr>
            <w:tcW w:w="12600" w:type="dxa"/>
          </w:tcPr>
          <w:p w14:paraId="6B078558" w14:textId="53DA66C3" w:rsidR="00051B91" w:rsidRPr="002C2C75" w:rsidRDefault="00051B91" w:rsidP="00051B91">
            <w:pPr>
              <w:pBdr>
                <w:top w:val="nil"/>
                <w:left w:val="nil"/>
                <w:bottom w:val="nil"/>
                <w:right w:val="nil"/>
                <w:between w:val="nil"/>
              </w:pBdr>
              <w:spacing w:line="264" w:lineRule="auto"/>
              <w:rPr>
                <w:rFonts w:cstheme="minorHAnsi"/>
                <w:color w:val="000000"/>
              </w:rPr>
            </w:pPr>
            <w:r w:rsidRPr="002C2C75">
              <w:rPr>
                <w:rFonts w:cstheme="minorHAnsi"/>
                <w:b/>
                <w:bCs/>
                <w:color w:val="000000"/>
              </w:rPr>
              <w:t>Within allocation: $350,952</w:t>
            </w:r>
          </w:p>
        </w:tc>
      </w:tr>
      <w:tr w:rsidR="00051B91" w:rsidRPr="002C2C75" w14:paraId="6C7B36C1" w14:textId="77777777" w:rsidTr="00E74D8B">
        <w:trPr>
          <w:gridAfter w:val="1"/>
          <w:wAfter w:w="68" w:type="dxa"/>
          <w:cantSplit/>
        </w:trPr>
        <w:tc>
          <w:tcPr>
            <w:tcW w:w="2605" w:type="dxa"/>
            <w:gridSpan w:val="2"/>
          </w:tcPr>
          <w:p w14:paraId="592C844C" w14:textId="0615E37D" w:rsidR="00051B91" w:rsidRPr="00051B91" w:rsidRDefault="00051B91" w:rsidP="00051B91">
            <w:pPr>
              <w:pBdr>
                <w:top w:val="nil"/>
                <w:left w:val="nil"/>
                <w:bottom w:val="nil"/>
                <w:right w:val="nil"/>
                <w:between w:val="nil"/>
              </w:pBdr>
              <w:spacing w:line="264" w:lineRule="auto"/>
              <w:rPr>
                <w:rFonts w:cstheme="minorHAnsi"/>
                <w:b/>
                <w:bCs/>
                <w:color w:val="000000"/>
              </w:rPr>
            </w:pPr>
            <w:r w:rsidRPr="00051B91">
              <w:rPr>
                <w:rFonts w:cstheme="minorHAnsi"/>
                <w:b/>
                <w:bCs/>
                <w:color w:val="000000"/>
              </w:rPr>
              <w:t>Expected outcome</w:t>
            </w:r>
          </w:p>
        </w:tc>
        <w:tc>
          <w:tcPr>
            <w:tcW w:w="12600" w:type="dxa"/>
          </w:tcPr>
          <w:p w14:paraId="1BDC4622" w14:textId="10C4F147" w:rsidR="00051B91" w:rsidRPr="002C2C75" w:rsidRDefault="00051B91" w:rsidP="00051B91">
            <w:pPr>
              <w:pBdr>
                <w:top w:val="nil"/>
                <w:left w:val="nil"/>
                <w:bottom w:val="nil"/>
                <w:right w:val="nil"/>
                <w:between w:val="nil"/>
              </w:pBdr>
              <w:spacing w:line="264" w:lineRule="auto"/>
              <w:rPr>
                <w:rFonts w:cstheme="minorHAnsi"/>
                <w:b/>
                <w:bCs/>
                <w:color w:val="000000"/>
              </w:rPr>
            </w:pPr>
            <w:r w:rsidRPr="002C2C75">
              <w:rPr>
                <w:rFonts w:cstheme="minorHAnsi"/>
                <w:color w:val="000000"/>
              </w:rPr>
              <w:t xml:space="preserve">Improved health works performance through integrated supportive supervision </w:t>
            </w:r>
          </w:p>
        </w:tc>
      </w:tr>
      <w:tr w:rsidR="00051B91" w:rsidRPr="002C2C75" w14:paraId="746293DA" w14:textId="77777777" w:rsidTr="00E74D8B">
        <w:trPr>
          <w:gridAfter w:val="1"/>
          <w:wAfter w:w="68" w:type="dxa"/>
          <w:cantSplit/>
        </w:trPr>
        <w:tc>
          <w:tcPr>
            <w:tcW w:w="2605" w:type="dxa"/>
            <w:gridSpan w:val="2"/>
          </w:tcPr>
          <w:p w14:paraId="522A85C7" w14:textId="19A6593A" w:rsidR="00051B91" w:rsidRPr="00051B91" w:rsidRDefault="00051B91" w:rsidP="00051B91">
            <w:pPr>
              <w:pBdr>
                <w:top w:val="nil"/>
                <w:left w:val="nil"/>
                <w:bottom w:val="nil"/>
                <w:right w:val="nil"/>
                <w:between w:val="nil"/>
              </w:pBdr>
              <w:spacing w:line="264" w:lineRule="auto"/>
              <w:rPr>
                <w:rFonts w:cstheme="minorHAnsi"/>
                <w:b/>
                <w:bCs/>
                <w:color w:val="000000"/>
              </w:rPr>
            </w:pPr>
            <w:r w:rsidRPr="00051B91">
              <w:rPr>
                <w:rFonts w:cstheme="minorHAnsi"/>
                <w:b/>
                <w:bCs/>
                <w:color w:val="000000"/>
              </w:rPr>
              <w:t xml:space="preserve">Intervention(s) </w:t>
            </w:r>
          </w:p>
        </w:tc>
        <w:tc>
          <w:tcPr>
            <w:tcW w:w="12600" w:type="dxa"/>
          </w:tcPr>
          <w:p w14:paraId="6A578944" w14:textId="3AFEAEF2" w:rsidR="00051B91" w:rsidRPr="00051B91" w:rsidRDefault="00051B91" w:rsidP="00051B91">
            <w:pPr>
              <w:pBdr>
                <w:top w:val="nil"/>
                <w:left w:val="nil"/>
                <w:bottom w:val="nil"/>
                <w:right w:val="nil"/>
                <w:between w:val="nil"/>
              </w:pBdr>
              <w:spacing w:line="264" w:lineRule="auto"/>
              <w:rPr>
                <w:rFonts w:cstheme="minorHAnsi"/>
                <w:color w:val="000000"/>
              </w:rPr>
            </w:pPr>
            <w:r>
              <w:rPr>
                <w:rFonts w:cstheme="minorHAnsi"/>
                <w:b/>
                <w:bCs/>
                <w:color w:val="000000"/>
              </w:rPr>
              <w:t xml:space="preserve">Intervention: </w:t>
            </w:r>
            <w:r w:rsidRPr="00051B91">
              <w:rPr>
                <w:rFonts w:cstheme="minorHAnsi"/>
                <w:color w:val="000000"/>
              </w:rPr>
              <w:t xml:space="preserve">Quality improvement and capacity building for quality of care </w:t>
            </w:r>
          </w:p>
          <w:p w14:paraId="445B0F31" w14:textId="552CDC75" w:rsidR="00051B91" w:rsidRPr="002C2C75" w:rsidRDefault="00051B91" w:rsidP="00051B91">
            <w:pPr>
              <w:pBdr>
                <w:top w:val="nil"/>
                <w:left w:val="nil"/>
                <w:bottom w:val="nil"/>
                <w:right w:val="nil"/>
                <w:between w:val="nil"/>
              </w:pBdr>
              <w:spacing w:line="264" w:lineRule="auto"/>
              <w:rPr>
                <w:rFonts w:cstheme="minorHAnsi"/>
                <w:color w:val="000000"/>
              </w:rPr>
            </w:pPr>
            <w:r w:rsidRPr="00051B91">
              <w:rPr>
                <w:rFonts w:cstheme="minorHAnsi"/>
                <w:color w:val="000000"/>
              </w:rPr>
              <w:t>Change in Pro</w:t>
            </w:r>
            <w:r w:rsidRPr="002C2C75">
              <w:rPr>
                <w:rFonts w:cstheme="minorHAnsi"/>
                <w:color w:val="000000"/>
              </w:rPr>
              <w:t xml:space="preserve">gramming from current grant: </w:t>
            </w:r>
            <w:r w:rsidRPr="002C2C75">
              <w:rPr>
                <w:rFonts w:ascii="Segoe UI Symbol" w:eastAsia="MS Gothic" w:hAnsi="Segoe UI Symbol" w:cs="Segoe UI Symbol"/>
                <w:color w:val="000000"/>
              </w:rPr>
              <w:t>☒</w:t>
            </w:r>
            <w:r w:rsidRPr="002C2C75">
              <w:rPr>
                <w:rFonts w:cstheme="minorHAnsi"/>
                <w:color w:val="000000"/>
              </w:rPr>
              <w:t xml:space="preserve"> New, </w:t>
            </w:r>
            <w:r w:rsidRPr="002C2C75">
              <w:rPr>
                <w:rFonts w:ascii="Segoe UI Symbol" w:eastAsia="MS Gothic" w:hAnsi="Segoe UI Symbol" w:cs="Segoe UI Symbol"/>
                <w:color w:val="000000"/>
              </w:rPr>
              <w:t>☐</w:t>
            </w:r>
            <w:r w:rsidRPr="002C2C75">
              <w:rPr>
                <w:rFonts w:cstheme="minorHAnsi"/>
                <w:color w:val="000000"/>
              </w:rPr>
              <w:t xml:space="preserve"> Scale-up, </w:t>
            </w:r>
            <w:r w:rsidRPr="002C2C75">
              <w:rPr>
                <w:rFonts w:ascii="Segoe UI Symbol" w:eastAsia="MS Gothic" w:hAnsi="Segoe UI Symbol" w:cs="Segoe UI Symbol"/>
                <w:color w:val="000000"/>
              </w:rPr>
              <w:t>☒</w:t>
            </w:r>
            <w:r w:rsidRPr="002C2C75">
              <w:rPr>
                <w:rFonts w:cstheme="minorHAnsi"/>
                <w:color w:val="000000"/>
              </w:rPr>
              <w:t xml:space="preserve"> Continuation, or </w:t>
            </w:r>
            <w:r w:rsidRPr="002C2C75">
              <w:rPr>
                <w:rFonts w:ascii="Segoe UI Symbol" w:eastAsia="MS Gothic" w:hAnsi="Segoe UI Symbol" w:cs="Segoe UI Symbol"/>
                <w:color w:val="000000"/>
              </w:rPr>
              <w:t>☐</w:t>
            </w:r>
            <w:r w:rsidRPr="002C2C75">
              <w:rPr>
                <w:rFonts w:cstheme="minorHAnsi"/>
                <w:color w:val="000000"/>
              </w:rPr>
              <w:t xml:space="preserve"> Scale-down</w:t>
            </w:r>
          </w:p>
        </w:tc>
      </w:tr>
      <w:tr w:rsidR="00051B91" w:rsidRPr="002C2C75" w14:paraId="462CE632" w14:textId="77777777" w:rsidTr="00E74D8B">
        <w:trPr>
          <w:gridAfter w:val="1"/>
          <w:wAfter w:w="68" w:type="dxa"/>
          <w:cantSplit/>
        </w:trPr>
        <w:tc>
          <w:tcPr>
            <w:tcW w:w="2605" w:type="dxa"/>
            <w:gridSpan w:val="2"/>
          </w:tcPr>
          <w:p w14:paraId="04CF1639" w14:textId="77777777" w:rsidR="00051B91" w:rsidRPr="00051B91" w:rsidRDefault="00051B91" w:rsidP="00051B91">
            <w:pPr>
              <w:pBdr>
                <w:top w:val="nil"/>
                <w:left w:val="nil"/>
                <w:bottom w:val="nil"/>
                <w:right w:val="nil"/>
                <w:between w:val="nil"/>
              </w:pBdr>
              <w:spacing w:line="264" w:lineRule="auto"/>
              <w:rPr>
                <w:rFonts w:cstheme="minorHAnsi"/>
                <w:b/>
                <w:bCs/>
                <w:color w:val="000000"/>
              </w:rPr>
            </w:pPr>
            <w:r w:rsidRPr="00051B91">
              <w:rPr>
                <w:rFonts w:cstheme="minorHAnsi"/>
                <w:b/>
                <w:bCs/>
                <w:color w:val="000000"/>
              </w:rPr>
              <w:t>Population, geographies and/or barriers addressed</w:t>
            </w:r>
          </w:p>
        </w:tc>
        <w:tc>
          <w:tcPr>
            <w:tcW w:w="12600" w:type="dxa"/>
          </w:tcPr>
          <w:p w14:paraId="17943E49" w14:textId="77777777" w:rsidR="00051B91" w:rsidRPr="002C2C75" w:rsidRDefault="00051B91" w:rsidP="00051B91">
            <w:pPr>
              <w:pBdr>
                <w:top w:val="nil"/>
                <w:left w:val="nil"/>
                <w:bottom w:val="nil"/>
                <w:right w:val="nil"/>
                <w:between w:val="nil"/>
              </w:pBdr>
              <w:spacing w:line="264" w:lineRule="auto"/>
              <w:jc w:val="both"/>
              <w:rPr>
                <w:rFonts w:cstheme="minorHAnsi"/>
                <w:color w:val="000000"/>
              </w:rPr>
            </w:pPr>
            <w:r w:rsidRPr="002C2C75">
              <w:rPr>
                <w:rFonts w:cstheme="minorHAnsi"/>
                <w:color w:val="000000"/>
              </w:rPr>
              <w:t>The current performance assessment tool for civil servants (SIGEDAP) is not suitable for health sector personnel, in particular for health care providers. Hence, the health sector intends to design an adequate tool for assessing the performance of health professionals, especially for health care providers. This tool will allow the evaluation of the specific responsibilities of health workers, will include their work plan, and individual definition and evaluation goals. It is hoped that this approach will serve as a basis for more efficient and effective supervision. Once approved, the performance assessment tool will be reproduced and disseminated to ensure its effective implementation. During the implementation phase of the new tool, special attention will be given to its combination with other key interventions that equally contribute to improving the performance of health professionals, namely continuous training, integrated supportive supervision and innovative quality improvement mechanisms.</w:t>
            </w:r>
          </w:p>
          <w:p w14:paraId="2B6B15B7" w14:textId="77777777" w:rsidR="00051B91" w:rsidRPr="002C2C75" w:rsidRDefault="00051B91" w:rsidP="00051B91">
            <w:pPr>
              <w:pBdr>
                <w:top w:val="nil"/>
                <w:left w:val="nil"/>
                <w:bottom w:val="nil"/>
                <w:right w:val="nil"/>
                <w:between w:val="nil"/>
              </w:pBdr>
              <w:spacing w:line="264" w:lineRule="auto"/>
              <w:jc w:val="both"/>
              <w:rPr>
                <w:rFonts w:cstheme="minorHAnsi"/>
                <w:color w:val="000000"/>
              </w:rPr>
            </w:pPr>
            <w:r w:rsidRPr="002C2C75">
              <w:rPr>
                <w:rFonts w:cstheme="minorHAnsi"/>
                <w:color w:val="000000"/>
              </w:rPr>
              <w:t>The low quality of health services in general has been a recurrent challenge in the health sector. In addition, efforts aimed at improving quality have been isolated, verticalized and fragmented, with limited impact. For this reason, in 2017 the health sector established a central regulatory body for quality management and assurance, whose institutional capacity is still at an incipient stage, even lacking quality improvement guidelines. Hence, the aim is to draw up a holistic and integrated policy and strategy for system quality management and assurance across the health sector, as well as to provide a user manual for the various stakeholders at all levels of the health system.</w:t>
            </w:r>
          </w:p>
        </w:tc>
      </w:tr>
      <w:tr w:rsidR="00051B91" w:rsidRPr="002C2C75" w14:paraId="518AFCF0" w14:textId="77777777" w:rsidTr="00E74D8B">
        <w:trPr>
          <w:gridAfter w:val="1"/>
          <w:wAfter w:w="68" w:type="dxa"/>
          <w:cantSplit/>
        </w:trPr>
        <w:tc>
          <w:tcPr>
            <w:tcW w:w="2605" w:type="dxa"/>
            <w:gridSpan w:val="2"/>
          </w:tcPr>
          <w:p w14:paraId="4387E867" w14:textId="61A7D50C" w:rsidR="00051B91" w:rsidRPr="00051B91" w:rsidRDefault="00051B91" w:rsidP="00051B91">
            <w:pPr>
              <w:pBdr>
                <w:top w:val="nil"/>
                <w:left w:val="nil"/>
                <w:bottom w:val="nil"/>
                <w:right w:val="nil"/>
                <w:between w:val="nil"/>
              </w:pBdr>
              <w:spacing w:line="264" w:lineRule="auto"/>
              <w:rPr>
                <w:rFonts w:cstheme="minorHAnsi"/>
                <w:b/>
                <w:bCs/>
                <w:color w:val="000000"/>
              </w:rPr>
            </w:pPr>
            <w:r>
              <w:rPr>
                <w:rFonts w:cstheme="minorHAnsi"/>
                <w:b/>
                <w:bCs/>
                <w:color w:val="000000"/>
              </w:rPr>
              <w:t xml:space="preserve">List of activities </w:t>
            </w:r>
          </w:p>
        </w:tc>
        <w:tc>
          <w:tcPr>
            <w:tcW w:w="12600" w:type="dxa"/>
          </w:tcPr>
          <w:p w14:paraId="2216DC95" w14:textId="77777777" w:rsidR="00051B91" w:rsidRPr="002C2C75" w:rsidRDefault="00051B91" w:rsidP="00051B91">
            <w:pPr>
              <w:numPr>
                <w:ilvl w:val="0"/>
                <w:numId w:val="61"/>
              </w:numPr>
              <w:pBdr>
                <w:top w:val="nil"/>
                <w:left w:val="nil"/>
                <w:bottom w:val="nil"/>
                <w:right w:val="nil"/>
                <w:between w:val="nil"/>
              </w:pBdr>
              <w:spacing w:after="0" w:line="264" w:lineRule="auto"/>
              <w:rPr>
                <w:rFonts w:cstheme="minorHAnsi"/>
                <w:color w:val="000000"/>
              </w:rPr>
            </w:pPr>
            <w:r w:rsidRPr="002C2C75">
              <w:rPr>
                <w:rFonts w:cstheme="minorHAnsi"/>
                <w:color w:val="000000"/>
              </w:rPr>
              <w:t xml:space="preserve">Disseminate and implement the new performance assessment tool (SIGEDAP) Print and disseminate the health care providers performance assessment tool </w:t>
            </w:r>
          </w:p>
          <w:p w14:paraId="6219068F" w14:textId="77777777" w:rsidR="00051B91" w:rsidRPr="002C2C75" w:rsidRDefault="00051B91" w:rsidP="00051B91">
            <w:pPr>
              <w:numPr>
                <w:ilvl w:val="0"/>
                <w:numId w:val="61"/>
              </w:numPr>
              <w:pBdr>
                <w:top w:val="nil"/>
                <w:left w:val="nil"/>
                <w:bottom w:val="nil"/>
                <w:right w:val="nil"/>
                <w:between w:val="nil"/>
              </w:pBdr>
              <w:spacing w:after="0" w:line="264" w:lineRule="auto"/>
              <w:rPr>
                <w:rFonts w:cstheme="minorHAnsi"/>
                <w:color w:val="000000"/>
              </w:rPr>
            </w:pPr>
            <w:r w:rsidRPr="002C2C75">
              <w:rPr>
                <w:rFonts w:cstheme="minorHAnsi"/>
                <w:color w:val="000000"/>
              </w:rPr>
              <w:t>Develop the Quality Management and Assurance Policy</w:t>
            </w:r>
          </w:p>
          <w:p w14:paraId="751D9242" w14:textId="77777777" w:rsidR="00051B91" w:rsidRPr="002C2C75" w:rsidRDefault="00051B91" w:rsidP="00051B91">
            <w:pPr>
              <w:numPr>
                <w:ilvl w:val="0"/>
                <w:numId w:val="61"/>
              </w:numPr>
              <w:pBdr>
                <w:top w:val="nil"/>
                <w:left w:val="nil"/>
                <w:bottom w:val="nil"/>
                <w:right w:val="nil"/>
                <w:between w:val="nil"/>
              </w:pBdr>
              <w:spacing w:after="0" w:line="264" w:lineRule="auto"/>
              <w:rPr>
                <w:rFonts w:cstheme="minorHAnsi"/>
                <w:color w:val="000000"/>
              </w:rPr>
            </w:pPr>
            <w:r w:rsidRPr="002C2C75">
              <w:rPr>
                <w:rFonts w:cstheme="minorHAnsi"/>
                <w:color w:val="000000"/>
              </w:rPr>
              <w:t>Develop the Quality Management and Assurance Strategy</w:t>
            </w:r>
          </w:p>
          <w:p w14:paraId="1C8C6853" w14:textId="0A80E6EA" w:rsidR="00051B91" w:rsidRPr="002C2C75" w:rsidRDefault="00051B91" w:rsidP="00051B91">
            <w:pPr>
              <w:numPr>
                <w:ilvl w:val="0"/>
                <w:numId w:val="61"/>
              </w:numPr>
              <w:pBdr>
                <w:top w:val="nil"/>
                <w:left w:val="nil"/>
                <w:bottom w:val="nil"/>
                <w:right w:val="nil"/>
                <w:between w:val="nil"/>
              </w:pBdr>
              <w:spacing w:after="0" w:line="264" w:lineRule="auto"/>
              <w:rPr>
                <w:rFonts w:cstheme="minorHAnsi"/>
                <w:color w:val="000000"/>
              </w:rPr>
            </w:pPr>
            <w:r w:rsidRPr="002C2C75">
              <w:rPr>
                <w:rFonts w:cstheme="minorHAnsi"/>
                <w:color w:val="000000"/>
              </w:rPr>
              <w:t>Develop the Quality Management and Assurance Manual</w:t>
            </w:r>
          </w:p>
        </w:tc>
      </w:tr>
      <w:tr w:rsidR="00051B91" w:rsidRPr="002C2C75" w14:paraId="3188FC96" w14:textId="77777777" w:rsidTr="00E74D8B">
        <w:trPr>
          <w:gridAfter w:val="1"/>
          <w:wAfter w:w="68" w:type="dxa"/>
          <w:cantSplit/>
        </w:trPr>
        <w:tc>
          <w:tcPr>
            <w:tcW w:w="2605" w:type="dxa"/>
            <w:gridSpan w:val="2"/>
          </w:tcPr>
          <w:p w14:paraId="5C165349" w14:textId="77777777" w:rsidR="00051B91" w:rsidRPr="00051B91" w:rsidRDefault="00051B91" w:rsidP="00051B91">
            <w:pPr>
              <w:pBdr>
                <w:top w:val="nil"/>
                <w:left w:val="nil"/>
                <w:bottom w:val="nil"/>
                <w:right w:val="nil"/>
                <w:between w:val="nil"/>
              </w:pBdr>
              <w:spacing w:line="264" w:lineRule="auto"/>
              <w:rPr>
                <w:rFonts w:cstheme="minorHAnsi"/>
                <w:b/>
                <w:bCs/>
                <w:color w:val="000000"/>
              </w:rPr>
            </w:pPr>
            <w:r w:rsidRPr="00051B91">
              <w:rPr>
                <w:rFonts w:cstheme="minorHAnsi"/>
                <w:b/>
                <w:bCs/>
                <w:color w:val="000000"/>
              </w:rPr>
              <w:t>Amount requested</w:t>
            </w:r>
          </w:p>
        </w:tc>
        <w:tc>
          <w:tcPr>
            <w:tcW w:w="12600" w:type="dxa"/>
          </w:tcPr>
          <w:p w14:paraId="5F85F807" w14:textId="48F1CE73" w:rsidR="00051B91" w:rsidRPr="002C2C75" w:rsidRDefault="00051B91" w:rsidP="00051B91">
            <w:pPr>
              <w:pBdr>
                <w:top w:val="nil"/>
                <w:left w:val="nil"/>
                <w:bottom w:val="nil"/>
                <w:right w:val="nil"/>
                <w:between w:val="nil"/>
              </w:pBdr>
              <w:spacing w:line="264" w:lineRule="auto"/>
              <w:rPr>
                <w:rFonts w:cstheme="minorHAnsi"/>
                <w:b/>
                <w:color w:val="000000"/>
              </w:rPr>
            </w:pPr>
            <w:r w:rsidRPr="002C2C75">
              <w:rPr>
                <w:rFonts w:cstheme="minorHAnsi"/>
                <w:b/>
                <w:color w:val="000000"/>
              </w:rPr>
              <w:t>Within allocation: $611,133</w:t>
            </w:r>
          </w:p>
        </w:tc>
      </w:tr>
      <w:tr w:rsidR="00051B91" w:rsidRPr="002C2C75" w14:paraId="3949117E" w14:textId="77777777" w:rsidTr="00E74D8B">
        <w:trPr>
          <w:gridAfter w:val="1"/>
          <w:wAfter w:w="68" w:type="dxa"/>
          <w:cantSplit/>
        </w:trPr>
        <w:tc>
          <w:tcPr>
            <w:tcW w:w="2605" w:type="dxa"/>
            <w:gridSpan w:val="2"/>
          </w:tcPr>
          <w:p w14:paraId="32515A61" w14:textId="07626565" w:rsidR="00051B91" w:rsidRPr="00051B91" w:rsidRDefault="00051B91" w:rsidP="00051B91">
            <w:pPr>
              <w:pBdr>
                <w:top w:val="nil"/>
                <w:left w:val="nil"/>
                <w:bottom w:val="nil"/>
                <w:right w:val="nil"/>
                <w:between w:val="nil"/>
              </w:pBdr>
              <w:spacing w:line="264" w:lineRule="auto"/>
              <w:rPr>
                <w:rFonts w:cstheme="minorHAnsi"/>
                <w:b/>
                <w:bCs/>
                <w:color w:val="000000"/>
              </w:rPr>
            </w:pPr>
            <w:r w:rsidRPr="00051B91">
              <w:rPr>
                <w:rFonts w:cstheme="minorHAnsi"/>
                <w:b/>
                <w:bCs/>
                <w:color w:val="000000"/>
              </w:rPr>
              <w:t>Expected outcome</w:t>
            </w:r>
          </w:p>
        </w:tc>
        <w:tc>
          <w:tcPr>
            <w:tcW w:w="12600" w:type="dxa"/>
          </w:tcPr>
          <w:p w14:paraId="79CDAA87" w14:textId="77777777" w:rsidR="00051B91" w:rsidRDefault="00051B91" w:rsidP="00051B91">
            <w:pPr>
              <w:numPr>
                <w:ilvl w:val="0"/>
                <w:numId w:val="61"/>
              </w:numPr>
              <w:pBdr>
                <w:top w:val="nil"/>
                <w:left w:val="nil"/>
                <w:bottom w:val="nil"/>
                <w:right w:val="nil"/>
                <w:between w:val="nil"/>
              </w:pBdr>
              <w:spacing w:after="0" w:line="264" w:lineRule="auto"/>
              <w:rPr>
                <w:rFonts w:cstheme="minorHAnsi"/>
                <w:color w:val="000000"/>
              </w:rPr>
            </w:pPr>
            <w:r w:rsidRPr="002C2C75">
              <w:rPr>
                <w:rFonts w:cstheme="minorHAnsi"/>
                <w:color w:val="000000"/>
              </w:rPr>
              <w:t>Improved health professional performance, in particular health care providers</w:t>
            </w:r>
          </w:p>
          <w:p w14:paraId="760502CB" w14:textId="57DAA3E0" w:rsidR="00051B91" w:rsidRPr="00051B91" w:rsidRDefault="00051B91" w:rsidP="00051B91">
            <w:pPr>
              <w:numPr>
                <w:ilvl w:val="0"/>
                <w:numId w:val="61"/>
              </w:numPr>
              <w:pBdr>
                <w:top w:val="nil"/>
                <w:left w:val="nil"/>
                <w:bottom w:val="nil"/>
                <w:right w:val="nil"/>
                <w:between w:val="nil"/>
              </w:pBdr>
              <w:spacing w:after="0" w:line="264" w:lineRule="auto"/>
              <w:rPr>
                <w:rFonts w:cstheme="minorHAnsi"/>
                <w:color w:val="000000"/>
              </w:rPr>
            </w:pPr>
            <w:r w:rsidRPr="00051B91">
              <w:rPr>
                <w:rFonts w:cstheme="minorHAnsi"/>
                <w:color w:val="000000"/>
              </w:rPr>
              <w:t>Improved quality management and assurance in the health sector</w:t>
            </w:r>
          </w:p>
        </w:tc>
      </w:tr>
      <w:tr w:rsidR="00051B91" w:rsidRPr="002C2C75" w14:paraId="1300E392" w14:textId="77777777" w:rsidTr="00E74D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8" w:type="dxa"/>
        </w:trPr>
        <w:tc>
          <w:tcPr>
            <w:tcW w:w="2605" w:type="dxa"/>
            <w:gridSpan w:val="2"/>
            <w:tcBorders>
              <w:top w:val="single" w:sz="4" w:space="0" w:color="auto"/>
              <w:left w:val="single" w:sz="4" w:space="0" w:color="auto"/>
              <w:bottom w:val="single" w:sz="4" w:space="0" w:color="auto"/>
              <w:right w:val="single" w:sz="4" w:space="0" w:color="auto"/>
            </w:tcBorders>
          </w:tcPr>
          <w:sdt>
            <w:sdtPr>
              <w:rPr>
                <w:rFonts w:cstheme="minorHAnsi"/>
                <w:b/>
                <w:bCs/>
              </w:rPr>
              <w:tag w:val="goog_rdk_166"/>
              <w:id w:val="1992365625"/>
            </w:sdtPr>
            <w:sdtContent>
              <w:p w14:paraId="799827D0" w14:textId="16912557" w:rsidR="00051B91" w:rsidRPr="00051B91" w:rsidRDefault="00000000" w:rsidP="00051B91">
                <w:pPr>
                  <w:pBdr>
                    <w:top w:val="nil"/>
                    <w:left w:val="nil"/>
                    <w:bottom w:val="nil"/>
                    <w:right w:val="nil"/>
                    <w:between w:val="nil"/>
                  </w:pBdr>
                  <w:spacing w:line="264" w:lineRule="auto"/>
                  <w:rPr>
                    <w:rFonts w:cstheme="minorHAnsi"/>
                    <w:b/>
                    <w:bCs/>
                    <w:color w:val="000000"/>
                  </w:rPr>
                </w:pPr>
                <w:sdt>
                  <w:sdtPr>
                    <w:rPr>
                      <w:rFonts w:cstheme="minorHAnsi"/>
                      <w:b/>
                      <w:bCs/>
                    </w:rPr>
                    <w:tag w:val="goog_rdk_165"/>
                    <w:id w:val="-363587881"/>
                  </w:sdtPr>
                  <w:sdtContent>
                    <w:r w:rsidR="00051B91" w:rsidRPr="00051B91">
                      <w:rPr>
                        <w:rFonts w:cstheme="minorHAnsi"/>
                        <w:b/>
                        <w:bCs/>
                        <w:color w:val="000000"/>
                      </w:rPr>
                      <w:t>Intervention(s)</w:t>
                    </w:r>
                  </w:sdtContent>
                </w:sdt>
              </w:p>
            </w:sdtContent>
          </w:sdt>
        </w:tc>
        <w:tc>
          <w:tcPr>
            <w:tcW w:w="12600" w:type="dxa"/>
            <w:tcBorders>
              <w:top w:val="single" w:sz="4" w:space="0" w:color="auto"/>
              <w:left w:val="single" w:sz="4" w:space="0" w:color="auto"/>
              <w:bottom w:val="single" w:sz="4" w:space="0" w:color="auto"/>
              <w:right w:val="single" w:sz="4" w:space="0" w:color="auto"/>
            </w:tcBorders>
          </w:tcPr>
          <w:p w14:paraId="5D3C4F45" w14:textId="6C559818" w:rsidR="00051B91" w:rsidRPr="00051B91" w:rsidRDefault="00051B91" w:rsidP="00051B91">
            <w:pPr>
              <w:rPr>
                <w:rFonts w:cstheme="minorHAnsi"/>
                <w:color w:val="000000"/>
              </w:rPr>
            </w:pPr>
            <w:r>
              <w:rPr>
                <w:rFonts w:cstheme="minorHAnsi"/>
                <w:b/>
                <w:bCs/>
                <w:color w:val="000000"/>
              </w:rPr>
              <w:t xml:space="preserve">Intervention: </w:t>
            </w:r>
            <w:r w:rsidRPr="00051B91">
              <w:rPr>
                <w:rFonts w:cstheme="minorHAnsi"/>
                <w:color w:val="000000"/>
              </w:rPr>
              <w:t>Community Health Workers: Selection, pre-service training, and certification</w:t>
            </w:r>
          </w:p>
          <w:p w14:paraId="6DB9FBE1" w14:textId="2A284680" w:rsidR="00051B91" w:rsidRPr="00051B91" w:rsidRDefault="00051B91" w:rsidP="00051B91">
            <w:pPr>
              <w:spacing w:line="264" w:lineRule="auto"/>
              <w:rPr>
                <w:rFonts w:cstheme="minorHAnsi"/>
                <w:color w:val="000000"/>
              </w:rPr>
            </w:pPr>
            <w:r w:rsidRPr="00051B91">
              <w:rPr>
                <w:rFonts w:cstheme="minorHAnsi"/>
                <w:color w:val="000000"/>
              </w:rPr>
              <w:t>Change in Pro</w:t>
            </w:r>
            <w:r w:rsidRPr="002C2C75">
              <w:rPr>
                <w:rFonts w:cstheme="minorHAnsi"/>
                <w:color w:val="000000"/>
              </w:rPr>
              <w:t xml:space="preserve">gramming from current grant: </w:t>
            </w:r>
            <w:r w:rsidRPr="002C2C75">
              <w:rPr>
                <w:rFonts w:ascii="Segoe UI Symbol" w:hAnsi="Segoe UI Symbol" w:cs="Segoe UI Symbol"/>
                <w:color w:val="000000"/>
              </w:rPr>
              <w:t>☐</w:t>
            </w:r>
            <w:r w:rsidRPr="002C2C75">
              <w:rPr>
                <w:rFonts w:cstheme="minorHAnsi"/>
                <w:color w:val="000000"/>
              </w:rPr>
              <w:t xml:space="preserve"> New, </w:t>
            </w:r>
            <w:r w:rsidRPr="002C2C75">
              <w:rPr>
                <w:rFonts w:ascii="Segoe UI Symbol" w:eastAsia="MS Gothic" w:hAnsi="Segoe UI Symbol" w:cs="Segoe UI Symbol"/>
                <w:color w:val="000000"/>
              </w:rPr>
              <w:t>☒</w:t>
            </w:r>
            <w:r w:rsidRPr="002C2C75">
              <w:rPr>
                <w:rFonts w:cstheme="minorHAnsi"/>
                <w:color w:val="000000"/>
              </w:rPr>
              <w:t xml:space="preserve"> Scale-up, </w:t>
            </w:r>
            <w:r w:rsidRPr="002C2C75">
              <w:rPr>
                <w:rFonts w:ascii="Segoe UI Symbol" w:hAnsi="Segoe UI Symbol" w:cs="Segoe UI Symbol"/>
                <w:color w:val="000000"/>
              </w:rPr>
              <w:t>☐</w:t>
            </w:r>
            <w:r w:rsidRPr="002C2C75">
              <w:rPr>
                <w:rFonts w:cstheme="minorHAnsi"/>
                <w:color w:val="000000"/>
              </w:rPr>
              <w:t xml:space="preserve"> Continuation, or </w:t>
            </w:r>
            <w:r w:rsidRPr="002C2C75">
              <w:rPr>
                <w:rFonts w:ascii="Segoe UI Symbol" w:hAnsi="Segoe UI Symbol" w:cs="Segoe UI Symbol"/>
                <w:color w:val="000000"/>
              </w:rPr>
              <w:t>☐</w:t>
            </w:r>
            <w:r w:rsidRPr="002C2C75">
              <w:rPr>
                <w:rFonts w:cstheme="minorHAnsi"/>
                <w:color w:val="000000"/>
              </w:rPr>
              <w:t xml:space="preserve"> Scale-down </w:t>
            </w:r>
          </w:p>
        </w:tc>
      </w:tr>
      <w:tr w:rsidR="00051B91" w:rsidRPr="002C2C75" w14:paraId="565A0DCA" w14:textId="77777777" w:rsidTr="00E74D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8" w:type="dxa"/>
        </w:trPr>
        <w:tc>
          <w:tcPr>
            <w:tcW w:w="2605" w:type="dxa"/>
            <w:gridSpan w:val="2"/>
            <w:tcBorders>
              <w:top w:val="single" w:sz="4" w:space="0" w:color="auto"/>
              <w:left w:val="single" w:sz="4" w:space="0" w:color="auto"/>
              <w:bottom w:val="single" w:sz="4" w:space="0" w:color="auto"/>
              <w:right w:val="single" w:sz="4" w:space="0" w:color="auto"/>
            </w:tcBorders>
          </w:tcPr>
          <w:p w14:paraId="24272332" w14:textId="77777777" w:rsidR="00051B91" w:rsidRPr="00051B91" w:rsidRDefault="00051B91" w:rsidP="00051B91">
            <w:pPr>
              <w:spacing w:line="264" w:lineRule="auto"/>
              <w:rPr>
                <w:rFonts w:cstheme="minorHAnsi"/>
                <w:b/>
                <w:bCs/>
                <w:color w:val="000000"/>
              </w:rPr>
            </w:pPr>
            <w:r w:rsidRPr="00051B91">
              <w:rPr>
                <w:rFonts w:cstheme="minorHAnsi"/>
                <w:b/>
                <w:bCs/>
                <w:color w:val="000000"/>
              </w:rPr>
              <w:t>Population, geographies and/or barriers addressed</w:t>
            </w:r>
          </w:p>
        </w:tc>
        <w:tc>
          <w:tcPr>
            <w:tcW w:w="12600" w:type="dxa"/>
            <w:tcBorders>
              <w:top w:val="single" w:sz="4" w:space="0" w:color="auto"/>
              <w:left w:val="single" w:sz="4" w:space="0" w:color="auto"/>
              <w:bottom w:val="single" w:sz="4" w:space="0" w:color="auto"/>
              <w:right w:val="single" w:sz="4" w:space="0" w:color="auto"/>
            </w:tcBorders>
          </w:tcPr>
          <w:p w14:paraId="45F12F60" w14:textId="77777777" w:rsidR="00A47BE5" w:rsidRPr="00A47BE5" w:rsidRDefault="00A47BE5" w:rsidP="00A47BE5">
            <w:pPr>
              <w:spacing w:line="264" w:lineRule="auto"/>
              <w:jc w:val="both"/>
              <w:rPr>
                <w:rFonts w:cstheme="minorHAnsi"/>
                <w:color w:val="000000"/>
              </w:rPr>
            </w:pPr>
            <w:r w:rsidRPr="00A47BE5">
              <w:rPr>
                <w:rFonts w:cstheme="minorHAnsi"/>
                <w:color w:val="000000"/>
              </w:rPr>
              <w:t>This intervention aims to equip the future cohorts of CHWs who will undergo training from 2024 to 2026 with the necessary skills and knowledge to serve effectively their communities with the Essential Health Care Package (PECS), promoting holistic and patient-centered care while embracing advancements in healthcare practices and technology.</w:t>
            </w:r>
          </w:p>
          <w:p w14:paraId="50B35329" w14:textId="77777777" w:rsidR="00A47BE5" w:rsidRPr="00A47BE5" w:rsidRDefault="00A47BE5" w:rsidP="00A47BE5">
            <w:pPr>
              <w:spacing w:line="264" w:lineRule="auto"/>
              <w:jc w:val="both"/>
              <w:rPr>
                <w:rFonts w:cstheme="minorHAnsi"/>
                <w:color w:val="000000"/>
              </w:rPr>
            </w:pPr>
            <w:r w:rsidRPr="00A47BE5">
              <w:rPr>
                <w:rFonts w:cstheme="minorHAnsi"/>
                <w:color w:val="000000"/>
              </w:rPr>
              <w:t>CHWs cover APS and ACS, including those responding to TB and HIV, Red Cross volunteers, “lay” counselors, and mentor mothers, integrated nutrition package activists, adolescent and youth program activists, traditional medicine practitioners, traditional midwives, peer educators.</w:t>
            </w:r>
          </w:p>
          <w:p w14:paraId="0A8A2B35" w14:textId="77777777" w:rsidR="00A47BE5" w:rsidRPr="00A47BE5" w:rsidRDefault="00A47BE5" w:rsidP="00A47BE5">
            <w:pPr>
              <w:spacing w:line="264" w:lineRule="auto"/>
              <w:jc w:val="both"/>
              <w:rPr>
                <w:rFonts w:cstheme="minorHAnsi"/>
                <w:color w:val="000000"/>
              </w:rPr>
            </w:pPr>
            <w:r w:rsidRPr="00A47BE5">
              <w:rPr>
                <w:rFonts w:cstheme="minorHAnsi"/>
                <w:color w:val="000000"/>
              </w:rPr>
              <w:t xml:space="preserve">The newly developed competency-based curriculum under the Community Health Subsystem ensures comprehensive and up-to-date materials for effective learning. This new curriculum builds upon the lessons learnt from the recent pilot training package along with the multi-year experience of the PNAPESs while incorporating essential updates. It shifts from a content-based to a competency-based approach, focusing on the Essential Care Package (PECS) for the Community and addressing the complete lifecycle. It also encompasses an updated approach to interventions such as first aid, nutrition, HIV, NCDs and medicines management, while being more dedicated to health promotion and more sensitive to gender and human rights considerations. Additionally, the curriculum embraces the digital transformation of data collection through the utilization of UPSCALE. </w:t>
            </w:r>
          </w:p>
          <w:p w14:paraId="71A84586" w14:textId="77777777" w:rsidR="00A47BE5" w:rsidRPr="00A47BE5" w:rsidRDefault="00A47BE5" w:rsidP="00A47BE5">
            <w:pPr>
              <w:spacing w:line="264" w:lineRule="auto"/>
              <w:jc w:val="both"/>
              <w:rPr>
                <w:rFonts w:cstheme="minorHAnsi"/>
                <w:color w:val="000000"/>
              </w:rPr>
            </w:pPr>
            <w:r w:rsidRPr="00A47BE5">
              <w:rPr>
                <w:rFonts w:cstheme="minorHAnsi"/>
                <w:color w:val="000000"/>
              </w:rPr>
              <w:t xml:space="preserve">This training program, based on the new competency-based curriculum, has a duration of six months. It will include a three-month theoretical and practical competencies training in a classroom setting, followed by an additional three-month internship at a health facility and within the targeted communities. In distinction to the previous PNAPEs curriculum, this curriculum is designed to be implemented and taught at the Professional Institutes of Health Training (IdF in portuguese) and is currently undergoing certification by the National Authority for Professional Education (ANEP in portuguese). This certification process ensures that the curriculum meets the required standards and guidelines, ensuring its quality of learning, scale and subsequent quality of service delivery by CHWs. </w:t>
            </w:r>
          </w:p>
          <w:p w14:paraId="5F802B80" w14:textId="77777777" w:rsidR="00A47BE5" w:rsidRPr="00A47BE5" w:rsidRDefault="00A47BE5" w:rsidP="00A47BE5">
            <w:pPr>
              <w:spacing w:line="264" w:lineRule="auto"/>
              <w:jc w:val="both"/>
              <w:rPr>
                <w:rFonts w:cstheme="minorHAnsi"/>
                <w:color w:val="000000"/>
              </w:rPr>
            </w:pPr>
            <w:r w:rsidRPr="00A47BE5">
              <w:rPr>
                <w:rFonts w:cstheme="minorHAnsi"/>
                <w:color w:val="000000"/>
              </w:rPr>
              <w:t>Competency-based training of CHWs in the new curriculum will also include CHWs receiving training and technical support for management and dispensation of medicines and equipment kits within a rational and quality of care perspective as part of their pre-service training of 3 months in the classroom and 3 months of practicum at a health facility and community. This will be enhanced by on-the-job training, supervision and technical support, and by using UpSCALE with user-friendly features will help CHWs keep within the required standards; this will also leverage the telehealth platform in use by the Ministry of Health. APS will receive the full training package, which makes them polyvalent; ACS will receive a training package focusing on specific interventions, within the perspective of the essential community health package.</w:t>
            </w:r>
          </w:p>
          <w:p w14:paraId="69AEEADC" w14:textId="77777777" w:rsidR="00A47BE5" w:rsidRPr="00A47BE5" w:rsidRDefault="00A47BE5" w:rsidP="00A47BE5">
            <w:pPr>
              <w:spacing w:line="264" w:lineRule="auto"/>
              <w:jc w:val="both"/>
              <w:rPr>
                <w:rFonts w:cstheme="minorHAnsi"/>
                <w:color w:val="000000"/>
              </w:rPr>
            </w:pPr>
            <w:r w:rsidRPr="00A47BE5">
              <w:rPr>
                <w:rFonts w:cstheme="minorHAnsi"/>
                <w:color w:val="000000"/>
              </w:rPr>
              <w:t>The selection of CHW candidates will be based on the Terms of Reference (TOR) outlined in the CHSS Strategy. Once trained, CHWs will be provided with a medicine and work/equipment kit that will support their work.</w:t>
            </w:r>
          </w:p>
          <w:p w14:paraId="7674DC00" w14:textId="77777777" w:rsidR="00A47BE5" w:rsidRPr="00A47BE5" w:rsidRDefault="00A47BE5" w:rsidP="00A47BE5">
            <w:pPr>
              <w:spacing w:line="264" w:lineRule="auto"/>
              <w:jc w:val="both"/>
              <w:rPr>
                <w:rFonts w:cstheme="minorHAnsi"/>
                <w:color w:val="000000"/>
              </w:rPr>
            </w:pPr>
            <w:r w:rsidRPr="00A47BE5">
              <w:rPr>
                <w:rFonts w:cstheme="minorHAnsi"/>
                <w:color w:val="000000"/>
              </w:rPr>
              <w:t>The coordination of the network of CHWs, including TB and HIV ACSs, Red Cross volunteers, “lay” counselors, mentor mothers, integrated nutrition package activists, adolescent and youth program activists, traditional medicine practitioners, traditional midwives, peer educators, among others, is done by the Community Health Development Committee. This Committee, as defined in the Strategy, serves as the primary platform for coordinating, managing, and integrating programmatic and strategic actions of the Community Health Subsystem. In terms of complementarity of actions, training, and coordination among APS and above mentioned health actors, ACSs with specific profiles and experience in specific thematic areas of the new curriculum are eligible to undergo training in that specific thematic area to enhance coordination with the APS. The ACSs statutory role should be clearly defined in the updated Strategy (also an activity included in this proposal).</w:t>
            </w:r>
          </w:p>
          <w:p w14:paraId="7C28E348" w14:textId="77777777" w:rsidR="00A47BE5" w:rsidRPr="00A47BE5" w:rsidRDefault="00A47BE5" w:rsidP="00A47BE5">
            <w:pPr>
              <w:spacing w:line="264" w:lineRule="auto"/>
              <w:jc w:val="both"/>
              <w:rPr>
                <w:rFonts w:cstheme="minorHAnsi"/>
                <w:color w:val="000000"/>
              </w:rPr>
            </w:pPr>
            <w:r w:rsidRPr="00A47BE5">
              <w:rPr>
                <w:rFonts w:cstheme="minorHAnsi"/>
                <w:color w:val="000000"/>
              </w:rPr>
              <w:t>This local coordination will further enhance the promotion of community participation and involvement of local leaders in identifying and addressing health issues, mobilizing local partnerships, as well as reducing the fragmentation of ongoing interventions in communities and maximizing the utilization of available resources.</w:t>
            </w:r>
          </w:p>
          <w:p w14:paraId="47A447F4" w14:textId="77777777" w:rsidR="00A47BE5" w:rsidRPr="00A47BE5" w:rsidRDefault="00A47BE5" w:rsidP="00A47BE5">
            <w:pPr>
              <w:spacing w:line="264" w:lineRule="auto"/>
              <w:jc w:val="both"/>
              <w:rPr>
                <w:rFonts w:cstheme="minorHAnsi"/>
                <w:color w:val="000000"/>
              </w:rPr>
            </w:pPr>
            <w:r w:rsidRPr="00A47BE5">
              <w:rPr>
                <w:rFonts w:cstheme="minorHAnsi"/>
                <w:color w:val="000000"/>
              </w:rPr>
              <w:t xml:space="preserve">So far, the APE scope of work is predominantly oriented towards actions to combat malaria, diarrhea and acute respiratory infections. To integrate HIV/TB programmatic activities, the community subsystem strategy plans to expand their scope of work by putting in place a number of actions: updating medicines list based on disease incidence, target group, estimated community cases to be treated, and including first aid, HIV testing, and treatment of uncomplicated acute malnutrition; assigning each APS to a catchment area of 1,000 inhabitants in rural areas, thus approaching the WHO recommended ratio; adjusting procurement process and distribution channels with UNICEF technical support, including establishing efficient reporting mechanisms and Expanding the UPSCALE digital system to provide timely data on stock levels, utilization rates, and expiration dates; predicting future needs through data analytics; implementing quality control measures to ensure adherence to standards; and strengthening end-user monitoring. The corresponding content and cost of APS’ medicine, equipment and work starter kits are described in Annex XX. </w:t>
            </w:r>
          </w:p>
          <w:p w14:paraId="4D01BA6F" w14:textId="04692CCB" w:rsidR="00051B91" w:rsidRPr="002C2C75" w:rsidRDefault="00A47BE5" w:rsidP="00A47BE5">
            <w:pPr>
              <w:spacing w:line="264" w:lineRule="auto"/>
              <w:rPr>
                <w:rFonts w:cstheme="minorHAnsi"/>
                <w:color w:val="000000"/>
              </w:rPr>
            </w:pPr>
            <w:r w:rsidRPr="00A47BE5">
              <w:rPr>
                <w:rFonts w:cstheme="minorHAnsi"/>
                <w:color w:val="000000"/>
              </w:rPr>
              <w:t>To ensure adequate working conditions for APSs and community pandemic preparedness and response to public health emergencies, 490 basic community health posts will be built in 49 districts, of which in 12 districts from the pilot phase of the community health subsystem strategy, and in 37 prioritized districts due to extremely high health vulnerability. Based on lessons learned from Inhambane Province in building community posts with contribution from local community and government to ensure ownership, the total investment cost was brought down to $20,000 each.</w:t>
            </w:r>
          </w:p>
        </w:tc>
      </w:tr>
      <w:tr w:rsidR="00051B91" w:rsidRPr="002C2C75" w14:paraId="51AE9B81" w14:textId="77777777" w:rsidTr="00E74D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8" w:type="dxa"/>
        </w:trPr>
        <w:tc>
          <w:tcPr>
            <w:tcW w:w="2605" w:type="dxa"/>
            <w:gridSpan w:val="2"/>
            <w:tcBorders>
              <w:top w:val="single" w:sz="4" w:space="0" w:color="auto"/>
              <w:left w:val="single" w:sz="4" w:space="0" w:color="auto"/>
              <w:bottom w:val="single" w:sz="4" w:space="0" w:color="auto"/>
              <w:right w:val="single" w:sz="4" w:space="0" w:color="auto"/>
            </w:tcBorders>
          </w:tcPr>
          <w:p w14:paraId="57CFD393" w14:textId="3772A2A3" w:rsidR="00051B91" w:rsidRPr="00051B91" w:rsidRDefault="00051B91" w:rsidP="00051B91">
            <w:pPr>
              <w:spacing w:line="264" w:lineRule="auto"/>
              <w:rPr>
                <w:rFonts w:cstheme="minorHAnsi"/>
                <w:b/>
                <w:bCs/>
                <w:color w:val="000000"/>
              </w:rPr>
            </w:pPr>
            <w:r w:rsidRPr="00051B91">
              <w:rPr>
                <w:rFonts w:cstheme="minorHAnsi"/>
                <w:b/>
                <w:bCs/>
                <w:color w:val="000000"/>
              </w:rPr>
              <w:t>List of activities</w:t>
            </w:r>
          </w:p>
        </w:tc>
        <w:tc>
          <w:tcPr>
            <w:tcW w:w="12600" w:type="dxa"/>
            <w:tcBorders>
              <w:top w:val="single" w:sz="4" w:space="0" w:color="auto"/>
              <w:left w:val="single" w:sz="4" w:space="0" w:color="auto"/>
              <w:bottom w:val="single" w:sz="4" w:space="0" w:color="auto"/>
              <w:right w:val="single" w:sz="4" w:space="0" w:color="auto"/>
            </w:tcBorders>
          </w:tcPr>
          <w:p w14:paraId="662555D1" w14:textId="171B87B0" w:rsidR="00051B91" w:rsidRDefault="00051B91" w:rsidP="00051B91">
            <w:pPr>
              <w:pStyle w:val="ListParagraph"/>
              <w:numPr>
                <w:ilvl w:val="0"/>
                <w:numId w:val="71"/>
              </w:numPr>
              <w:spacing w:line="264" w:lineRule="auto"/>
              <w:rPr>
                <w:rFonts w:cstheme="minorHAnsi"/>
                <w:color w:val="000000"/>
              </w:rPr>
            </w:pPr>
            <w:r w:rsidRPr="002C2C75">
              <w:rPr>
                <w:rFonts w:cstheme="minorHAnsi"/>
                <w:color w:val="000000"/>
              </w:rPr>
              <w:t xml:space="preserve">Pre-service training of 660 CHW in 11 IdF over a three-year period. This involves conducting one course per year in each IdF, with 20 students/CHWs per course. </w:t>
            </w:r>
          </w:p>
          <w:p w14:paraId="72BF8EC5" w14:textId="0FC9C716" w:rsidR="00A47BE5" w:rsidRPr="00A47BE5" w:rsidRDefault="00A47BE5" w:rsidP="00A47BE5">
            <w:pPr>
              <w:pStyle w:val="ListParagraph"/>
              <w:numPr>
                <w:ilvl w:val="0"/>
                <w:numId w:val="71"/>
              </w:numPr>
              <w:spacing w:line="264" w:lineRule="auto"/>
              <w:rPr>
                <w:rFonts w:cstheme="minorHAnsi"/>
                <w:color w:val="000000"/>
              </w:rPr>
            </w:pPr>
            <w:r w:rsidRPr="00A47BE5">
              <w:rPr>
                <w:rFonts w:cstheme="minorHAnsi"/>
                <w:color w:val="000000"/>
              </w:rPr>
              <w:t xml:space="preserve">Procure and distribute </w:t>
            </w:r>
            <w:r w:rsidR="008D703F">
              <w:rPr>
                <w:rFonts w:cstheme="minorHAnsi"/>
                <w:color w:val="000000"/>
              </w:rPr>
              <w:t xml:space="preserve">non-malaria </w:t>
            </w:r>
            <w:r w:rsidRPr="00A47BE5">
              <w:rPr>
                <w:rFonts w:cstheme="minorHAnsi"/>
                <w:color w:val="000000"/>
              </w:rPr>
              <w:t>medicine and equipment kits for each CHW</w:t>
            </w:r>
          </w:p>
          <w:p w14:paraId="39D4FDCC" w14:textId="4AE75A47" w:rsidR="00A47BE5" w:rsidRPr="00A47BE5" w:rsidRDefault="00A47BE5" w:rsidP="00A47BE5">
            <w:pPr>
              <w:pStyle w:val="ListParagraph"/>
              <w:numPr>
                <w:ilvl w:val="0"/>
                <w:numId w:val="71"/>
              </w:numPr>
              <w:spacing w:line="264" w:lineRule="auto"/>
              <w:rPr>
                <w:rFonts w:cstheme="minorHAnsi"/>
                <w:color w:val="000000"/>
              </w:rPr>
            </w:pPr>
            <w:r w:rsidRPr="00A47BE5">
              <w:rPr>
                <w:rFonts w:cstheme="minorHAnsi"/>
                <w:color w:val="000000"/>
              </w:rPr>
              <w:t>Provide each CHW with a work starter kit</w:t>
            </w:r>
          </w:p>
          <w:p w14:paraId="3B195A0B" w14:textId="65BCC4AA" w:rsidR="00A47BE5" w:rsidRPr="00A47BE5" w:rsidRDefault="00A47BE5" w:rsidP="00A47BE5">
            <w:pPr>
              <w:pStyle w:val="ListParagraph"/>
              <w:numPr>
                <w:ilvl w:val="0"/>
                <w:numId w:val="71"/>
              </w:numPr>
              <w:spacing w:line="264" w:lineRule="auto"/>
              <w:rPr>
                <w:rFonts w:cstheme="minorHAnsi"/>
                <w:color w:val="000000"/>
              </w:rPr>
            </w:pPr>
            <w:r w:rsidRPr="00A47BE5">
              <w:rPr>
                <w:rFonts w:cstheme="minorHAnsi"/>
                <w:color w:val="000000"/>
              </w:rPr>
              <w:t>Procurement and distribution of the kits will be ensured by CMAM, through government channels, with technical assistance from UNICEF</w:t>
            </w:r>
            <w:r w:rsidR="008D703F">
              <w:rPr>
                <w:rFonts w:cstheme="minorHAnsi"/>
                <w:color w:val="000000"/>
              </w:rPr>
              <w:t xml:space="preserve"> </w:t>
            </w:r>
          </w:p>
          <w:p w14:paraId="1D0FFF37" w14:textId="1176D6CF" w:rsidR="00A47BE5" w:rsidRPr="00A47BE5" w:rsidRDefault="00A47BE5" w:rsidP="00A47BE5">
            <w:pPr>
              <w:pStyle w:val="ListParagraph"/>
              <w:numPr>
                <w:ilvl w:val="0"/>
                <w:numId w:val="71"/>
              </w:numPr>
              <w:spacing w:line="264" w:lineRule="auto"/>
              <w:rPr>
                <w:rFonts w:cstheme="minorHAnsi"/>
                <w:color w:val="000000"/>
              </w:rPr>
            </w:pPr>
            <w:r w:rsidRPr="00A47BE5">
              <w:rPr>
                <w:rFonts w:cstheme="minorHAnsi"/>
                <w:color w:val="000000"/>
              </w:rPr>
              <w:t xml:space="preserve">Provide training and technical support to CHWs on management and dispensation of medicines and equipment kits   </w:t>
            </w:r>
          </w:p>
          <w:p w14:paraId="758558E2" w14:textId="77777777" w:rsidR="00A47BE5" w:rsidRDefault="00051B91" w:rsidP="00051B91">
            <w:pPr>
              <w:spacing w:after="0" w:line="264" w:lineRule="auto"/>
              <w:rPr>
                <w:rFonts w:cstheme="minorHAnsi"/>
                <w:b/>
                <w:bCs/>
                <w:color w:val="000000"/>
              </w:rPr>
            </w:pPr>
            <w:r w:rsidRPr="002C2C75">
              <w:rPr>
                <w:rFonts w:cstheme="minorHAnsi"/>
                <w:b/>
                <w:bCs/>
                <w:color w:val="000000"/>
              </w:rPr>
              <w:t xml:space="preserve">PAAR: </w:t>
            </w:r>
          </w:p>
          <w:p w14:paraId="27424805" w14:textId="77777777" w:rsidR="00051B91" w:rsidRPr="00A47BE5" w:rsidRDefault="00051B91" w:rsidP="00A47BE5">
            <w:pPr>
              <w:pStyle w:val="ListParagraph"/>
              <w:numPr>
                <w:ilvl w:val="0"/>
                <w:numId w:val="88"/>
              </w:numPr>
              <w:spacing w:after="0" w:line="264" w:lineRule="auto"/>
              <w:rPr>
                <w:rFonts w:cstheme="minorHAnsi"/>
              </w:rPr>
            </w:pPr>
            <w:r w:rsidRPr="00A47BE5">
              <w:rPr>
                <w:rFonts w:cstheme="minorHAnsi"/>
                <w:color w:val="000000"/>
              </w:rPr>
              <w:t>Training Package: This activity encompasses the finalization, design, and printing of the curriculum and training manuals specifically tailored to the competency-based pre-service training for the CHWs.</w:t>
            </w:r>
          </w:p>
          <w:p w14:paraId="04A89025" w14:textId="77378F6D" w:rsidR="00A47BE5" w:rsidRPr="00A47BE5" w:rsidRDefault="00A47BE5" w:rsidP="00A47BE5">
            <w:pPr>
              <w:pStyle w:val="ListParagraph"/>
              <w:numPr>
                <w:ilvl w:val="0"/>
                <w:numId w:val="88"/>
              </w:numPr>
              <w:spacing w:after="0" w:line="264" w:lineRule="auto"/>
              <w:rPr>
                <w:rFonts w:cstheme="minorHAnsi"/>
              </w:rPr>
            </w:pPr>
            <w:r w:rsidRPr="00A47BE5">
              <w:rPr>
                <w:rFonts w:cstheme="minorHAnsi"/>
              </w:rPr>
              <w:t xml:space="preserve">Building 490 basic community health posts in 49 districts, including the 37 districts prioritized due to extremely high health vulnerability and the 12 districts included in the pilot phase of the community health subsystem strategy.  </w:t>
            </w:r>
          </w:p>
        </w:tc>
      </w:tr>
      <w:sdt>
        <w:sdtPr>
          <w:rPr>
            <w:rFonts w:cstheme="minorHAnsi"/>
            <w:b/>
            <w:bCs/>
          </w:rPr>
          <w:tag w:val="goog_rdk_225"/>
          <w:id w:val="304830198"/>
        </w:sdtPr>
        <w:sdtEndPr>
          <w:rPr>
            <w:b w:val="0"/>
            <w:bCs w:val="0"/>
          </w:rPr>
        </w:sdtEndPr>
        <w:sdtContent>
          <w:tr w:rsidR="00051B91" w:rsidRPr="002C2C75" w14:paraId="48034041" w14:textId="77777777" w:rsidTr="00E74D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8" w:type="dxa"/>
            </w:trPr>
            <w:tc>
              <w:tcPr>
                <w:tcW w:w="2605" w:type="dxa"/>
                <w:gridSpan w:val="2"/>
                <w:tcBorders>
                  <w:top w:val="single" w:sz="4" w:space="0" w:color="auto"/>
                  <w:left w:val="single" w:sz="4" w:space="0" w:color="auto"/>
                  <w:bottom w:val="single" w:sz="4" w:space="0" w:color="auto"/>
                  <w:right w:val="single" w:sz="4" w:space="0" w:color="auto"/>
                </w:tcBorders>
              </w:tcPr>
              <w:sdt>
                <w:sdtPr>
                  <w:rPr>
                    <w:rFonts w:cstheme="minorHAnsi"/>
                    <w:b/>
                    <w:bCs/>
                  </w:rPr>
                  <w:tag w:val="goog_rdk_227"/>
                  <w:id w:val="1521507270"/>
                </w:sdtPr>
                <w:sdtContent>
                  <w:p w14:paraId="32908951" w14:textId="77777777" w:rsidR="00051B91" w:rsidRPr="00051B91" w:rsidRDefault="00000000" w:rsidP="00051B91">
                    <w:pPr>
                      <w:spacing w:line="264" w:lineRule="auto"/>
                      <w:rPr>
                        <w:rFonts w:cstheme="minorHAnsi"/>
                        <w:b/>
                        <w:bCs/>
                        <w:color w:val="000000"/>
                      </w:rPr>
                    </w:pPr>
                    <w:sdt>
                      <w:sdtPr>
                        <w:rPr>
                          <w:rFonts w:cstheme="minorHAnsi"/>
                          <w:b/>
                          <w:bCs/>
                        </w:rPr>
                        <w:tag w:val="goog_rdk_226"/>
                        <w:id w:val="97685495"/>
                      </w:sdtPr>
                      <w:sdtContent>
                        <w:r w:rsidR="00051B91" w:rsidRPr="00051B91">
                          <w:rPr>
                            <w:rFonts w:cstheme="minorHAnsi"/>
                            <w:b/>
                            <w:bCs/>
                            <w:color w:val="000000"/>
                          </w:rPr>
                          <w:t>Amount requested</w:t>
                        </w:r>
                      </w:sdtContent>
                    </w:sdt>
                  </w:p>
                </w:sdtContent>
              </w:sdt>
            </w:tc>
            <w:tc>
              <w:tcPr>
                <w:tcW w:w="12600" w:type="dxa"/>
                <w:tcBorders>
                  <w:top w:val="single" w:sz="4" w:space="0" w:color="auto"/>
                  <w:left w:val="single" w:sz="4" w:space="0" w:color="auto"/>
                  <w:bottom w:val="single" w:sz="4" w:space="0" w:color="auto"/>
                  <w:right w:val="single" w:sz="4" w:space="0" w:color="auto"/>
                </w:tcBorders>
              </w:tcPr>
              <w:p w14:paraId="641B3F51" w14:textId="13AECCBE" w:rsidR="00051B91" w:rsidRPr="002C2C75" w:rsidRDefault="00000000" w:rsidP="00051B91">
                <w:pPr>
                  <w:rPr>
                    <w:rFonts w:cstheme="minorHAnsi"/>
                    <w:b/>
                    <w:bCs/>
                  </w:rPr>
                </w:pPr>
                <w:sdt>
                  <w:sdtPr>
                    <w:rPr>
                      <w:rFonts w:cstheme="minorHAnsi"/>
                    </w:rPr>
                    <w:tag w:val="goog_rdk_230"/>
                    <w:id w:val="430161627"/>
                  </w:sdtPr>
                  <w:sdtContent/>
                </w:sdt>
                <w:r w:rsidR="00051B91" w:rsidRPr="002C2C75">
                  <w:rPr>
                    <w:rFonts w:cstheme="minorHAnsi"/>
                    <w:b/>
                    <w:bCs/>
                  </w:rPr>
                  <w:t>Within allocation: $</w:t>
                </w:r>
                <w:r w:rsidR="00A47BE5">
                  <w:rPr>
                    <w:rFonts w:cstheme="minorHAnsi"/>
                    <w:b/>
                    <w:bCs/>
                  </w:rPr>
                  <w:t>3,679,893</w:t>
                </w:r>
              </w:p>
              <w:p w14:paraId="6DF0C004" w14:textId="1EF0994A" w:rsidR="00051B91" w:rsidRPr="002C2C75" w:rsidRDefault="00051B91" w:rsidP="00051B91">
                <w:pPr>
                  <w:rPr>
                    <w:rFonts w:cstheme="minorHAnsi"/>
                    <w:color w:val="000000"/>
                  </w:rPr>
                </w:pPr>
                <w:r w:rsidRPr="002C2C75">
                  <w:rPr>
                    <w:rFonts w:cstheme="minorHAnsi"/>
                    <w:b/>
                    <w:bCs/>
                    <w:color w:val="000000"/>
                  </w:rPr>
                  <w:t>PAAR: $</w:t>
                </w:r>
                <w:r w:rsidR="00A47BE5">
                  <w:rPr>
                    <w:rFonts w:cstheme="minorHAnsi"/>
                    <w:b/>
                    <w:bCs/>
                    <w:color w:val="000000"/>
                  </w:rPr>
                  <w:t>9,8</w:t>
                </w:r>
                <w:r w:rsidRPr="002C2C75">
                  <w:rPr>
                    <w:rFonts w:cstheme="minorHAnsi"/>
                    <w:b/>
                    <w:bCs/>
                    <w:color w:val="000000"/>
                  </w:rPr>
                  <w:t>55,182</w:t>
                </w:r>
              </w:p>
            </w:tc>
          </w:tr>
        </w:sdtContent>
      </w:sdt>
      <w:tr w:rsidR="00051B91" w:rsidRPr="002C2C75" w14:paraId="27C31A3E" w14:textId="77777777" w:rsidTr="00E74D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8" w:type="dxa"/>
        </w:trPr>
        <w:tc>
          <w:tcPr>
            <w:tcW w:w="2605" w:type="dxa"/>
            <w:gridSpan w:val="2"/>
            <w:tcBorders>
              <w:top w:val="single" w:sz="4" w:space="0" w:color="auto"/>
              <w:left w:val="single" w:sz="4" w:space="0" w:color="auto"/>
              <w:bottom w:val="single" w:sz="4" w:space="0" w:color="auto"/>
              <w:right w:val="single" w:sz="4" w:space="0" w:color="auto"/>
            </w:tcBorders>
          </w:tcPr>
          <w:p w14:paraId="4F58133B" w14:textId="2B0A9EB4" w:rsidR="00051B91" w:rsidRPr="00051B91" w:rsidRDefault="00051B91" w:rsidP="00051B91">
            <w:pPr>
              <w:spacing w:line="264" w:lineRule="auto"/>
              <w:rPr>
                <w:rFonts w:cstheme="minorHAnsi"/>
                <w:b/>
                <w:bCs/>
              </w:rPr>
            </w:pPr>
            <w:r w:rsidRPr="00051B91">
              <w:rPr>
                <w:rFonts w:cstheme="minorHAnsi"/>
                <w:b/>
                <w:bCs/>
                <w:color w:val="000000"/>
              </w:rPr>
              <w:t>Expected outcome</w:t>
            </w:r>
          </w:p>
        </w:tc>
        <w:tc>
          <w:tcPr>
            <w:tcW w:w="12600" w:type="dxa"/>
            <w:tcBorders>
              <w:top w:val="single" w:sz="4" w:space="0" w:color="auto"/>
              <w:left w:val="single" w:sz="4" w:space="0" w:color="auto"/>
              <w:bottom w:val="single" w:sz="4" w:space="0" w:color="auto"/>
              <w:right w:val="single" w:sz="4" w:space="0" w:color="auto"/>
            </w:tcBorders>
          </w:tcPr>
          <w:p w14:paraId="67B3C4A4" w14:textId="77777777" w:rsidR="00A47BE5" w:rsidRPr="00A47BE5" w:rsidRDefault="00A47BE5" w:rsidP="00A47BE5">
            <w:pPr>
              <w:keepNext/>
              <w:numPr>
                <w:ilvl w:val="0"/>
                <w:numId w:val="71"/>
              </w:numPr>
              <w:spacing w:before="60" w:after="0" w:line="240" w:lineRule="auto"/>
              <w:ind w:right="57"/>
              <w:rPr>
                <w:rFonts w:cstheme="minorHAnsi"/>
                <w:color w:val="000000"/>
              </w:rPr>
            </w:pPr>
            <w:r w:rsidRPr="00A47BE5">
              <w:rPr>
                <w:rFonts w:cstheme="minorHAnsi"/>
                <w:color w:val="000000"/>
              </w:rPr>
              <w:t>Completed the development and certification of an enhanced competency-based pre-service training curriculum and training manuals tailored to CHWs, providing comprehensive and up-to-date materials for effective learning.</w:t>
            </w:r>
          </w:p>
          <w:p w14:paraId="768BADA1" w14:textId="77777777" w:rsidR="00A47BE5" w:rsidRPr="00A47BE5" w:rsidRDefault="00A47BE5" w:rsidP="00A47BE5">
            <w:pPr>
              <w:keepNext/>
              <w:numPr>
                <w:ilvl w:val="0"/>
                <w:numId w:val="71"/>
              </w:numPr>
              <w:spacing w:before="60" w:after="0" w:line="240" w:lineRule="auto"/>
              <w:ind w:right="57"/>
              <w:rPr>
                <w:rFonts w:cstheme="minorHAnsi"/>
                <w:color w:val="000000"/>
              </w:rPr>
            </w:pPr>
            <w:r w:rsidRPr="00A47BE5">
              <w:rPr>
                <w:rFonts w:cstheme="minorHAnsi"/>
                <w:color w:val="000000"/>
              </w:rPr>
              <w:t xml:space="preserve">Enhanced capacity of 660 CHWs with competency-based completed training at IdFs who are attested for and with the necessary skills, knowledge, and resources to effectively serve their communities and deliver essential healthcare services. </w:t>
            </w:r>
          </w:p>
          <w:p w14:paraId="00E68D30" w14:textId="6790E276" w:rsidR="00051B91" w:rsidRPr="00051B91" w:rsidRDefault="00A47BE5" w:rsidP="00A47BE5">
            <w:pPr>
              <w:keepNext/>
              <w:numPr>
                <w:ilvl w:val="0"/>
                <w:numId w:val="71"/>
              </w:numPr>
              <w:spacing w:before="60" w:after="0" w:line="240" w:lineRule="auto"/>
              <w:ind w:right="57"/>
              <w:rPr>
                <w:rFonts w:cstheme="minorHAnsi"/>
                <w:color w:val="000000"/>
              </w:rPr>
            </w:pPr>
            <w:r w:rsidRPr="00A47BE5">
              <w:rPr>
                <w:rFonts w:cstheme="minorHAnsi"/>
                <w:color w:val="000000"/>
              </w:rPr>
              <w:t>Improved CHW working conditions and community preparedness and response to public health threats</w:t>
            </w:r>
          </w:p>
        </w:tc>
      </w:tr>
      <w:tr w:rsidR="00051B91" w:rsidRPr="002C2C75" w14:paraId="52D070FC" w14:textId="77777777" w:rsidTr="00E74D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8" w:type="dxa"/>
        </w:trPr>
        <w:tc>
          <w:tcPr>
            <w:tcW w:w="2605" w:type="dxa"/>
            <w:gridSpan w:val="2"/>
            <w:tcBorders>
              <w:top w:val="single" w:sz="4" w:space="0" w:color="auto"/>
              <w:left w:val="single" w:sz="4" w:space="0" w:color="auto"/>
              <w:bottom w:val="single" w:sz="4" w:space="0" w:color="auto"/>
              <w:right w:val="single" w:sz="4" w:space="0" w:color="auto"/>
            </w:tcBorders>
          </w:tcPr>
          <w:p w14:paraId="37159C20" w14:textId="5F02F596" w:rsidR="00051B91" w:rsidRPr="00AC612F" w:rsidRDefault="00051B91" w:rsidP="00051B91">
            <w:pPr>
              <w:spacing w:line="264" w:lineRule="auto"/>
              <w:rPr>
                <w:rFonts w:cstheme="minorHAnsi"/>
                <w:b/>
                <w:bCs/>
                <w:color w:val="000000"/>
              </w:rPr>
            </w:pPr>
            <w:r w:rsidRPr="00AC612F">
              <w:rPr>
                <w:rFonts w:cstheme="minorHAnsi"/>
                <w:b/>
                <w:bCs/>
                <w:color w:val="000000"/>
              </w:rPr>
              <w:t xml:space="preserve">Intervention(s) </w:t>
            </w:r>
          </w:p>
        </w:tc>
        <w:tc>
          <w:tcPr>
            <w:tcW w:w="12600" w:type="dxa"/>
            <w:tcBorders>
              <w:top w:val="single" w:sz="4" w:space="0" w:color="auto"/>
              <w:left w:val="single" w:sz="4" w:space="0" w:color="auto"/>
              <w:bottom w:val="single" w:sz="4" w:space="0" w:color="auto"/>
              <w:right w:val="single" w:sz="4" w:space="0" w:color="auto"/>
            </w:tcBorders>
          </w:tcPr>
          <w:p w14:paraId="53133F2E" w14:textId="77777777" w:rsidR="00051B91" w:rsidRPr="00051B91" w:rsidRDefault="00051B91" w:rsidP="00051B91">
            <w:pPr>
              <w:rPr>
                <w:rFonts w:cstheme="minorHAnsi"/>
                <w:color w:val="000000"/>
              </w:rPr>
            </w:pPr>
            <w:r w:rsidRPr="002C2C75">
              <w:rPr>
                <w:rFonts w:cstheme="minorHAnsi"/>
                <w:b/>
                <w:bCs/>
                <w:color w:val="000000"/>
              </w:rPr>
              <w:t xml:space="preserve">Intervention: </w:t>
            </w:r>
            <w:r w:rsidRPr="00051B91">
              <w:rPr>
                <w:rFonts w:cstheme="minorHAnsi"/>
                <w:color w:val="000000"/>
              </w:rPr>
              <w:t>Community Health Workers: Hiring, Compensation and Retention</w:t>
            </w:r>
          </w:p>
          <w:p w14:paraId="246BB376" w14:textId="564E895F" w:rsidR="00051B91" w:rsidRPr="00AC612F" w:rsidRDefault="00051B91" w:rsidP="00AC612F">
            <w:pPr>
              <w:spacing w:line="264" w:lineRule="auto"/>
              <w:rPr>
                <w:rFonts w:cstheme="minorHAnsi"/>
                <w:color w:val="000000"/>
              </w:rPr>
            </w:pPr>
            <w:r w:rsidRPr="00051B91">
              <w:rPr>
                <w:rFonts w:cstheme="minorHAnsi"/>
                <w:color w:val="000000"/>
              </w:rPr>
              <w:t>Change in Pro</w:t>
            </w:r>
            <w:r w:rsidRPr="002C2C75">
              <w:rPr>
                <w:rFonts w:cstheme="minorHAnsi"/>
                <w:color w:val="000000"/>
              </w:rPr>
              <w:t xml:space="preserve">gramming from current grant: </w:t>
            </w:r>
            <w:r w:rsidRPr="002C2C75">
              <w:rPr>
                <w:rFonts w:ascii="Segoe UI Symbol" w:eastAsia="MS Gothic" w:hAnsi="Segoe UI Symbol" w:cs="Segoe UI Symbol"/>
                <w:color w:val="000000"/>
              </w:rPr>
              <w:t>☒</w:t>
            </w:r>
            <w:r w:rsidRPr="002C2C75">
              <w:rPr>
                <w:rFonts w:cstheme="minorHAnsi"/>
                <w:color w:val="000000"/>
              </w:rPr>
              <w:t xml:space="preserve"> New, </w:t>
            </w:r>
            <w:r w:rsidRPr="002C2C75">
              <w:rPr>
                <w:rFonts w:ascii="Segoe UI Symbol" w:hAnsi="Segoe UI Symbol" w:cs="Segoe UI Symbol"/>
                <w:color w:val="000000"/>
              </w:rPr>
              <w:t>☐</w:t>
            </w:r>
            <w:r w:rsidRPr="002C2C75">
              <w:rPr>
                <w:rFonts w:cstheme="minorHAnsi"/>
                <w:color w:val="000000"/>
              </w:rPr>
              <w:t xml:space="preserve"> Scale-up, </w:t>
            </w:r>
            <w:r w:rsidRPr="002C2C75">
              <w:rPr>
                <w:rFonts w:ascii="Segoe UI Symbol" w:hAnsi="Segoe UI Symbol" w:cs="Segoe UI Symbol"/>
                <w:color w:val="000000"/>
              </w:rPr>
              <w:t>☐</w:t>
            </w:r>
            <w:r w:rsidRPr="002C2C75">
              <w:rPr>
                <w:rFonts w:cstheme="minorHAnsi"/>
                <w:color w:val="000000"/>
              </w:rPr>
              <w:t xml:space="preserve"> Continuation, or </w:t>
            </w:r>
            <w:r w:rsidRPr="002C2C75">
              <w:rPr>
                <w:rFonts w:ascii="Segoe UI Symbol" w:hAnsi="Segoe UI Symbol" w:cs="Segoe UI Symbol"/>
                <w:color w:val="000000"/>
              </w:rPr>
              <w:t>☐</w:t>
            </w:r>
            <w:r w:rsidRPr="002C2C75">
              <w:rPr>
                <w:rFonts w:cstheme="minorHAnsi"/>
                <w:color w:val="000000"/>
              </w:rPr>
              <w:t xml:space="preserve"> Scale-down </w:t>
            </w:r>
          </w:p>
        </w:tc>
      </w:tr>
      <w:tr w:rsidR="00051B91" w:rsidRPr="002C2C75" w14:paraId="28628030" w14:textId="77777777" w:rsidTr="00E74D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8" w:type="dxa"/>
        </w:trPr>
        <w:tc>
          <w:tcPr>
            <w:tcW w:w="2605" w:type="dxa"/>
            <w:gridSpan w:val="2"/>
            <w:tcBorders>
              <w:top w:val="single" w:sz="4" w:space="0" w:color="auto"/>
              <w:left w:val="single" w:sz="4" w:space="0" w:color="auto"/>
              <w:bottom w:val="single" w:sz="4" w:space="0" w:color="auto"/>
              <w:right w:val="single" w:sz="4" w:space="0" w:color="auto"/>
            </w:tcBorders>
          </w:tcPr>
          <w:p w14:paraId="218B5974" w14:textId="77777777" w:rsidR="00051B91" w:rsidRPr="00AC612F" w:rsidRDefault="00051B91" w:rsidP="00051B91">
            <w:pPr>
              <w:spacing w:line="264" w:lineRule="auto"/>
              <w:rPr>
                <w:rFonts w:cstheme="minorHAnsi"/>
                <w:b/>
                <w:bCs/>
                <w:color w:val="000000"/>
              </w:rPr>
            </w:pPr>
            <w:r w:rsidRPr="00AC612F">
              <w:rPr>
                <w:rFonts w:cstheme="minorHAnsi"/>
                <w:b/>
                <w:bCs/>
                <w:color w:val="000000"/>
              </w:rPr>
              <w:t>Population, geographies and/or barriers addressed</w:t>
            </w:r>
          </w:p>
        </w:tc>
        <w:tc>
          <w:tcPr>
            <w:tcW w:w="12600" w:type="dxa"/>
            <w:tcBorders>
              <w:top w:val="single" w:sz="4" w:space="0" w:color="auto"/>
              <w:left w:val="single" w:sz="4" w:space="0" w:color="auto"/>
              <w:bottom w:val="single" w:sz="4" w:space="0" w:color="auto"/>
              <w:right w:val="single" w:sz="4" w:space="0" w:color="auto"/>
            </w:tcBorders>
          </w:tcPr>
          <w:p w14:paraId="228EF0E7" w14:textId="77777777" w:rsidR="00A47BE5" w:rsidRPr="00A47BE5" w:rsidRDefault="00A47BE5" w:rsidP="00A47BE5">
            <w:pPr>
              <w:rPr>
                <w:rFonts w:cstheme="minorHAnsi"/>
                <w:color w:val="000000"/>
              </w:rPr>
            </w:pPr>
            <w:r w:rsidRPr="00A47BE5">
              <w:rPr>
                <w:rFonts w:cstheme="minorHAnsi"/>
                <w:color w:val="000000"/>
              </w:rPr>
              <w:t>A report published by UNAIDS in 2017 stated that Mozambique had a community health worker ratio of less than 0.5 per 1,000 population, one of the lowest in the African continent.</w:t>
            </w:r>
          </w:p>
          <w:p w14:paraId="60BC90E7" w14:textId="77777777" w:rsidR="00A47BE5" w:rsidRPr="00A47BE5" w:rsidRDefault="00A47BE5" w:rsidP="00A47BE5">
            <w:pPr>
              <w:rPr>
                <w:rFonts w:cstheme="minorHAnsi"/>
                <w:color w:val="000000"/>
              </w:rPr>
            </w:pPr>
            <w:r w:rsidRPr="00A47BE5">
              <w:rPr>
                <w:rFonts w:cstheme="minorHAnsi"/>
                <w:color w:val="000000"/>
              </w:rPr>
              <w:t>By December 2022, the country had x Community Health Workers (CHWs) deployed across x provinces and x districts. In this process of transitioning and expanding community health services, a prioritization exercise was conducted for selecting the most vulnerable districts...</w:t>
            </w:r>
          </w:p>
          <w:p w14:paraId="3D0FD698" w14:textId="77777777" w:rsidR="00A47BE5" w:rsidRPr="00A47BE5" w:rsidRDefault="00A47BE5" w:rsidP="00A47BE5">
            <w:pPr>
              <w:rPr>
                <w:rFonts w:cstheme="minorHAnsi"/>
                <w:color w:val="000000"/>
              </w:rPr>
            </w:pPr>
            <w:r w:rsidRPr="00A47BE5">
              <w:rPr>
                <w:rFonts w:cstheme="minorHAnsi"/>
                <w:color w:val="000000"/>
              </w:rPr>
              <w:t>The prioritization exercise was based on Mozambique's health vulnerability index, further described in the rationale section.</w:t>
            </w:r>
          </w:p>
          <w:p w14:paraId="594E3560" w14:textId="23A8558B" w:rsidR="00051B91" w:rsidRPr="002C2C75" w:rsidRDefault="00A47BE5" w:rsidP="00A47BE5">
            <w:pPr>
              <w:rPr>
                <w:rFonts w:cstheme="minorHAnsi"/>
                <w:color w:val="000000"/>
              </w:rPr>
            </w:pPr>
            <w:r w:rsidRPr="00A47BE5">
              <w:rPr>
                <w:rFonts w:cstheme="minorHAnsi"/>
                <w:color w:val="000000"/>
              </w:rPr>
              <w:t>Once the CHWs are graduated, the competent authorities of the District or Municipal Decentralized Governance bodies prepare the contract and the respective registration in the e-SIP (Personnel Information System). They are then eligible for a monthly salary (estimated in 8,758 meticais).</w:t>
            </w:r>
          </w:p>
        </w:tc>
      </w:tr>
      <w:tr w:rsidR="00051B91" w:rsidRPr="002C2C75" w14:paraId="4E6D5547" w14:textId="77777777" w:rsidTr="00E74D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8" w:type="dxa"/>
        </w:trPr>
        <w:tc>
          <w:tcPr>
            <w:tcW w:w="2605" w:type="dxa"/>
            <w:gridSpan w:val="2"/>
            <w:tcBorders>
              <w:top w:val="single" w:sz="4" w:space="0" w:color="auto"/>
              <w:left w:val="single" w:sz="4" w:space="0" w:color="auto"/>
              <w:bottom w:val="single" w:sz="4" w:space="0" w:color="auto"/>
              <w:right w:val="single" w:sz="4" w:space="0" w:color="auto"/>
            </w:tcBorders>
          </w:tcPr>
          <w:p w14:paraId="65DC82E2" w14:textId="75879F49" w:rsidR="00051B91" w:rsidRPr="00AC612F" w:rsidRDefault="00AC612F" w:rsidP="00051B91">
            <w:pPr>
              <w:spacing w:line="264" w:lineRule="auto"/>
              <w:rPr>
                <w:rFonts w:cstheme="minorHAnsi"/>
                <w:b/>
                <w:bCs/>
                <w:color w:val="000000"/>
              </w:rPr>
            </w:pPr>
            <w:r w:rsidRPr="00AC612F">
              <w:rPr>
                <w:rFonts w:cstheme="minorHAnsi"/>
                <w:b/>
                <w:bCs/>
                <w:color w:val="000000"/>
              </w:rPr>
              <w:t>List of activities</w:t>
            </w:r>
          </w:p>
        </w:tc>
        <w:tc>
          <w:tcPr>
            <w:tcW w:w="12600" w:type="dxa"/>
            <w:tcBorders>
              <w:top w:val="single" w:sz="4" w:space="0" w:color="auto"/>
              <w:left w:val="single" w:sz="4" w:space="0" w:color="auto"/>
              <w:bottom w:val="single" w:sz="4" w:space="0" w:color="auto"/>
              <w:right w:val="single" w:sz="4" w:space="0" w:color="auto"/>
            </w:tcBorders>
          </w:tcPr>
          <w:p w14:paraId="5DA241F8" w14:textId="77777777" w:rsidR="00A47BE5" w:rsidRPr="00A47BE5" w:rsidRDefault="00A47BE5" w:rsidP="00A47BE5">
            <w:pPr>
              <w:keepNext/>
              <w:numPr>
                <w:ilvl w:val="0"/>
                <w:numId w:val="72"/>
              </w:numPr>
              <w:spacing w:before="60" w:after="0" w:line="240" w:lineRule="auto"/>
              <w:ind w:right="57"/>
              <w:rPr>
                <w:rFonts w:cstheme="minorHAnsi"/>
                <w:color w:val="000000"/>
              </w:rPr>
            </w:pPr>
            <w:r w:rsidRPr="00A47BE5">
              <w:rPr>
                <w:rFonts w:cstheme="minorHAnsi"/>
                <w:color w:val="000000"/>
              </w:rPr>
              <w:t xml:space="preserve">Phased hiring of 963 CHWs trained in the new competency-based curriculum is proposed, with 303 already trained in 2023 and an additional 660 to be trained during the current funding implementation period (2024-2026). These CHWs will be selected from and assigned to 37 prioritized districts, along with the 12 pilot districts. </w:t>
            </w:r>
          </w:p>
          <w:p w14:paraId="30FBFEDE" w14:textId="3A93AFEE" w:rsidR="00051B91" w:rsidRPr="00AC612F" w:rsidRDefault="00A47BE5" w:rsidP="00A47BE5">
            <w:pPr>
              <w:keepNext/>
              <w:numPr>
                <w:ilvl w:val="0"/>
                <w:numId w:val="72"/>
              </w:numPr>
              <w:spacing w:before="60" w:after="0" w:line="240" w:lineRule="auto"/>
              <w:ind w:right="57"/>
              <w:rPr>
                <w:rFonts w:cstheme="minorHAnsi"/>
              </w:rPr>
            </w:pPr>
            <w:r w:rsidRPr="00A47BE5">
              <w:rPr>
                <w:rFonts w:cstheme="minorHAnsi"/>
                <w:color w:val="000000"/>
              </w:rPr>
              <w:t>Implementation of mechanisms to ensure timely and full payment of monthly remuneration for the graduated CHWs, as well as monitoring of this process. The subsystem needs $3,157,869 to cover the salaries of 963 graduated CHWs in a phased manner until 2026</w:t>
            </w:r>
            <w:r>
              <w:rPr>
                <w:rFonts w:cstheme="minorHAnsi"/>
                <w:color w:val="000000"/>
              </w:rPr>
              <w:t>.</w:t>
            </w:r>
          </w:p>
        </w:tc>
      </w:tr>
      <w:sdt>
        <w:sdtPr>
          <w:rPr>
            <w:rFonts w:cstheme="minorHAnsi"/>
            <w:b/>
            <w:bCs/>
          </w:rPr>
          <w:tag w:val="goog_rdk_302"/>
          <w:id w:val="119348823"/>
        </w:sdtPr>
        <w:sdtEndPr>
          <w:rPr>
            <w:b w:val="0"/>
            <w:bCs w:val="0"/>
          </w:rPr>
        </w:sdtEndPr>
        <w:sdtContent>
          <w:tr w:rsidR="00051B91" w:rsidRPr="002C2C75" w14:paraId="665540E1" w14:textId="77777777" w:rsidTr="00E74D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8" w:type="dxa"/>
            </w:trPr>
            <w:tc>
              <w:tcPr>
                <w:tcW w:w="2605" w:type="dxa"/>
                <w:gridSpan w:val="2"/>
                <w:tcBorders>
                  <w:top w:val="single" w:sz="4" w:space="0" w:color="auto"/>
                  <w:left w:val="single" w:sz="4" w:space="0" w:color="auto"/>
                  <w:bottom w:val="single" w:sz="4" w:space="0" w:color="auto"/>
                  <w:right w:val="single" w:sz="4" w:space="0" w:color="auto"/>
                </w:tcBorders>
              </w:tcPr>
              <w:p w14:paraId="536D5B56" w14:textId="77777777" w:rsidR="00051B91" w:rsidRPr="00AC612F" w:rsidRDefault="00051B91" w:rsidP="00051B91">
                <w:pPr>
                  <w:spacing w:line="264" w:lineRule="auto"/>
                  <w:rPr>
                    <w:rFonts w:cstheme="minorHAnsi"/>
                    <w:b/>
                    <w:bCs/>
                    <w:color w:val="000000"/>
                  </w:rPr>
                </w:pPr>
                <w:r w:rsidRPr="00AC612F">
                  <w:rPr>
                    <w:rFonts w:cstheme="minorHAnsi"/>
                    <w:b/>
                    <w:bCs/>
                    <w:color w:val="000000"/>
                  </w:rPr>
                  <w:t>Amount requested</w:t>
                </w:r>
              </w:p>
            </w:tc>
            <w:tc>
              <w:tcPr>
                <w:tcW w:w="12600" w:type="dxa"/>
                <w:tcBorders>
                  <w:top w:val="single" w:sz="4" w:space="0" w:color="auto"/>
                  <w:left w:val="single" w:sz="4" w:space="0" w:color="auto"/>
                  <w:bottom w:val="single" w:sz="4" w:space="0" w:color="auto"/>
                  <w:right w:val="single" w:sz="4" w:space="0" w:color="auto"/>
                </w:tcBorders>
              </w:tcPr>
              <w:p w14:paraId="2555C437" w14:textId="64F910F2" w:rsidR="00051B91" w:rsidRPr="002C2C75" w:rsidRDefault="00000000" w:rsidP="00051B91">
                <w:pPr>
                  <w:rPr>
                    <w:rFonts w:cstheme="minorHAnsi"/>
                    <w:color w:val="000000"/>
                  </w:rPr>
                </w:pPr>
                <w:sdt>
                  <w:sdtPr>
                    <w:rPr>
                      <w:rFonts w:cstheme="minorHAnsi"/>
                      <w:b/>
                      <w:bCs/>
                    </w:rPr>
                    <w:tag w:val="goog_rdk_307"/>
                    <w:id w:val="-1448841991"/>
                    <w:showingPlcHdr/>
                  </w:sdtPr>
                  <w:sdtContent>
                    <w:r w:rsidR="00051B91" w:rsidRPr="002C2C75">
                      <w:rPr>
                        <w:rFonts w:cstheme="minorHAnsi"/>
                        <w:b/>
                        <w:bCs/>
                      </w:rPr>
                      <w:t xml:space="preserve">     </w:t>
                    </w:r>
                  </w:sdtContent>
                </w:sdt>
                <w:r w:rsidR="00051B91" w:rsidRPr="002C2C75">
                  <w:rPr>
                    <w:rFonts w:cstheme="minorHAnsi"/>
                    <w:b/>
                    <w:bCs/>
                  </w:rPr>
                  <w:t>Within allocation: $3,1</w:t>
                </w:r>
                <w:r w:rsidR="00051B91">
                  <w:rPr>
                    <w:rFonts w:cstheme="minorHAnsi"/>
                    <w:b/>
                    <w:bCs/>
                  </w:rPr>
                  <w:t>25</w:t>
                </w:r>
                <w:r w:rsidR="00051B91" w:rsidRPr="002C2C75">
                  <w:rPr>
                    <w:rFonts w:cstheme="minorHAnsi"/>
                    <w:b/>
                    <w:bCs/>
                  </w:rPr>
                  <w:t>,</w:t>
                </w:r>
                <w:r w:rsidR="00051B91">
                  <w:rPr>
                    <w:rFonts w:cstheme="minorHAnsi"/>
                    <w:b/>
                    <w:bCs/>
                  </w:rPr>
                  <w:t>721</w:t>
                </w:r>
              </w:p>
            </w:tc>
          </w:tr>
        </w:sdtContent>
      </w:sdt>
      <w:tr w:rsidR="00AC612F" w:rsidRPr="002C2C75" w14:paraId="2F1083A3" w14:textId="77777777" w:rsidTr="00E74D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8" w:type="dxa"/>
        </w:trPr>
        <w:tc>
          <w:tcPr>
            <w:tcW w:w="2605" w:type="dxa"/>
            <w:gridSpan w:val="2"/>
            <w:tcBorders>
              <w:top w:val="single" w:sz="4" w:space="0" w:color="auto"/>
              <w:left w:val="single" w:sz="4" w:space="0" w:color="auto"/>
              <w:bottom w:val="single" w:sz="4" w:space="0" w:color="auto"/>
              <w:right w:val="single" w:sz="4" w:space="0" w:color="auto"/>
            </w:tcBorders>
          </w:tcPr>
          <w:p w14:paraId="2712B525" w14:textId="1E35B399" w:rsidR="00AC612F" w:rsidRPr="00AC612F" w:rsidRDefault="00AC612F" w:rsidP="00AC612F">
            <w:pPr>
              <w:spacing w:line="264" w:lineRule="auto"/>
              <w:rPr>
                <w:rFonts w:cstheme="minorHAnsi"/>
                <w:b/>
                <w:bCs/>
              </w:rPr>
            </w:pPr>
            <w:r w:rsidRPr="00AC612F">
              <w:rPr>
                <w:rFonts w:cstheme="minorHAnsi"/>
                <w:b/>
                <w:bCs/>
                <w:color w:val="000000"/>
              </w:rPr>
              <w:t>Expected outcome</w:t>
            </w:r>
          </w:p>
        </w:tc>
        <w:tc>
          <w:tcPr>
            <w:tcW w:w="12600" w:type="dxa"/>
            <w:tcBorders>
              <w:top w:val="single" w:sz="4" w:space="0" w:color="auto"/>
              <w:left w:val="single" w:sz="4" w:space="0" w:color="auto"/>
              <w:bottom w:val="single" w:sz="4" w:space="0" w:color="auto"/>
              <w:right w:val="single" w:sz="4" w:space="0" w:color="auto"/>
            </w:tcBorders>
          </w:tcPr>
          <w:p w14:paraId="487DE7EB" w14:textId="77777777" w:rsidR="00AC612F" w:rsidRDefault="00000000" w:rsidP="00AC612F">
            <w:pPr>
              <w:keepNext/>
              <w:numPr>
                <w:ilvl w:val="0"/>
                <w:numId w:val="73"/>
              </w:numPr>
              <w:spacing w:before="60" w:after="0" w:line="240" w:lineRule="auto"/>
              <w:ind w:right="57"/>
              <w:rPr>
                <w:rFonts w:cstheme="minorHAnsi"/>
              </w:rPr>
            </w:pPr>
            <w:sdt>
              <w:sdtPr>
                <w:rPr>
                  <w:rFonts w:cstheme="minorHAnsi"/>
                </w:rPr>
                <w:tag w:val="goog_rdk_319"/>
                <w:id w:val="2077558926"/>
              </w:sdtPr>
              <w:sdtContent>
                <w:sdt>
                  <w:sdtPr>
                    <w:rPr>
                      <w:rFonts w:cstheme="minorHAnsi"/>
                    </w:rPr>
                    <w:tag w:val="goog_rdk_318"/>
                    <w:id w:val="2137991095"/>
                  </w:sdtPr>
                  <w:sdtContent>
                    <w:r w:rsidR="00AC612F" w:rsidRPr="002C2C75">
                      <w:rPr>
                        <w:rFonts w:cstheme="minorHAnsi"/>
                        <w:color w:val="000000"/>
                      </w:rPr>
                      <w:t>Pre-service training and assignment of 963 CHW to high vulnerable districts</w:t>
                    </w:r>
                  </w:sdtContent>
                </w:sdt>
              </w:sdtContent>
            </w:sdt>
          </w:p>
          <w:p w14:paraId="13BC04CA" w14:textId="1672ADB0" w:rsidR="00AC612F" w:rsidRPr="00AC612F" w:rsidRDefault="00AC612F" w:rsidP="00AC612F">
            <w:pPr>
              <w:keepNext/>
              <w:numPr>
                <w:ilvl w:val="0"/>
                <w:numId w:val="73"/>
              </w:numPr>
              <w:spacing w:before="60" w:after="0" w:line="240" w:lineRule="auto"/>
              <w:ind w:right="57"/>
              <w:rPr>
                <w:rFonts w:cstheme="minorHAnsi"/>
              </w:rPr>
            </w:pPr>
            <w:r w:rsidRPr="00AC612F">
              <w:rPr>
                <w:rFonts w:cstheme="minorHAnsi"/>
                <w:color w:val="000000"/>
              </w:rPr>
              <w:t>Harmonized CHW hiring and remuneration policy approved by the MOH with a monitoring process established to ensure the proper execution of the payment system</w:t>
            </w:r>
          </w:p>
        </w:tc>
      </w:tr>
      <w:tr w:rsidR="00AC612F" w:rsidRPr="002C2C75" w14:paraId="7902FF90" w14:textId="77777777" w:rsidTr="00E74D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8" w:type="dxa"/>
        </w:trPr>
        <w:tc>
          <w:tcPr>
            <w:tcW w:w="2605" w:type="dxa"/>
            <w:gridSpan w:val="2"/>
            <w:tcBorders>
              <w:top w:val="single" w:sz="4" w:space="0" w:color="auto"/>
              <w:left w:val="single" w:sz="4" w:space="0" w:color="auto"/>
              <w:bottom w:val="single" w:sz="4" w:space="0" w:color="auto"/>
              <w:right w:val="single" w:sz="4" w:space="0" w:color="auto"/>
            </w:tcBorders>
          </w:tcPr>
          <w:p w14:paraId="3CB47FEA" w14:textId="200DD7EF" w:rsidR="00AC612F" w:rsidRPr="00AC612F" w:rsidRDefault="00AC612F" w:rsidP="00AC612F">
            <w:pPr>
              <w:spacing w:line="264" w:lineRule="auto"/>
              <w:rPr>
                <w:rFonts w:cstheme="minorHAnsi"/>
                <w:b/>
                <w:bCs/>
                <w:color w:val="000000"/>
              </w:rPr>
            </w:pPr>
            <w:r w:rsidRPr="00AC612F">
              <w:rPr>
                <w:rFonts w:cstheme="minorHAnsi"/>
                <w:b/>
                <w:bCs/>
                <w:color w:val="000000"/>
              </w:rPr>
              <w:t xml:space="preserve">Intervention(s) </w:t>
            </w:r>
          </w:p>
        </w:tc>
        <w:tc>
          <w:tcPr>
            <w:tcW w:w="12600" w:type="dxa"/>
            <w:tcBorders>
              <w:top w:val="single" w:sz="4" w:space="0" w:color="auto"/>
              <w:left w:val="single" w:sz="4" w:space="0" w:color="auto"/>
              <w:bottom w:val="single" w:sz="4" w:space="0" w:color="auto"/>
              <w:right w:val="single" w:sz="4" w:space="0" w:color="auto"/>
            </w:tcBorders>
          </w:tcPr>
          <w:p w14:paraId="739C132A" w14:textId="1A630747" w:rsidR="00AC612F" w:rsidRPr="00AC612F" w:rsidRDefault="00AC612F" w:rsidP="00AC612F">
            <w:pPr>
              <w:rPr>
                <w:rFonts w:cstheme="minorHAnsi"/>
                <w:color w:val="000000"/>
              </w:rPr>
            </w:pPr>
            <w:r>
              <w:rPr>
                <w:rFonts w:cstheme="minorHAnsi"/>
                <w:b/>
                <w:bCs/>
                <w:color w:val="000000"/>
              </w:rPr>
              <w:t xml:space="preserve">Intervention: </w:t>
            </w:r>
            <w:r w:rsidRPr="00AC612F">
              <w:rPr>
                <w:rFonts w:cstheme="minorHAnsi"/>
                <w:color w:val="000000"/>
              </w:rPr>
              <w:t xml:space="preserve">Community Health Workers: Integrated Technical Supportive Supervision </w:t>
            </w:r>
          </w:p>
          <w:p w14:paraId="45982652" w14:textId="08A194B2" w:rsidR="00AC612F" w:rsidRPr="00AC612F" w:rsidRDefault="00AC612F" w:rsidP="00AC612F">
            <w:pPr>
              <w:spacing w:line="264" w:lineRule="auto"/>
              <w:rPr>
                <w:rFonts w:cstheme="minorHAnsi"/>
                <w:color w:val="000000"/>
              </w:rPr>
            </w:pPr>
            <w:r w:rsidRPr="00AC612F">
              <w:rPr>
                <w:rFonts w:cstheme="minorHAnsi"/>
                <w:color w:val="000000"/>
              </w:rPr>
              <w:t>Change in Pro</w:t>
            </w:r>
            <w:r w:rsidRPr="002C2C75">
              <w:rPr>
                <w:rFonts w:cstheme="minorHAnsi"/>
                <w:color w:val="000000"/>
              </w:rPr>
              <w:t xml:space="preserve">gramming from current grant: X New, </w:t>
            </w:r>
            <w:r w:rsidRPr="002C2C75">
              <w:rPr>
                <w:rFonts w:ascii="Segoe UI Symbol" w:hAnsi="Segoe UI Symbol" w:cs="Segoe UI Symbol"/>
                <w:color w:val="000000"/>
              </w:rPr>
              <w:t>☐</w:t>
            </w:r>
            <w:r w:rsidRPr="002C2C75">
              <w:rPr>
                <w:rFonts w:cstheme="minorHAnsi"/>
                <w:color w:val="000000"/>
              </w:rPr>
              <w:t xml:space="preserve"> Scale-up, </w:t>
            </w:r>
            <w:r w:rsidRPr="002C2C75">
              <w:rPr>
                <w:rFonts w:ascii="Segoe UI Symbol" w:hAnsi="Segoe UI Symbol" w:cs="Segoe UI Symbol"/>
                <w:color w:val="000000"/>
              </w:rPr>
              <w:t>☐</w:t>
            </w:r>
            <w:r w:rsidRPr="002C2C75">
              <w:rPr>
                <w:rFonts w:cstheme="minorHAnsi"/>
                <w:color w:val="000000"/>
              </w:rPr>
              <w:t xml:space="preserve"> Continuation, or </w:t>
            </w:r>
            <w:r w:rsidRPr="002C2C75">
              <w:rPr>
                <w:rFonts w:ascii="Segoe UI Symbol" w:hAnsi="Segoe UI Symbol" w:cs="Segoe UI Symbol"/>
                <w:color w:val="000000"/>
              </w:rPr>
              <w:t>☐</w:t>
            </w:r>
            <w:r w:rsidRPr="002C2C75">
              <w:rPr>
                <w:rFonts w:cstheme="minorHAnsi"/>
                <w:color w:val="000000"/>
              </w:rPr>
              <w:t xml:space="preserve"> Scale-down  </w:t>
            </w:r>
          </w:p>
        </w:tc>
      </w:tr>
      <w:tr w:rsidR="00AC612F" w:rsidRPr="002C2C75" w14:paraId="61990A21" w14:textId="77777777" w:rsidTr="00E74D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8" w:type="dxa"/>
        </w:trPr>
        <w:tc>
          <w:tcPr>
            <w:tcW w:w="2605" w:type="dxa"/>
            <w:gridSpan w:val="2"/>
            <w:tcBorders>
              <w:top w:val="single" w:sz="4" w:space="0" w:color="auto"/>
              <w:left w:val="single" w:sz="4" w:space="0" w:color="auto"/>
              <w:bottom w:val="single" w:sz="4" w:space="0" w:color="auto"/>
              <w:right w:val="single" w:sz="4" w:space="0" w:color="auto"/>
            </w:tcBorders>
          </w:tcPr>
          <w:p w14:paraId="0313271C" w14:textId="77777777" w:rsidR="00AC612F" w:rsidRPr="00AC612F" w:rsidRDefault="00AC612F" w:rsidP="00AC612F">
            <w:pPr>
              <w:spacing w:line="264" w:lineRule="auto"/>
              <w:rPr>
                <w:rFonts w:cstheme="minorHAnsi"/>
                <w:b/>
                <w:bCs/>
                <w:color w:val="000000"/>
              </w:rPr>
            </w:pPr>
            <w:r w:rsidRPr="00AC612F">
              <w:rPr>
                <w:rFonts w:cstheme="minorHAnsi"/>
                <w:b/>
                <w:bCs/>
                <w:color w:val="000000"/>
              </w:rPr>
              <w:t>Population, geographies and/or barriers addressed</w:t>
            </w:r>
          </w:p>
        </w:tc>
        <w:tc>
          <w:tcPr>
            <w:tcW w:w="12600" w:type="dxa"/>
            <w:tcBorders>
              <w:top w:val="single" w:sz="4" w:space="0" w:color="auto"/>
              <w:left w:val="single" w:sz="4" w:space="0" w:color="auto"/>
              <w:bottom w:val="single" w:sz="4" w:space="0" w:color="auto"/>
              <w:right w:val="single" w:sz="4" w:space="0" w:color="auto"/>
            </w:tcBorders>
          </w:tcPr>
          <w:p w14:paraId="10D010F3" w14:textId="77777777" w:rsidR="00AC612F" w:rsidRPr="002C2C75" w:rsidRDefault="00AC612F" w:rsidP="00AC612F">
            <w:pPr>
              <w:rPr>
                <w:rFonts w:cstheme="minorHAnsi"/>
                <w:color w:val="000000"/>
              </w:rPr>
            </w:pPr>
            <w:r w:rsidRPr="002C2C75">
              <w:rPr>
                <w:rFonts w:cstheme="minorHAnsi"/>
                <w:color w:val="000000"/>
              </w:rPr>
              <w:t>Supervision and technical support to CHWs will follow a bottom-up approach, and be completed by a top-down approach. The bottom-up approach consists in the health facility conducting monthly supervisions and technical support to CHWs. Integrated district and provincial level teams conduct quarterly supervisions and the integrated national level supervision teams conduct bi-annual supervision visits (every 6 months). Supervision guides and pocket sized books will be used during supervision, supplemented by the supervision module within UpSCALE.</w:t>
            </w:r>
          </w:p>
          <w:p w14:paraId="19270177" w14:textId="77777777" w:rsidR="00AC612F" w:rsidRPr="002C2C75" w:rsidRDefault="00AC612F" w:rsidP="00AC612F">
            <w:pPr>
              <w:rPr>
                <w:rFonts w:cstheme="minorHAnsi"/>
                <w:color w:val="000000"/>
              </w:rPr>
            </w:pPr>
            <w:r w:rsidRPr="002C2C75">
              <w:rPr>
                <w:rFonts w:cstheme="minorHAnsi"/>
                <w:color w:val="000000"/>
              </w:rPr>
              <w:t>Supportive supervision and technical support of the new cadres of CHWs (APS and ACS) trained in the new competency-based curriculum, will follow the format of the supervision within the APE CHWs Community Health Program activities is carried out by healthcare professionals from the health units in the area, based on a supervision guide.</w:t>
            </w:r>
          </w:p>
          <w:p w14:paraId="086FEBC7" w14:textId="77777777" w:rsidR="00AC612F" w:rsidRPr="002C2C75" w:rsidRDefault="00AC612F" w:rsidP="00AC612F">
            <w:pPr>
              <w:rPr>
                <w:rFonts w:cstheme="minorHAnsi"/>
                <w:color w:val="000000"/>
              </w:rPr>
            </w:pPr>
            <w:r w:rsidRPr="002C2C75">
              <w:rPr>
                <w:rFonts w:cstheme="minorHAnsi"/>
                <w:color w:val="000000"/>
              </w:rPr>
              <w:t>The supervision team consists of a clinical supervisor (CS) and a supervisor for Maternal and Child Health (MCH). These health technicians will dedicate 20 percent of their workload to supervision tasks. Each supervisor will be responsible for covering 12 CHWs.</w:t>
            </w:r>
          </w:p>
          <w:p w14:paraId="48B4F7F3" w14:textId="77777777" w:rsidR="00AC612F" w:rsidRPr="002C2C75" w:rsidRDefault="00AC612F" w:rsidP="00AC612F">
            <w:pPr>
              <w:rPr>
                <w:rFonts w:cstheme="minorHAnsi"/>
                <w:color w:val="000000"/>
              </w:rPr>
            </w:pPr>
            <w:r w:rsidRPr="002C2C75">
              <w:rPr>
                <w:rFonts w:cstheme="minorHAnsi"/>
                <w:color w:val="000000"/>
              </w:rPr>
              <w:t>A supervision allowance will be provided, which must comply with the compensation rates defined by the competent authorities.</w:t>
            </w:r>
          </w:p>
        </w:tc>
      </w:tr>
      <w:tr w:rsidR="00AC612F" w:rsidRPr="002C2C75" w14:paraId="5811C13B" w14:textId="77777777" w:rsidTr="00E74D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8" w:type="dxa"/>
        </w:trPr>
        <w:tc>
          <w:tcPr>
            <w:tcW w:w="2605" w:type="dxa"/>
            <w:gridSpan w:val="2"/>
            <w:tcBorders>
              <w:top w:val="single" w:sz="4" w:space="0" w:color="auto"/>
              <w:left w:val="single" w:sz="4" w:space="0" w:color="auto"/>
              <w:bottom w:val="single" w:sz="4" w:space="0" w:color="auto"/>
              <w:right w:val="single" w:sz="4" w:space="0" w:color="auto"/>
            </w:tcBorders>
          </w:tcPr>
          <w:p w14:paraId="4726808F" w14:textId="47164E2E" w:rsidR="00AC612F" w:rsidRPr="00AC612F" w:rsidRDefault="00AC612F" w:rsidP="00AC612F">
            <w:pPr>
              <w:spacing w:line="264" w:lineRule="auto"/>
              <w:rPr>
                <w:rFonts w:cstheme="minorHAnsi"/>
                <w:b/>
                <w:bCs/>
                <w:color w:val="000000"/>
              </w:rPr>
            </w:pPr>
            <w:r w:rsidRPr="00AC612F">
              <w:rPr>
                <w:rFonts w:cstheme="minorHAnsi"/>
                <w:b/>
                <w:bCs/>
                <w:color w:val="000000"/>
              </w:rPr>
              <w:t>List of activities</w:t>
            </w:r>
          </w:p>
        </w:tc>
        <w:tc>
          <w:tcPr>
            <w:tcW w:w="12600" w:type="dxa"/>
            <w:tcBorders>
              <w:top w:val="single" w:sz="4" w:space="0" w:color="auto"/>
              <w:left w:val="single" w:sz="4" w:space="0" w:color="auto"/>
              <w:bottom w:val="single" w:sz="4" w:space="0" w:color="auto"/>
              <w:right w:val="single" w:sz="4" w:space="0" w:color="auto"/>
            </w:tcBorders>
          </w:tcPr>
          <w:p w14:paraId="10D000EE" w14:textId="77777777" w:rsidR="00E536EC" w:rsidRPr="00E536EC" w:rsidRDefault="00E536EC" w:rsidP="00E536EC">
            <w:pPr>
              <w:pStyle w:val="ListParagraph"/>
              <w:numPr>
                <w:ilvl w:val="0"/>
                <w:numId w:val="74"/>
              </w:numPr>
              <w:rPr>
                <w:rFonts w:cstheme="minorHAnsi"/>
                <w:color w:val="000000"/>
              </w:rPr>
            </w:pPr>
            <w:r w:rsidRPr="00E536EC">
              <w:rPr>
                <w:rFonts w:cstheme="minorHAnsi"/>
                <w:color w:val="000000"/>
              </w:rPr>
              <w:t>Mapping and training of CHW supervisors. By investing in the development of supervisors, we aim to enhance the overall supervision process and bridge any gaps caused by staff turnover.</w:t>
            </w:r>
          </w:p>
          <w:p w14:paraId="16C066EE" w14:textId="77777777" w:rsidR="00E536EC" w:rsidRPr="00E536EC" w:rsidRDefault="00E536EC" w:rsidP="00E536EC">
            <w:pPr>
              <w:pStyle w:val="ListParagraph"/>
              <w:numPr>
                <w:ilvl w:val="0"/>
                <w:numId w:val="74"/>
              </w:numPr>
              <w:rPr>
                <w:rFonts w:cstheme="minorHAnsi"/>
                <w:color w:val="000000"/>
              </w:rPr>
            </w:pPr>
            <w:r w:rsidRPr="00E536EC">
              <w:rPr>
                <w:rFonts w:cstheme="minorHAnsi"/>
                <w:color w:val="000000"/>
              </w:rPr>
              <w:t>Conducting supportive supervision to CHWs, as part of the continuous training, which includes on-the-job training, and cover related costs such as per diem and travel expenses for supervisors at the national, provincial, and district levels. The estimated cost for this activity is $664,335.</w:t>
            </w:r>
          </w:p>
          <w:p w14:paraId="6E398256" w14:textId="77777777" w:rsidR="00E536EC" w:rsidRPr="00E536EC" w:rsidRDefault="00E536EC" w:rsidP="00E536EC">
            <w:pPr>
              <w:pStyle w:val="ListParagraph"/>
              <w:numPr>
                <w:ilvl w:val="0"/>
                <w:numId w:val="74"/>
              </w:numPr>
              <w:rPr>
                <w:rFonts w:cstheme="minorHAnsi"/>
                <w:color w:val="000000"/>
              </w:rPr>
            </w:pPr>
            <w:r w:rsidRPr="00E536EC">
              <w:rPr>
                <w:rFonts w:cstheme="minorHAnsi"/>
                <w:color w:val="000000"/>
              </w:rPr>
              <w:t xml:space="preserve">Use telementoring of CHWs as part of on-the-job- training to complement face-to-face supervision and technical support interactions between national and provincial level supervisors and CHWs and to reduce travel and other costs related to face-to-face interactions. </w:t>
            </w:r>
          </w:p>
          <w:p w14:paraId="2F4A2131" w14:textId="77777777" w:rsidR="00E536EC" w:rsidRPr="00E536EC" w:rsidRDefault="00E536EC" w:rsidP="00E536EC">
            <w:pPr>
              <w:pStyle w:val="ListParagraph"/>
              <w:numPr>
                <w:ilvl w:val="0"/>
                <w:numId w:val="74"/>
              </w:numPr>
              <w:rPr>
                <w:rFonts w:cstheme="minorHAnsi"/>
                <w:color w:val="000000"/>
              </w:rPr>
            </w:pPr>
            <w:r w:rsidRPr="00E536EC">
              <w:rPr>
                <w:rFonts w:cstheme="minorHAnsi"/>
                <w:color w:val="000000"/>
              </w:rPr>
              <w:t>Telementoring tools will be developed and adapted as needed, by the the Ministry of Health Training Departments, with validation of contents involving disease programs (HIV, TB, malaria) and the community health program of the Ministry of Health</w:t>
            </w:r>
          </w:p>
          <w:p w14:paraId="535A1915" w14:textId="77777777" w:rsidR="00036B0D" w:rsidRDefault="00E536EC" w:rsidP="00036B0D">
            <w:pPr>
              <w:pStyle w:val="ListParagraph"/>
              <w:numPr>
                <w:ilvl w:val="0"/>
                <w:numId w:val="74"/>
              </w:numPr>
              <w:rPr>
                <w:rFonts w:cstheme="minorHAnsi"/>
                <w:color w:val="000000"/>
              </w:rPr>
            </w:pPr>
            <w:r w:rsidRPr="00E536EC">
              <w:rPr>
                <w:rFonts w:cstheme="minorHAnsi"/>
                <w:color w:val="000000"/>
              </w:rPr>
              <w:t xml:space="preserve">TA to support the coordination to implement the community health system at national, provincial and district level. </w:t>
            </w:r>
          </w:p>
          <w:p w14:paraId="78AA5314" w14:textId="03183947" w:rsidR="00E536EC" w:rsidRPr="00036B0D" w:rsidRDefault="00E536EC" w:rsidP="00036B0D">
            <w:pPr>
              <w:pStyle w:val="ListParagraph"/>
              <w:numPr>
                <w:ilvl w:val="0"/>
                <w:numId w:val="74"/>
              </w:numPr>
              <w:rPr>
                <w:rFonts w:cstheme="minorHAnsi"/>
                <w:color w:val="000000"/>
              </w:rPr>
            </w:pPr>
            <w:r w:rsidRPr="00036B0D">
              <w:rPr>
                <w:rFonts w:cstheme="minorHAnsi"/>
                <w:color w:val="000000"/>
              </w:rPr>
              <w:t xml:space="preserve">TA to support the coordination and development of tools for operationalization and monitoring, with a focus on continuous improvement. This includes areas such as the training package, supply system, and information system tools. </w:t>
            </w:r>
          </w:p>
          <w:p w14:paraId="137A5B6B" w14:textId="32AED83C" w:rsidR="00AC612F" w:rsidRPr="002C2C75" w:rsidRDefault="00AC612F" w:rsidP="00AC612F">
            <w:pPr>
              <w:pStyle w:val="ListAlpha"/>
              <w:keepNext/>
              <w:numPr>
                <w:ilvl w:val="0"/>
                <w:numId w:val="0"/>
              </w:numPr>
              <w:spacing w:before="60"/>
              <w:ind w:left="360" w:right="57" w:hanging="360"/>
              <w:jc w:val="both"/>
              <w:rPr>
                <w:rFonts w:cstheme="minorHAnsi"/>
                <w:color w:val="000000"/>
                <w:sz w:val="22"/>
              </w:rPr>
            </w:pPr>
            <w:r w:rsidRPr="00AC612F">
              <w:rPr>
                <w:rFonts w:cstheme="minorHAnsi"/>
                <w:b/>
                <w:bCs/>
                <w:color w:val="000000"/>
                <w:sz w:val="22"/>
              </w:rPr>
              <w:t xml:space="preserve">PAAR: </w:t>
            </w:r>
            <w:r w:rsidRPr="00AC612F">
              <w:rPr>
                <w:rFonts w:cstheme="minorHAnsi"/>
                <w:color w:val="000000"/>
                <w:sz w:val="22"/>
              </w:rPr>
              <w:t>(Under PAAR) Procuring 11 vehicles, including one for the central level in Maputo City and one for each of the 10 additional provinces in Mozambique, to facilitate supervision and provide technical support to CHWs. The estimated cost for this is $330,000. These vehicles will contribute to regular supervision from the national and the provincial level to the sub-national level to ensure quality of implementation of the newly created community health subsystem, with urgent a.</w:t>
            </w:r>
            <w:r w:rsidRPr="002C2C75">
              <w:rPr>
                <w:rFonts w:cstheme="minorHAnsi"/>
                <w:color w:val="000000"/>
              </w:rPr>
              <w:t xml:space="preserve">  </w:t>
            </w:r>
          </w:p>
        </w:tc>
      </w:tr>
      <w:tr w:rsidR="00AC612F" w:rsidRPr="002C2C75" w14:paraId="207A8E9F" w14:textId="77777777" w:rsidTr="00E74D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8" w:type="dxa"/>
        </w:trPr>
        <w:tc>
          <w:tcPr>
            <w:tcW w:w="2605" w:type="dxa"/>
            <w:gridSpan w:val="2"/>
            <w:tcBorders>
              <w:top w:val="single" w:sz="4" w:space="0" w:color="auto"/>
              <w:left w:val="single" w:sz="4" w:space="0" w:color="auto"/>
              <w:bottom w:val="single" w:sz="4" w:space="0" w:color="auto"/>
              <w:right w:val="single" w:sz="4" w:space="0" w:color="auto"/>
            </w:tcBorders>
          </w:tcPr>
          <w:p w14:paraId="3C2ED877" w14:textId="77777777" w:rsidR="00AC612F" w:rsidRPr="00AC612F" w:rsidRDefault="00AC612F" w:rsidP="00AC612F">
            <w:pPr>
              <w:spacing w:line="264" w:lineRule="auto"/>
              <w:rPr>
                <w:rFonts w:cstheme="minorHAnsi"/>
                <w:b/>
                <w:bCs/>
                <w:color w:val="000000"/>
              </w:rPr>
            </w:pPr>
            <w:r w:rsidRPr="00AC612F">
              <w:rPr>
                <w:rFonts w:cstheme="minorHAnsi"/>
                <w:b/>
                <w:bCs/>
                <w:color w:val="000000"/>
              </w:rPr>
              <w:t>Amount requested</w:t>
            </w:r>
          </w:p>
        </w:tc>
        <w:tc>
          <w:tcPr>
            <w:tcW w:w="12600" w:type="dxa"/>
            <w:tcBorders>
              <w:top w:val="single" w:sz="4" w:space="0" w:color="auto"/>
              <w:left w:val="single" w:sz="4" w:space="0" w:color="auto"/>
              <w:bottom w:val="single" w:sz="4" w:space="0" w:color="auto"/>
              <w:right w:val="single" w:sz="4" w:space="0" w:color="auto"/>
            </w:tcBorders>
          </w:tcPr>
          <w:p w14:paraId="6C331383" w14:textId="58CF5C3C" w:rsidR="00AC612F" w:rsidRPr="002C2C75" w:rsidRDefault="00AC612F" w:rsidP="00AC612F">
            <w:pPr>
              <w:rPr>
                <w:rFonts w:cstheme="minorHAnsi"/>
                <w:b/>
                <w:bCs/>
              </w:rPr>
            </w:pPr>
            <w:r w:rsidRPr="002C2C75">
              <w:rPr>
                <w:rFonts w:cstheme="minorHAnsi"/>
                <w:b/>
                <w:bCs/>
              </w:rPr>
              <w:t>Within allocation: $9</w:t>
            </w:r>
            <w:r>
              <w:rPr>
                <w:rFonts w:cstheme="minorHAnsi"/>
                <w:b/>
                <w:bCs/>
              </w:rPr>
              <w:t>52</w:t>
            </w:r>
            <w:r w:rsidRPr="002C2C75">
              <w:rPr>
                <w:rFonts w:cstheme="minorHAnsi"/>
                <w:b/>
                <w:bCs/>
              </w:rPr>
              <w:t>,</w:t>
            </w:r>
            <w:r>
              <w:rPr>
                <w:rFonts w:cstheme="minorHAnsi"/>
                <w:b/>
                <w:bCs/>
              </w:rPr>
              <w:t>335</w:t>
            </w:r>
          </w:p>
          <w:p w14:paraId="7E8070F6" w14:textId="2CCC47CB" w:rsidR="00AC612F" w:rsidRPr="002C2C75" w:rsidRDefault="00AC612F" w:rsidP="00AC612F">
            <w:pPr>
              <w:rPr>
                <w:rFonts w:cstheme="minorHAnsi"/>
                <w:color w:val="000000"/>
              </w:rPr>
            </w:pPr>
            <w:r w:rsidRPr="002C2C75">
              <w:rPr>
                <w:rFonts w:cstheme="minorHAnsi"/>
                <w:b/>
                <w:bCs/>
              </w:rPr>
              <w:t>PAAR: $</w:t>
            </w:r>
            <w:r>
              <w:rPr>
                <w:rFonts w:cstheme="minorHAnsi"/>
                <w:b/>
                <w:bCs/>
              </w:rPr>
              <w:t>33</w:t>
            </w:r>
            <w:r w:rsidRPr="002C2C75">
              <w:rPr>
                <w:rFonts w:cstheme="minorHAnsi"/>
                <w:b/>
                <w:bCs/>
              </w:rPr>
              <w:t>0,000</w:t>
            </w:r>
          </w:p>
        </w:tc>
      </w:tr>
      <w:tr w:rsidR="00AC612F" w:rsidRPr="002C2C75" w14:paraId="72F46FC0" w14:textId="77777777" w:rsidTr="00E74D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8" w:type="dxa"/>
        </w:trPr>
        <w:tc>
          <w:tcPr>
            <w:tcW w:w="2605" w:type="dxa"/>
            <w:gridSpan w:val="2"/>
            <w:tcBorders>
              <w:top w:val="single" w:sz="4" w:space="0" w:color="auto"/>
              <w:left w:val="single" w:sz="4" w:space="0" w:color="auto"/>
              <w:bottom w:val="single" w:sz="4" w:space="0" w:color="auto"/>
              <w:right w:val="single" w:sz="4" w:space="0" w:color="auto"/>
            </w:tcBorders>
          </w:tcPr>
          <w:p w14:paraId="4ADB2313" w14:textId="029C09D3" w:rsidR="00AC612F" w:rsidRPr="00AC612F" w:rsidRDefault="00AC612F" w:rsidP="00AC612F">
            <w:pPr>
              <w:spacing w:after="0" w:line="240" w:lineRule="auto"/>
              <w:rPr>
                <w:rFonts w:cstheme="minorHAnsi"/>
                <w:b/>
                <w:bCs/>
                <w:color w:val="000000"/>
              </w:rPr>
            </w:pPr>
            <w:r w:rsidRPr="00AC612F">
              <w:rPr>
                <w:rFonts w:cstheme="minorHAnsi"/>
                <w:b/>
                <w:bCs/>
                <w:color w:val="000000"/>
              </w:rPr>
              <w:t>Expected outcome</w:t>
            </w:r>
          </w:p>
        </w:tc>
        <w:tc>
          <w:tcPr>
            <w:tcW w:w="12600" w:type="dxa"/>
            <w:tcBorders>
              <w:top w:val="single" w:sz="4" w:space="0" w:color="auto"/>
              <w:left w:val="single" w:sz="4" w:space="0" w:color="auto"/>
              <w:bottom w:val="single" w:sz="4" w:space="0" w:color="auto"/>
              <w:right w:val="single" w:sz="4" w:space="0" w:color="auto"/>
            </w:tcBorders>
          </w:tcPr>
          <w:p w14:paraId="34B9DFC5" w14:textId="77777777" w:rsidR="00E536EC" w:rsidRPr="00E536EC" w:rsidRDefault="00E536EC" w:rsidP="00E536EC">
            <w:pPr>
              <w:pStyle w:val="ListAlpha"/>
              <w:keepNext/>
              <w:numPr>
                <w:ilvl w:val="0"/>
                <w:numId w:val="75"/>
              </w:numPr>
              <w:spacing w:after="0" w:line="240" w:lineRule="auto"/>
              <w:ind w:right="57"/>
              <w:jc w:val="both"/>
              <w:rPr>
                <w:rFonts w:cstheme="minorHAnsi"/>
                <w:color w:val="000000"/>
                <w:sz w:val="22"/>
              </w:rPr>
            </w:pPr>
            <w:r w:rsidRPr="00E536EC">
              <w:rPr>
                <w:rFonts w:cstheme="minorHAnsi"/>
                <w:color w:val="000000"/>
                <w:sz w:val="22"/>
              </w:rPr>
              <w:t>Improved Supervision and Technical Support: Procuring vehicles for CHW supervision in Mozambique facilitates better supervision and technical support.</w:t>
            </w:r>
          </w:p>
          <w:p w14:paraId="59CA5597" w14:textId="77777777" w:rsidR="00E536EC" w:rsidRPr="00E536EC" w:rsidRDefault="00E536EC" w:rsidP="00E536EC">
            <w:pPr>
              <w:pStyle w:val="ListAlpha"/>
              <w:keepNext/>
              <w:numPr>
                <w:ilvl w:val="0"/>
                <w:numId w:val="75"/>
              </w:numPr>
              <w:spacing w:after="0" w:line="240" w:lineRule="auto"/>
              <w:ind w:right="57"/>
              <w:jc w:val="both"/>
              <w:rPr>
                <w:rFonts w:cstheme="minorHAnsi"/>
                <w:color w:val="000000"/>
                <w:sz w:val="22"/>
              </w:rPr>
            </w:pPr>
            <w:r w:rsidRPr="00E536EC">
              <w:rPr>
                <w:rFonts w:cstheme="minorHAnsi"/>
                <w:color w:val="000000"/>
                <w:sz w:val="22"/>
              </w:rPr>
              <w:t>Strengthened CHW Supervision System: Mapping and training CHW supervisors bridges gaps caused by staff turnover, creating a more robust and sustainable supervision system that ensures consistent support, guidance, and performance monitoring of CHWs.</w:t>
            </w:r>
          </w:p>
          <w:p w14:paraId="42427791" w14:textId="77777777" w:rsidR="00E536EC" w:rsidRPr="00E536EC" w:rsidRDefault="00E536EC" w:rsidP="00E536EC">
            <w:pPr>
              <w:pStyle w:val="ListAlpha"/>
              <w:keepNext/>
              <w:numPr>
                <w:ilvl w:val="0"/>
                <w:numId w:val="75"/>
              </w:numPr>
              <w:spacing w:after="0" w:line="240" w:lineRule="auto"/>
              <w:ind w:right="57"/>
              <w:jc w:val="both"/>
              <w:rPr>
                <w:rFonts w:cstheme="minorHAnsi"/>
                <w:color w:val="000000"/>
                <w:sz w:val="22"/>
              </w:rPr>
            </w:pPr>
            <w:r w:rsidRPr="00E536EC">
              <w:rPr>
                <w:rFonts w:cstheme="minorHAnsi"/>
                <w:color w:val="000000"/>
                <w:sz w:val="22"/>
              </w:rPr>
              <w:t>Enhanced Continuous Training and Support: Conducting supportive supervision with on-the-job training and covering related costs demonstrates a commitment to continuous professional development for CHWs, equipping them with skills and knowledge to deliver quality healthcare services and improve health outcomes.</w:t>
            </w:r>
          </w:p>
          <w:p w14:paraId="0AF1DD3B" w14:textId="77777777" w:rsidR="00E536EC" w:rsidRPr="00E536EC" w:rsidRDefault="00E536EC" w:rsidP="00E536EC">
            <w:pPr>
              <w:pStyle w:val="ListAlpha"/>
              <w:keepNext/>
              <w:numPr>
                <w:ilvl w:val="0"/>
                <w:numId w:val="75"/>
              </w:numPr>
              <w:spacing w:after="0" w:line="240" w:lineRule="auto"/>
              <w:ind w:right="57"/>
              <w:jc w:val="both"/>
              <w:rPr>
                <w:rFonts w:cstheme="minorHAnsi"/>
                <w:color w:val="000000"/>
                <w:sz w:val="22"/>
              </w:rPr>
            </w:pPr>
            <w:r w:rsidRPr="00E536EC">
              <w:rPr>
                <w:rFonts w:cstheme="minorHAnsi"/>
                <w:color w:val="000000"/>
                <w:sz w:val="22"/>
              </w:rPr>
              <w:t>Improved Operationalization tools and mechanisms for monitoring with a specific focus on on-time updates, ultimately leading to more efficient and effective implementation, monitoring, and overall performance in the relevant areas</w:t>
            </w:r>
          </w:p>
          <w:p w14:paraId="53DD7C3F" w14:textId="7BC0D4F4" w:rsidR="00AC612F" w:rsidRPr="00AC612F" w:rsidRDefault="00E536EC" w:rsidP="00E536EC">
            <w:pPr>
              <w:pStyle w:val="ListAlpha"/>
              <w:keepNext/>
              <w:numPr>
                <w:ilvl w:val="0"/>
                <w:numId w:val="75"/>
              </w:numPr>
              <w:spacing w:after="0" w:line="240" w:lineRule="auto"/>
              <w:ind w:right="57"/>
              <w:jc w:val="both"/>
              <w:rPr>
                <w:rFonts w:cstheme="minorHAnsi"/>
                <w:color w:val="000000"/>
                <w:sz w:val="22"/>
              </w:rPr>
            </w:pPr>
            <w:r w:rsidRPr="00E536EC">
              <w:rPr>
                <w:rFonts w:cstheme="minorHAnsi"/>
                <w:color w:val="000000"/>
                <w:sz w:val="22"/>
              </w:rPr>
              <w:t>Improved and established coordination mechanisms at national, provincial and district level.</w:t>
            </w:r>
          </w:p>
        </w:tc>
      </w:tr>
      <w:tr w:rsidR="00AC612F" w:rsidRPr="002C2C75" w14:paraId="08CB1F45" w14:textId="77777777" w:rsidTr="00E74D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8" w:type="dxa"/>
        </w:trPr>
        <w:tc>
          <w:tcPr>
            <w:tcW w:w="2605" w:type="dxa"/>
            <w:gridSpan w:val="2"/>
            <w:tcBorders>
              <w:top w:val="single" w:sz="4" w:space="0" w:color="auto"/>
              <w:left w:val="single" w:sz="4" w:space="0" w:color="auto"/>
              <w:bottom w:val="single" w:sz="4" w:space="0" w:color="auto"/>
              <w:right w:val="single" w:sz="4" w:space="0" w:color="auto"/>
            </w:tcBorders>
          </w:tcPr>
          <w:p w14:paraId="272648B1" w14:textId="556D974F" w:rsidR="00AC612F" w:rsidRPr="002C2C75" w:rsidRDefault="00AC612F" w:rsidP="00AC612F">
            <w:pPr>
              <w:spacing w:line="264" w:lineRule="auto"/>
              <w:rPr>
                <w:rFonts w:cstheme="minorHAnsi"/>
                <w:b/>
                <w:bCs/>
                <w:i/>
                <w:iCs/>
                <w:color w:val="000000"/>
              </w:rPr>
            </w:pPr>
            <w:r w:rsidRPr="002C2C75">
              <w:rPr>
                <w:rFonts w:cstheme="minorHAnsi"/>
                <w:b/>
                <w:bCs/>
                <w:i/>
                <w:iCs/>
                <w:color w:val="000000"/>
              </w:rPr>
              <w:t>MODULE 10 TOTAL</w:t>
            </w:r>
          </w:p>
        </w:tc>
        <w:tc>
          <w:tcPr>
            <w:tcW w:w="12600" w:type="dxa"/>
            <w:tcBorders>
              <w:top w:val="single" w:sz="4" w:space="0" w:color="auto"/>
              <w:left w:val="single" w:sz="4" w:space="0" w:color="auto"/>
              <w:bottom w:val="single" w:sz="4" w:space="0" w:color="auto"/>
              <w:right w:val="single" w:sz="4" w:space="0" w:color="auto"/>
            </w:tcBorders>
          </w:tcPr>
          <w:p w14:paraId="6F6E1DBD" w14:textId="086A9822" w:rsidR="00AC612F" w:rsidRPr="002C2C75" w:rsidRDefault="00AC612F" w:rsidP="00AC612F">
            <w:pPr>
              <w:rPr>
                <w:rFonts w:cstheme="minorHAnsi"/>
                <w:i/>
                <w:iCs/>
              </w:rPr>
            </w:pPr>
            <w:r w:rsidRPr="002C2C75">
              <w:rPr>
                <w:rFonts w:cstheme="minorHAnsi"/>
                <w:i/>
                <w:iCs/>
              </w:rPr>
              <w:t xml:space="preserve">Within allocation: </w:t>
            </w:r>
            <w:r>
              <w:rPr>
                <w:rFonts w:cstheme="minorHAnsi"/>
                <w:i/>
                <w:iCs/>
              </w:rPr>
              <w:t>$1</w:t>
            </w:r>
            <w:r w:rsidR="00E536EC">
              <w:rPr>
                <w:rFonts w:cstheme="minorHAnsi"/>
                <w:i/>
                <w:iCs/>
              </w:rPr>
              <w:t>3,325</w:t>
            </w:r>
            <w:r w:rsidRPr="002C2C75">
              <w:rPr>
                <w:rFonts w:cstheme="minorHAnsi"/>
                <w:i/>
                <w:iCs/>
              </w:rPr>
              <w:t>,</w:t>
            </w:r>
            <w:r w:rsidR="00E536EC">
              <w:rPr>
                <w:rFonts w:cstheme="minorHAnsi"/>
                <w:i/>
                <w:iCs/>
              </w:rPr>
              <w:t>962</w:t>
            </w:r>
            <w:r w:rsidRPr="002C2C75">
              <w:rPr>
                <w:rFonts w:cstheme="minorHAnsi"/>
                <w:i/>
                <w:iCs/>
              </w:rPr>
              <w:t xml:space="preserve">  | Matching Funds: $7,000,000 (Total = $</w:t>
            </w:r>
            <w:r w:rsidR="00E536EC">
              <w:rPr>
                <w:rFonts w:cstheme="minorHAnsi"/>
                <w:i/>
                <w:iCs/>
              </w:rPr>
              <w:t>20</w:t>
            </w:r>
            <w:r w:rsidRPr="002C2C75">
              <w:rPr>
                <w:rFonts w:cstheme="minorHAnsi"/>
                <w:i/>
                <w:iCs/>
              </w:rPr>
              <w:t>,</w:t>
            </w:r>
            <w:r w:rsidR="00E536EC">
              <w:rPr>
                <w:rFonts w:cstheme="minorHAnsi"/>
                <w:i/>
                <w:iCs/>
              </w:rPr>
              <w:t>325,962</w:t>
            </w:r>
            <w:r w:rsidRPr="002C2C75">
              <w:rPr>
                <w:rFonts w:cstheme="minorHAnsi"/>
                <w:i/>
                <w:iCs/>
              </w:rPr>
              <w:t>)</w:t>
            </w:r>
          </w:p>
          <w:p w14:paraId="02BF87D8" w14:textId="478D8D60" w:rsidR="00AC612F" w:rsidRPr="002C2C75" w:rsidRDefault="00AC612F" w:rsidP="00AC612F">
            <w:pPr>
              <w:rPr>
                <w:rFonts w:cstheme="minorHAnsi"/>
                <w:i/>
                <w:iCs/>
              </w:rPr>
            </w:pPr>
            <w:r w:rsidRPr="002C2C75">
              <w:rPr>
                <w:rFonts w:cstheme="minorHAnsi"/>
                <w:i/>
                <w:iCs/>
              </w:rPr>
              <w:t>PAAR: $</w:t>
            </w:r>
            <w:r w:rsidR="00E536EC">
              <w:rPr>
                <w:rFonts w:cstheme="minorHAnsi"/>
                <w:i/>
                <w:iCs/>
              </w:rPr>
              <w:t>10,185,182</w:t>
            </w:r>
          </w:p>
        </w:tc>
      </w:tr>
    </w:tbl>
    <w:p w14:paraId="61921891" w14:textId="42810EA0" w:rsidR="00B1166C" w:rsidRDefault="00B1166C">
      <w:pPr>
        <w:spacing w:after="200"/>
        <w:rPr>
          <w:sz w:val="24"/>
        </w:rPr>
      </w:pPr>
    </w:p>
    <w:p w14:paraId="6C1AF25B" w14:textId="60D06BEB" w:rsidR="00036B0D" w:rsidRDefault="00036B0D">
      <w:pPr>
        <w:spacing w:after="200"/>
        <w:rPr>
          <w:sz w:val="24"/>
        </w:rPr>
      </w:pPr>
    </w:p>
    <w:p w14:paraId="36C8EEB6" w14:textId="557A9BE0" w:rsidR="00036B0D" w:rsidRDefault="00036B0D">
      <w:pPr>
        <w:spacing w:after="200"/>
        <w:rPr>
          <w:sz w:val="24"/>
        </w:rPr>
      </w:pPr>
    </w:p>
    <w:p w14:paraId="5BBABF75" w14:textId="264FD89A" w:rsidR="00036B0D" w:rsidRDefault="00036B0D">
      <w:pPr>
        <w:spacing w:after="200"/>
        <w:rPr>
          <w:sz w:val="24"/>
        </w:rPr>
      </w:pPr>
    </w:p>
    <w:p w14:paraId="60355167" w14:textId="7880C4DD" w:rsidR="00036B0D" w:rsidRDefault="00036B0D">
      <w:pPr>
        <w:spacing w:after="200"/>
        <w:rPr>
          <w:sz w:val="24"/>
        </w:rPr>
      </w:pPr>
    </w:p>
    <w:p w14:paraId="7F0D5A6D" w14:textId="77777777" w:rsidR="00036B0D" w:rsidRPr="002C2C75" w:rsidRDefault="00036B0D">
      <w:pPr>
        <w:spacing w:after="200"/>
        <w:rPr>
          <w:sz w:val="24"/>
        </w:rPr>
      </w:pPr>
    </w:p>
    <w:tbl>
      <w:tblPr>
        <w:tblW w:w="15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05"/>
        <w:gridCol w:w="12600"/>
      </w:tblGrid>
      <w:tr w:rsidR="003235E3" w:rsidRPr="002C2C75" w14:paraId="32196FA8" w14:textId="77777777" w:rsidTr="00C0707E">
        <w:trPr>
          <w:cantSplit/>
        </w:trPr>
        <w:tc>
          <w:tcPr>
            <w:tcW w:w="2605" w:type="dxa"/>
          </w:tcPr>
          <w:p w14:paraId="3A8CB4FE" w14:textId="039C19C3" w:rsidR="003235E3" w:rsidRPr="002C2C75" w:rsidRDefault="003235E3" w:rsidP="00021BDE">
            <w:pPr>
              <w:pBdr>
                <w:top w:val="nil"/>
                <w:left w:val="nil"/>
                <w:bottom w:val="nil"/>
                <w:right w:val="nil"/>
                <w:between w:val="nil"/>
              </w:pBdr>
              <w:spacing w:line="264" w:lineRule="auto"/>
              <w:rPr>
                <w:rFonts w:cstheme="minorHAnsi"/>
                <w:b/>
                <w:bCs/>
                <w:color w:val="000000"/>
              </w:rPr>
            </w:pPr>
            <w:r w:rsidRPr="002C2C75">
              <w:rPr>
                <w:rFonts w:cstheme="minorHAnsi"/>
                <w:b/>
                <w:bCs/>
                <w:color w:val="000000"/>
              </w:rPr>
              <w:t>MODULE 11</w:t>
            </w:r>
          </w:p>
        </w:tc>
        <w:tc>
          <w:tcPr>
            <w:tcW w:w="12600" w:type="dxa"/>
          </w:tcPr>
          <w:p w14:paraId="430857B4" w14:textId="427CB335" w:rsidR="003235E3" w:rsidRPr="002C2C75" w:rsidRDefault="000C4F0B" w:rsidP="00021BDE">
            <w:pPr>
              <w:pBdr>
                <w:top w:val="nil"/>
                <w:left w:val="nil"/>
                <w:bottom w:val="nil"/>
                <w:right w:val="nil"/>
                <w:between w:val="nil"/>
              </w:pBdr>
              <w:spacing w:line="264" w:lineRule="auto"/>
              <w:rPr>
                <w:rFonts w:cstheme="minorHAnsi"/>
                <w:color w:val="000000"/>
              </w:rPr>
            </w:pPr>
            <w:r w:rsidRPr="002C2C75">
              <w:rPr>
                <w:rFonts w:cstheme="minorHAnsi"/>
                <w:b/>
                <w:color w:val="000000"/>
              </w:rPr>
              <w:t xml:space="preserve">RSSH/PP: </w:t>
            </w:r>
            <w:r w:rsidR="003235E3" w:rsidRPr="002C2C75">
              <w:rPr>
                <w:rFonts w:cstheme="minorHAnsi"/>
                <w:b/>
                <w:color w:val="000000"/>
              </w:rPr>
              <w:t>Laboratory Systems (including national and peripheral)</w:t>
            </w:r>
          </w:p>
        </w:tc>
      </w:tr>
      <w:tr w:rsidR="003235E3" w:rsidRPr="002C2C75" w14:paraId="0C156E9C" w14:textId="77777777" w:rsidTr="00C0707E">
        <w:trPr>
          <w:cantSplit/>
        </w:trPr>
        <w:tc>
          <w:tcPr>
            <w:tcW w:w="2605" w:type="dxa"/>
          </w:tcPr>
          <w:p w14:paraId="14DD3CA7" w14:textId="3DEACAEB" w:rsidR="003235E3" w:rsidRPr="00E912ED" w:rsidRDefault="003235E3" w:rsidP="00021BDE">
            <w:pPr>
              <w:pBdr>
                <w:top w:val="nil"/>
                <w:left w:val="nil"/>
                <w:bottom w:val="nil"/>
                <w:right w:val="nil"/>
                <w:between w:val="nil"/>
              </w:pBdr>
              <w:spacing w:line="264" w:lineRule="auto"/>
              <w:rPr>
                <w:rFonts w:cstheme="minorHAnsi"/>
                <w:b/>
                <w:bCs/>
                <w:color w:val="000000"/>
              </w:rPr>
            </w:pPr>
            <w:r w:rsidRPr="00E912ED">
              <w:rPr>
                <w:rFonts w:cstheme="minorHAnsi"/>
                <w:b/>
                <w:bCs/>
                <w:color w:val="000000"/>
              </w:rPr>
              <w:t>Intervention(s)</w:t>
            </w:r>
          </w:p>
        </w:tc>
        <w:tc>
          <w:tcPr>
            <w:tcW w:w="12600" w:type="dxa"/>
          </w:tcPr>
          <w:p w14:paraId="6267C5B1" w14:textId="761B94D9" w:rsidR="003235E3" w:rsidRPr="00E912ED" w:rsidRDefault="00E912ED" w:rsidP="00021BDE">
            <w:pPr>
              <w:pBdr>
                <w:top w:val="nil"/>
                <w:left w:val="nil"/>
                <w:bottom w:val="nil"/>
                <w:right w:val="nil"/>
                <w:between w:val="nil"/>
              </w:pBdr>
              <w:spacing w:line="264" w:lineRule="auto"/>
              <w:rPr>
                <w:rFonts w:cstheme="minorHAnsi"/>
                <w:color w:val="000000"/>
              </w:rPr>
            </w:pPr>
            <w:r>
              <w:rPr>
                <w:rFonts w:cstheme="minorHAnsi"/>
                <w:b/>
                <w:bCs/>
                <w:color w:val="000000"/>
              </w:rPr>
              <w:t xml:space="preserve">Intervention: </w:t>
            </w:r>
            <w:r w:rsidR="000C4F0B" w:rsidRPr="00E912ED">
              <w:rPr>
                <w:rFonts w:cstheme="minorHAnsi"/>
                <w:color w:val="000000"/>
              </w:rPr>
              <w:t xml:space="preserve">RSSH/PP: </w:t>
            </w:r>
            <w:r w:rsidR="003235E3" w:rsidRPr="00E912ED">
              <w:rPr>
                <w:rFonts w:cstheme="minorHAnsi"/>
                <w:color w:val="000000"/>
              </w:rPr>
              <w:t xml:space="preserve">National laboratory governance and management structures </w:t>
            </w:r>
          </w:p>
          <w:p w14:paraId="066C8420" w14:textId="2C8A88A0" w:rsidR="003235E3" w:rsidRPr="002C2C75" w:rsidRDefault="003235E3" w:rsidP="00E912ED">
            <w:pPr>
              <w:pBdr>
                <w:top w:val="nil"/>
                <w:left w:val="nil"/>
                <w:bottom w:val="nil"/>
                <w:right w:val="nil"/>
                <w:between w:val="nil"/>
              </w:pBdr>
              <w:spacing w:line="264" w:lineRule="auto"/>
              <w:rPr>
                <w:rFonts w:cstheme="minorHAnsi"/>
                <w:color w:val="000000"/>
              </w:rPr>
            </w:pPr>
            <w:r w:rsidRPr="00E912ED">
              <w:rPr>
                <w:rFonts w:cstheme="minorHAnsi"/>
                <w:color w:val="000000"/>
              </w:rPr>
              <w:t>Change in Pro</w:t>
            </w:r>
            <w:r w:rsidRPr="002C2C75">
              <w:rPr>
                <w:rFonts w:cstheme="minorHAnsi"/>
                <w:color w:val="000000"/>
              </w:rPr>
              <w:t xml:space="preserve">gramming from current grant: </w:t>
            </w:r>
            <w:sdt>
              <w:sdtPr>
                <w:rPr>
                  <w:rFonts w:cstheme="minorHAnsi"/>
                </w:rPr>
                <w:tag w:val="goog_rdk_230"/>
                <w:id w:val="882367991"/>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New, </w:t>
            </w:r>
            <w:sdt>
              <w:sdtPr>
                <w:rPr>
                  <w:rFonts w:cstheme="minorHAnsi"/>
                </w:rPr>
                <w:tag w:val="goog_rdk_231"/>
                <w:id w:val="-1536188423"/>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Scale-up, </w:t>
            </w:r>
            <w:sdt>
              <w:sdtPr>
                <w:rPr>
                  <w:rFonts w:cstheme="minorHAnsi"/>
                </w:rPr>
                <w:tag w:val="goog_rdk_232"/>
                <w:id w:val="1971627505"/>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Continuation, or </w:t>
            </w:r>
            <w:sdt>
              <w:sdtPr>
                <w:rPr>
                  <w:rFonts w:cstheme="minorHAnsi"/>
                </w:rPr>
                <w:tag w:val="goog_rdk_233"/>
                <w:id w:val="1860303014"/>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Scale-down</w:t>
            </w:r>
          </w:p>
        </w:tc>
      </w:tr>
      <w:tr w:rsidR="003235E3" w:rsidRPr="002C2C75" w14:paraId="71B442C8" w14:textId="77777777" w:rsidTr="00C0707E">
        <w:trPr>
          <w:cantSplit/>
        </w:trPr>
        <w:tc>
          <w:tcPr>
            <w:tcW w:w="2605" w:type="dxa"/>
          </w:tcPr>
          <w:p w14:paraId="2D4105E1" w14:textId="77777777" w:rsidR="003235E3" w:rsidRPr="00E912ED" w:rsidRDefault="003235E3" w:rsidP="00021BDE">
            <w:pPr>
              <w:pBdr>
                <w:top w:val="nil"/>
                <w:left w:val="nil"/>
                <w:bottom w:val="nil"/>
                <w:right w:val="nil"/>
                <w:between w:val="nil"/>
              </w:pBdr>
              <w:spacing w:line="264" w:lineRule="auto"/>
              <w:rPr>
                <w:rFonts w:cstheme="minorHAnsi"/>
                <w:b/>
                <w:bCs/>
                <w:color w:val="000000"/>
              </w:rPr>
            </w:pPr>
            <w:r w:rsidRPr="00E912ED">
              <w:rPr>
                <w:rFonts w:cstheme="minorHAnsi"/>
                <w:b/>
                <w:bCs/>
                <w:color w:val="000000"/>
              </w:rPr>
              <w:t>Population, geographies and/or barriers addressed</w:t>
            </w:r>
          </w:p>
        </w:tc>
        <w:tc>
          <w:tcPr>
            <w:tcW w:w="12600" w:type="dxa"/>
          </w:tcPr>
          <w:p w14:paraId="797C6A8C" w14:textId="77777777" w:rsidR="008D703F" w:rsidRPr="008D703F" w:rsidRDefault="008D703F" w:rsidP="008D703F">
            <w:pPr>
              <w:pBdr>
                <w:top w:val="nil"/>
                <w:left w:val="nil"/>
                <w:bottom w:val="nil"/>
                <w:right w:val="nil"/>
                <w:between w:val="nil"/>
              </w:pBdr>
              <w:spacing w:line="264" w:lineRule="auto"/>
              <w:jc w:val="both"/>
              <w:rPr>
                <w:rFonts w:cstheme="minorHAnsi"/>
                <w:color w:val="000000"/>
              </w:rPr>
            </w:pPr>
            <w:r w:rsidRPr="008D703F">
              <w:rPr>
                <w:rFonts w:cstheme="minorHAnsi"/>
                <w:color w:val="000000"/>
              </w:rPr>
              <w:t xml:space="preserve">The main guiding tool for laboratory activities expires in 2024, so there is a need to update it to ensure the harmonious and continuous development of the laboratory network. This update will be preceded by an assessment of the current Strategic Plan in order to recommend the key issues to be considered in the new National Strategic Plan for Clinical Laboratories 2025-2030. </w:t>
            </w:r>
          </w:p>
          <w:p w14:paraId="250FFEF2" w14:textId="35106A1B" w:rsidR="003235E3" w:rsidRPr="002C2C75" w:rsidRDefault="008D703F" w:rsidP="008D703F">
            <w:pPr>
              <w:pBdr>
                <w:top w:val="nil"/>
                <w:left w:val="nil"/>
                <w:bottom w:val="nil"/>
                <w:right w:val="nil"/>
                <w:between w:val="nil"/>
              </w:pBdr>
              <w:spacing w:line="264" w:lineRule="auto"/>
              <w:jc w:val="both"/>
              <w:rPr>
                <w:rFonts w:cstheme="minorHAnsi"/>
                <w:color w:val="000000"/>
              </w:rPr>
            </w:pPr>
            <w:r w:rsidRPr="008D703F">
              <w:rPr>
                <w:rFonts w:cstheme="minorHAnsi"/>
                <w:color w:val="000000"/>
              </w:rPr>
              <w:t>At the same time, the sector intends to continue to improve laboratory network governance at all levels of management through the implementation of global laboratory management and leadership program (GLLP) for leadership training of laboratory network managers at its various levels. It is also intended to hire Technical Assistance to support the Institutional development of the Central Division of Laboratories, as well as to continue to hold biannual meetings of the Clinical Laboratories network aimed at assessing the performance of the network, developing guidelines, disseminate new working methods, among others.</w:t>
            </w:r>
          </w:p>
        </w:tc>
      </w:tr>
      <w:tr w:rsidR="003235E3" w:rsidRPr="002C2C75" w14:paraId="54E6D4CD" w14:textId="77777777" w:rsidTr="00C0707E">
        <w:trPr>
          <w:cantSplit/>
        </w:trPr>
        <w:tc>
          <w:tcPr>
            <w:tcW w:w="2605" w:type="dxa"/>
          </w:tcPr>
          <w:p w14:paraId="2B72EDB1" w14:textId="02DD9FB3" w:rsidR="003235E3" w:rsidRPr="00E912ED" w:rsidRDefault="00E912ED" w:rsidP="003235E3">
            <w:pPr>
              <w:pBdr>
                <w:top w:val="nil"/>
                <w:left w:val="nil"/>
                <w:bottom w:val="nil"/>
                <w:right w:val="nil"/>
                <w:between w:val="nil"/>
              </w:pBdr>
              <w:spacing w:line="264" w:lineRule="auto"/>
              <w:rPr>
                <w:rFonts w:cstheme="minorHAnsi"/>
                <w:b/>
                <w:bCs/>
                <w:color w:val="000000"/>
              </w:rPr>
            </w:pPr>
            <w:r w:rsidRPr="00E912ED">
              <w:rPr>
                <w:rFonts w:cstheme="minorHAnsi"/>
                <w:b/>
                <w:bCs/>
                <w:color w:val="000000"/>
              </w:rPr>
              <w:t>List of activities</w:t>
            </w:r>
          </w:p>
        </w:tc>
        <w:tc>
          <w:tcPr>
            <w:tcW w:w="12600" w:type="dxa"/>
          </w:tcPr>
          <w:p w14:paraId="437B578F" w14:textId="594C2911" w:rsidR="008D703F" w:rsidRPr="008D703F" w:rsidRDefault="008D703F" w:rsidP="008D703F">
            <w:pPr>
              <w:numPr>
                <w:ilvl w:val="0"/>
                <w:numId w:val="61"/>
              </w:numPr>
              <w:pBdr>
                <w:top w:val="nil"/>
                <w:left w:val="nil"/>
                <w:bottom w:val="nil"/>
                <w:right w:val="nil"/>
                <w:between w:val="nil"/>
              </w:pBdr>
              <w:spacing w:after="0" w:line="264" w:lineRule="auto"/>
              <w:rPr>
                <w:rFonts w:cstheme="minorHAnsi"/>
                <w:color w:val="000000"/>
              </w:rPr>
            </w:pPr>
            <w:r>
              <w:rPr>
                <w:rFonts w:cstheme="minorHAnsi"/>
                <w:color w:val="000000"/>
              </w:rPr>
              <w:t>C</w:t>
            </w:r>
            <w:r w:rsidRPr="008D703F">
              <w:rPr>
                <w:rFonts w:cstheme="minorHAnsi"/>
                <w:color w:val="000000"/>
              </w:rPr>
              <w:t>onduct an evaluation of the implementation of the National Strategy for Clinical Laboratories 2020-2024;</w:t>
            </w:r>
          </w:p>
          <w:p w14:paraId="6DDADCCB" w14:textId="27A3E113" w:rsidR="008D703F" w:rsidRPr="008D703F" w:rsidRDefault="008D703F" w:rsidP="008D703F">
            <w:pPr>
              <w:numPr>
                <w:ilvl w:val="0"/>
                <w:numId w:val="61"/>
              </w:numPr>
              <w:pBdr>
                <w:top w:val="nil"/>
                <w:left w:val="nil"/>
                <w:bottom w:val="nil"/>
                <w:right w:val="nil"/>
                <w:between w:val="nil"/>
              </w:pBdr>
              <w:spacing w:after="0" w:line="264" w:lineRule="auto"/>
              <w:rPr>
                <w:rFonts w:cstheme="minorHAnsi"/>
                <w:color w:val="000000"/>
              </w:rPr>
            </w:pPr>
            <w:r>
              <w:rPr>
                <w:rFonts w:cstheme="minorHAnsi"/>
                <w:color w:val="000000"/>
              </w:rPr>
              <w:t>D</w:t>
            </w:r>
            <w:r w:rsidRPr="008D703F">
              <w:rPr>
                <w:rFonts w:cstheme="minorHAnsi"/>
                <w:color w:val="000000"/>
              </w:rPr>
              <w:t>evelop the next National Strategy for Clinical Laboratories - 2025-2035</w:t>
            </w:r>
          </w:p>
          <w:p w14:paraId="7FA76BFD" w14:textId="00553B68" w:rsidR="003235E3" w:rsidRPr="00E912ED" w:rsidRDefault="008D703F" w:rsidP="008D703F">
            <w:pPr>
              <w:numPr>
                <w:ilvl w:val="0"/>
                <w:numId w:val="61"/>
              </w:numPr>
              <w:pBdr>
                <w:top w:val="nil"/>
                <w:left w:val="nil"/>
                <w:bottom w:val="nil"/>
                <w:right w:val="nil"/>
                <w:between w:val="nil"/>
              </w:pBdr>
              <w:spacing w:after="0" w:line="264" w:lineRule="auto"/>
              <w:rPr>
                <w:rFonts w:cstheme="minorHAnsi"/>
                <w:color w:val="000000"/>
              </w:rPr>
            </w:pPr>
            <w:r w:rsidRPr="008D703F">
              <w:rPr>
                <w:rFonts w:cstheme="minorHAnsi"/>
                <w:color w:val="000000"/>
              </w:rPr>
              <w:t>Expand the Global Laboratory Management and Leadership (GLLP) training program using the One Health approach to train heads of central, provincial and district laboratories</w:t>
            </w:r>
          </w:p>
        </w:tc>
      </w:tr>
      <w:tr w:rsidR="003235E3" w:rsidRPr="002C2C75" w14:paraId="5B7C1AB0" w14:textId="77777777" w:rsidTr="00C0707E">
        <w:trPr>
          <w:cantSplit/>
        </w:trPr>
        <w:tc>
          <w:tcPr>
            <w:tcW w:w="2605" w:type="dxa"/>
          </w:tcPr>
          <w:p w14:paraId="367E9B1C" w14:textId="46FB0991" w:rsidR="003235E3" w:rsidRPr="00E912ED" w:rsidRDefault="003235E3" w:rsidP="003235E3">
            <w:pPr>
              <w:pBdr>
                <w:top w:val="nil"/>
                <w:left w:val="nil"/>
                <w:bottom w:val="nil"/>
                <w:right w:val="nil"/>
                <w:between w:val="nil"/>
              </w:pBdr>
              <w:spacing w:line="264" w:lineRule="auto"/>
              <w:rPr>
                <w:rFonts w:cstheme="minorHAnsi"/>
                <w:b/>
                <w:bCs/>
                <w:color w:val="000000"/>
              </w:rPr>
            </w:pPr>
            <w:r w:rsidRPr="00E912ED">
              <w:rPr>
                <w:rFonts w:cstheme="minorHAnsi"/>
                <w:b/>
                <w:bCs/>
                <w:color w:val="000000"/>
              </w:rPr>
              <w:t>Amount requested</w:t>
            </w:r>
          </w:p>
        </w:tc>
        <w:tc>
          <w:tcPr>
            <w:tcW w:w="12600" w:type="dxa"/>
          </w:tcPr>
          <w:p w14:paraId="32114475" w14:textId="13C3801A" w:rsidR="003235E3" w:rsidRPr="002C2C75" w:rsidRDefault="003235E3" w:rsidP="003235E3">
            <w:pPr>
              <w:pBdr>
                <w:top w:val="nil"/>
                <w:left w:val="nil"/>
                <w:bottom w:val="nil"/>
                <w:right w:val="nil"/>
                <w:between w:val="nil"/>
              </w:pBdr>
              <w:spacing w:line="264" w:lineRule="auto"/>
              <w:rPr>
                <w:rFonts w:cstheme="minorHAnsi"/>
                <w:b/>
                <w:bCs/>
                <w:color w:val="000000"/>
              </w:rPr>
            </w:pPr>
            <w:r w:rsidRPr="002C2C75">
              <w:rPr>
                <w:rFonts w:cstheme="minorHAnsi"/>
                <w:b/>
                <w:bCs/>
                <w:color w:val="000000"/>
              </w:rPr>
              <w:t>Within allocation: $1,545,040</w:t>
            </w:r>
          </w:p>
        </w:tc>
      </w:tr>
      <w:tr w:rsidR="00E912ED" w:rsidRPr="002C2C75" w14:paraId="01C906CC" w14:textId="77777777" w:rsidTr="00C0707E">
        <w:trPr>
          <w:cantSplit/>
        </w:trPr>
        <w:tc>
          <w:tcPr>
            <w:tcW w:w="2605" w:type="dxa"/>
          </w:tcPr>
          <w:p w14:paraId="6F79E192" w14:textId="3755E6A9" w:rsidR="00E912ED" w:rsidRPr="00E912ED" w:rsidRDefault="00E912ED" w:rsidP="00E912ED">
            <w:pPr>
              <w:pBdr>
                <w:top w:val="nil"/>
                <w:left w:val="nil"/>
                <w:bottom w:val="nil"/>
                <w:right w:val="nil"/>
                <w:between w:val="nil"/>
              </w:pBdr>
              <w:spacing w:line="264" w:lineRule="auto"/>
              <w:rPr>
                <w:rFonts w:cstheme="minorHAnsi"/>
                <w:b/>
                <w:bCs/>
                <w:color w:val="000000"/>
              </w:rPr>
            </w:pPr>
            <w:r w:rsidRPr="00E912ED">
              <w:rPr>
                <w:rFonts w:cstheme="minorHAnsi"/>
                <w:b/>
                <w:bCs/>
                <w:color w:val="000000"/>
              </w:rPr>
              <w:t>Expected outcome</w:t>
            </w:r>
          </w:p>
        </w:tc>
        <w:tc>
          <w:tcPr>
            <w:tcW w:w="12600" w:type="dxa"/>
          </w:tcPr>
          <w:p w14:paraId="31CF890A" w14:textId="757EAD4B" w:rsidR="00E912ED" w:rsidRPr="002C2C75" w:rsidRDefault="00E912ED" w:rsidP="00E912ED">
            <w:pPr>
              <w:pBdr>
                <w:top w:val="nil"/>
                <w:left w:val="nil"/>
                <w:bottom w:val="nil"/>
                <w:right w:val="nil"/>
                <w:between w:val="nil"/>
              </w:pBdr>
              <w:spacing w:line="264" w:lineRule="auto"/>
              <w:rPr>
                <w:rFonts w:cstheme="minorHAnsi"/>
                <w:b/>
                <w:bCs/>
                <w:color w:val="000000"/>
              </w:rPr>
            </w:pPr>
            <w:r w:rsidRPr="002C2C75">
              <w:rPr>
                <w:rFonts w:cstheme="minorHAnsi"/>
                <w:color w:val="000000"/>
              </w:rPr>
              <w:t>Improved laboratory network governance at all management levels</w:t>
            </w:r>
          </w:p>
        </w:tc>
      </w:tr>
      <w:tr w:rsidR="00E912ED" w:rsidRPr="002C2C75" w14:paraId="0B843FCD" w14:textId="77777777" w:rsidTr="00C0707E">
        <w:trPr>
          <w:cantSplit/>
        </w:trPr>
        <w:tc>
          <w:tcPr>
            <w:tcW w:w="2605" w:type="dxa"/>
          </w:tcPr>
          <w:p w14:paraId="7510BFF1" w14:textId="19AD1D2C" w:rsidR="00E912ED" w:rsidRPr="00E912ED" w:rsidRDefault="00E912ED" w:rsidP="00E912ED">
            <w:pPr>
              <w:pBdr>
                <w:top w:val="nil"/>
                <w:left w:val="nil"/>
                <w:bottom w:val="nil"/>
                <w:right w:val="nil"/>
                <w:between w:val="nil"/>
              </w:pBdr>
              <w:spacing w:line="264" w:lineRule="auto"/>
              <w:rPr>
                <w:rFonts w:cstheme="minorHAnsi"/>
                <w:b/>
                <w:bCs/>
                <w:color w:val="000000"/>
              </w:rPr>
            </w:pPr>
            <w:r w:rsidRPr="00E912ED">
              <w:rPr>
                <w:rFonts w:cstheme="minorHAnsi"/>
                <w:b/>
                <w:bCs/>
                <w:color w:val="000000"/>
              </w:rPr>
              <w:t xml:space="preserve">Intervention(s) </w:t>
            </w:r>
          </w:p>
        </w:tc>
        <w:tc>
          <w:tcPr>
            <w:tcW w:w="12600" w:type="dxa"/>
          </w:tcPr>
          <w:p w14:paraId="63F6D7CF" w14:textId="687713F8" w:rsidR="00E912ED" w:rsidRPr="00E912ED" w:rsidRDefault="00E912ED" w:rsidP="00E912ED">
            <w:pPr>
              <w:pBdr>
                <w:top w:val="nil"/>
                <w:left w:val="nil"/>
                <w:bottom w:val="nil"/>
                <w:right w:val="nil"/>
                <w:between w:val="nil"/>
              </w:pBdr>
              <w:spacing w:line="264" w:lineRule="auto"/>
              <w:rPr>
                <w:rFonts w:cstheme="minorHAnsi"/>
                <w:color w:val="000000"/>
              </w:rPr>
            </w:pPr>
            <w:r>
              <w:rPr>
                <w:rFonts w:cstheme="minorHAnsi"/>
                <w:b/>
                <w:bCs/>
                <w:color w:val="000000"/>
              </w:rPr>
              <w:t xml:space="preserve">Intervention: </w:t>
            </w:r>
            <w:r w:rsidRPr="00E912ED">
              <w:rPr>
                <w:rFonts w:cstheme="minorHAnsi"/>
                <w:color w:val="000000"/>
              </w:rPr>
              <w:t xml:space="preserve">Quality management systems and accreditation </w:t>
            </w:r>
          </w:p>
          <w:p w14:paraId="1EA06D0D" w14:textId="7EE6C3A7" w:rsidR="00E912ED" w:rsidRPr="002C2C75" w:rsidRDefault="00E912ED" w:rsidP="00E912ED">
            <w:pPr>
              <w:pBdr>
                <w:top w:val="nil"/>
                <w:left w:val="nil"/>
                <w:bottom w:val="nil"/>
                <w:right w:val="nil"/>
                <w:between w:val="nil"/>
              </w:pBdr>
              <w:spacing w:line="264" w:lineRule="auto"/>
              <w:rPr>
                <w:rFonts w:cstheme="minorHAnsi"/>
                <w:color w:val="000000"/>
              </w:rPr>
            </w:pPr>
            <w:r w:rsidRPr="00E912ED">
              <w:rPr>
                <w:rFonts w:cstheme="minorHAnsi"/>
                <w:color w:val="000000"/>
              </w:rPr>
              <w:t>Change in Pro</w:t>
            </w:r>
            <w:r w:rsidRPr="002C2C75">
              <w:rPr>
                <w:rFonts w:cstheme="minorHAnsi"/>
                <w:color w:val="000000"/>
              </w:rPr>
              <w:t xml:space="preserve">gramming from current grant: </w:t>
            </w:r>
            <w:sdt>
              <w:sdtPr>
                <w:rPr>
                  <w:rFonts w:cstheme="minorHAnsi"/>
                </w:rPr>
                <w:tag w:val="goog_rdk_234"/>
                <w:id w:val="1848900916"/>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New, </w:t>
            </w:r>
            <w:r w:rsidRPr="002C2C75">
              <w:rPr>
                <w:rFonts w:ascii="Segoe UI Symbol" w:eastAsia="MS Gothic" w:hAnsi="Segoe UI Symbol" w:cs="Segoe UI Symbol"/>
                <w:color w:val="000000"/>
              </w:rPr>
              <w:t>☒</w:t>
            </w:r>
            <w:r w:rsidRPr="002C2C75">
              <w:rPr>
                <w:rFonts w:cstheme="minorHAnsi"/>
                <w:color w:val="000000"/>
              </w:rPr>
              <w:t xml:space="preserve"> Scale-up, </w:t>
            </w:r>
            <w:r w:rsidRPr="002C2C75">
              <w:rPr>
                <w:rFonts w:ascii="Segoe UI Symbol" w:eastAsia="MS Gothic" w:hAnsi="Segoe UI Symbol" w:cs="Segoe UI Symbol"/>
                <w:color w:val="000000"/>
              </w:rPr>
              <w:t>☒</w:t>
            </w:r>
            <w:r w:rsidRPr="002C2C75">
              <w:rPr>
                <w:rFonts w:cstheme="minorHAnsi"/>
                <w:color w:val="000000"/>
              </w:rPr>
              <w:t xml:space="preserve"> Continuation, or </w:t>
            </w:r>
            <w:sdt>
              <w:sdtPr>
                <w:rPr>
                  <w:rFonts w:cstheme="minorHAnsi"/>
                </w:rPr>
                <w:tag w:val="goog_rdk_235"/>
                <w:id w:val="535160277"/>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Scale-down</w:t>
            </w:r>
          </w:p>
        </w:tc>
      </w:tr>
      <w:tr w:rsidR="00E912ED" w:rsidRPr="002C2C75" w14:paraId="768DD14A" w14:textId="77777777" w:rsidTr="00C0707E">
        <w:trPr>
          <w:cantSplit/>
        </w:trPr>
        <w:tc>
          <w:tcPr>
            <w:tcW w:w="2605" w:type="dxa"/>
          </w:tcPr>
          <w:p w14:paraId="6B90582A" w14:textId="77777777" w:rsidR="00E912ED" w:rsidRPr="00E912ED" w:rsidRDefault="00E912ED" w:rsidP="00E912ED">
            <w:pPr>
              <w:pBdr>
                <w:top w:val="nil"/>
                <w:left w:val="nil"/>
                <w:bottom w:val="nil"/>
                <w:right w:val="nil"/>
                <w:between w:val="nil"/>
              </w:pBdr>
              <w:spacing w:line="264" w:lineRule="auto"/>
              <w:rPr>
                <w:rFonts w:cstheme="minorHAnsi"/>
                <w:b/>
                <w:bCs/>
                <w:color w:val="000000"/>
              </w:rPr>
            </w:pPr>
            <w:r w:rsidRPr="00E912ED">
              <w:rPr>
                <w:rFonts w:cstheme="minorHAnsi"/>
                <w:b/>
                <w:bCs/>
                <w:color w:val="000000"/>
              </w:rPr>
              <w:t>Population, geographies and/or barriers addressed</w:t>
            </w:r>
          </w:p>
        </w:tc>
        <w:tc>
          <w:tcPr>
            <w:tcW w:w="12600" w:type="dxa"/>
          </w:tcPr>
          <w:p w14:paraId="1B93220B" w14:textId="77777777" w:rsidR="00E912ED" w:rsidRPr="002C2C75" w:rsidRDefault="00E912ED" w:rsidP="00E912ED">
            <w:pPr>
              <w:pBdr>
                <w:top w:val="nil"/>
                <w:left w:val="nil"/>
                <w:bottom w:val="nil"/>
                <w:right w:val="nil"/>
                <w:between w:val="nil"/>
              </w:pBdr>
              <w:spacing w:line="264" w:lineRule="auto"/>
              <w:jc w:val="both"/>
              <w:rPr>
                <w:rFonts w:cstheme="minorHAnsi"/>
                <w:color w:val="000000"/>
              </w:rPr>
            </w:pPr>
            <w:r w:rsidRPr="002C2C75">
              <w:rPr>
                <w:rFonts w:cstheme="minorHAnsi"/>
                <w:color w:val="000000"/>
              </w:rPr>
              <w:t>The clinical laboratories network is currently in the process of accreditation of 6 laboratories (HC Maputo and Nampula, HP Tete and Chimoio and HG Mavalane and Machava) and to support the maintenance of the level of quality of the laboratories of these laboratories and including the remaining clinical laboratories of HC Quelimane and Beira, HP Matola, Inhambane, Xai xai, Pemba, Lichinga and HG Quelimane there is a need to expand the implementation of AEQ of Hematology, Biochemistry and microbiology with the final aim of ensuring the reliability of the results as well as the clinicians and patients.</w:t>
            </w:r>
          </w:p>
        </w:tc>
      </w:tr>
      <w:tr w:rsidR="00E912ED" w:rsidRPr="002C2C75" w14:paraId="7291FCC9" w14:textId="77777777" w:rsidTr="00C0707E">
        <w:trPr>
          <w:cantSplit/>
        </w:trPr>
        <w:tc>
          <w:tcPr>
            <w:tcW w:w="2605" w:type="dxa"/>
          </w:tcPr>
          <w:p w14:paraId="39A30728" w14:textId="2DD6D25B" w:rsidR="00E912ED" w:rsidRPr="00E912ED" w:rsidRDefault="00E912ED" w:rsidP="00E912ED">
            <w:pPr>
              <w:pBdr>
                <w:top w:val="nil"/>
                <w:left w:val="nil"/>
                <w:bottom w:val="nil"/>
                <w:right w:val="nil"/>
                <w:between w:val="nil"/>
              </w:pBdr>
              <w:spacing w:line="264" w:lineRule="auto"/>
              <w:rPr>
                <w:rFonts w:cstheme="minorHAnsi"/>
                <w:b/>
                <w:bCs/>
                <w:color w:val="000000"/>
              </w:rPr>
            </w:pPr>
            <w:r w:rsidRPr="00E912ED">
              <w:rPr>
                <w:rFonts w:cstheme="minorHAnsi"/>
                <w:b/>
                <w:bCs/>
                <w:color w:val="000000"/>
              </w:rPr>
              <w:t>List of activities</w:t>
            </w:r>
          </w:p>
        </w:tc>
        <w:tc>
          <w:tcPr>
            <w:tcW w:w="12600" w:type="dxa"/>
          </w:tcPr>
          <w:p w14:paraId="75ECE549" w14:textId="77777777" w:rsidR="00E912ED" w:rsidRPr="002C2C75" w:rsidRDefault="00E912ED" w:rsidP="00E912ED">
            <w:pPr>
              <w:numPr>
                <w:ilvl w:val="0"/>
                <w:numId w:val="76"/>
              </w:numPr>
              <w:pBdr>
                <w:top w:val="nil"/>
                <w:left w:val="nil"/>
                <w:bottom w:val="nil"/>
                <w:right w:val="nil"/>
                <w:between w:val="nil"/>
              </w:pBdr>
              <w:tabs>
                <w:tab w:val="left" w:pos="2520"/>
              </w:tabs>
              <w:spacing w:after="0" w:line="240" w:lineRule="auto"/>
              <w:ind w:left="720"/>
              <w:jc w:val="both"/>
              <w:rPr>
                <w:rFonts w:cstheme="minorHAnsi"/>
                <w:color w:val="000000"/>
              </w:rPr>
            </w:pPr>
            <w:r w:rsidRPr="002C2C75">
              <w:rPr>
                <w:rFonts w:cstheme="minorHAnsi"/>
                <w:color w:val="000000"/>
              </w:rPr>
              <w:t>Expand the Quality Improvement program to integrate other areas/exams of the clinical laboratory, namely Hematology, Biochemistry and Microbiology</w:t>
            </w:r>
          </w:p>
          <w:p w14:paraId="430932DC" w14:textId="77777777" w:rsidR="00E912ED" w:rsidRDefault="00E912ED" w:rsidP="00E912ED">
            <w:pPr>
              <w:numPr>
                <w:ilvl w:val="0"/>
                <w:numId w:val="76"/>
              </w:numPr>
              <w:pBdr>
                <w:top w:val="nil"/>
                <w:left w:val="nil"/>
                <w:bottom w:val="nil"/>
                <w:right w:val="nil"/>
                <w:between w:val="nil"/>
              </w:pBdr>
              <w:tabs>
                <w:tab w:val="left" w:pos="2520"/>
              </w:tabs>
              <w:spacing w:after="0" w:line="240" w:lineRule="auto"/>
              <w:ind w:left="720"/>
              <w:jc w:val="both"/>
              <w:rPr>
                <w:rFonts w:cstheme="minorHAnsi"/>
                <w:color w:val="000000"/>
              </w:rPr>
            </w:pPr>
            <w:r w:rsidRPr="002C2C75">
              <w:rPr>
                <w:rFonts w:cstheme="minorHAnsi"/>
                <w:color w:val="000000"/>
              </w:rPr>
              <w:t>Train quality managers in quality assurance</w:t>
            </w:r>
          </w:p>
          <w:p w14:paraId="3EE85858" w14:textId="4568080A" w:rsidR="00E912ED" w:rsidRPr="00E912ED" w:rsidRDefault="00E912ED" w:rsidP="00E912ED">
            <w:pPr>
              <w:numPr>
                <w:ilvl w:val="0"/>
                <w:numId w:val="76"/>
              </w:numPr>
              <w:pBdr>
                <w:top w:val="nil"/>
                <w:left w:val="nil"/>
                <w:bottom w:val="nil"/>
                <w:right w:val="nil"/>
                <w:between w:val="nil"/>
              </w:pBdr>
              <w:tabs>
                <w:tab w:val="left" w:pos="2520"/>
              </w:tabs>
              <w:spacing w:after="0" w:line="240" w:lineRule="auto"/>
              <w:ind w:left="720"/>
              <w:jc w:val="both"/>
              <w:rPr>
                <w:rFonts w:cstheme="minorHAnsi"/>
                <w:color w:val="000000"/>
              </w:rPr>
            </w:pPr>
            <w:r w:rsidRPr="00E912ED">
              <w:rPr>
                <w:rFonts w:cstheme="minorHAnsi"/>
                <w:color w:val="000000"/>
              </w:rPr>
              <w:t>Quality Management and Accreditation Systems (INS)</w:t>
            </w:r>
          </w:p>
        </w:tc>
      </w:tr>
      <w:tr w:rsidR="00E912ED" w:rsidRPr="002C2C75" w14:paraId="7917DEED" w14:textId="77777777" w:rsidTr="00C0707E">
        <w:trPr>
          <w:cantSplit/>
        </w:trPr>
        <w:tc>
          <w:tcPr>
            <w:tcW w:w="2605" w:type="dxa"/>
          </w:tcPr>
          <w:p w14:paraId="659B9C89" w14:textId="77777777" w:rsidR="00E912ED" w:rsidRPr="00E912ED" w:rsidRDefault="00E912ED" w:rsidP="00E912ED">
            <w:pPr>
              <w:pBdr>
                <w:top w:val="nil"/>
                <w:left w:val="nil"/>
                <w:bottom w:val="nil"/>
                <w:right w:val="nil"/>
                <w:between w:val="nil"/>
              </w:pBdr>
              <w:spacing w:line="264" w:lineRule="auto"/>
              <w:rPr>
                <w:rFonts w:cstheme="minorHAnsi"/>
                <w:b/>
                <w:bCs/>
                <w:color w:val="000000"/>
              </w:rPr>
            </w:pPr>
            <w:r w:rsidRPr="00E912ED">
              <w:rPr>
                <w:rFonts w:cstheme="minorHAnsi"/>
                <w:b/>
                <w:bCs/>
                <w:color w:val="000000"/>
              </w:rPr>
              <w:t>Amount requested</w:t>
            </w:r>
          </w:p>
        </w:tc>
        <w:tc>
          <w:tcPr>
            <w:tcW w:w="12600" w:type="dxa"/>
          </w:tcPr>
          <w:p w14:paraId="1DD114CE" w14:textId="71F74E96" w:rsidR="00E912ED" w:rsidRPr="002C2C75" w:rsidRDefault="00E912ED" w:rsidP="00E912ED">
            <w:pPr>
              <w:rPr>
                <w:rFonts w:eastAsia="Calibri" w:cstheme="minorHAnsi"/>
                <w:b/>
                <w:color w:val="000000"/>
              </w:rPr>
            </w:pPr>
            <w:r w:rsidRPr="002C2C75">
              <w:rPr>
                <w:rFonts w:eastAsia="Calibri" w:cstheme="minorHAnsi"/>
                <w:b/>
                <w:color w:val="000000"/>
              </w:rPr>
              <w:t>Within allocation: $1,510,410</w:t>
            </w:r>
          </w:p>
        </w:tc>
      </w:tr>
      <w:tr w:rsidR="00E912ED" w:rsidRPr="002C2C75" w14:paraId="38E087DA" w14:textId="77777777" w:rsidTr="00C0707E">
        <w:trPr>
          <w:cantSplit/>
        </w:trPr>
        <w:tc>
          <w:tcPr>
            <w:tcW w:w="2605" w:type="dxa"/>
          </w:tcPr>
          <w:p w14:paraId="49247B38" w14:textId="0BBA2FBB" w:rsidR="00E912ED" w:rsidRPr="00E912ED" w:rsidRDefault="00E912ED" w:rsidP="00E912ED">
            <w:pPr>
              <w:pBdr>
                <w:top w:val="nil"/>
                <w:left w:val="nil"/>
                <w:bottom w:val="nil"/>
                <w:right w:val="nil"/>
                <w:between w:val="nil"/>
              </w:pBdr>
              <w:spacing w:line="264" w:lineRule="auto"/>
              <w:rPr>
                <w:rFonts w:cstheme="minorHAnsi"/>
                <w:b/>
                <w:bCs/>
                <w:color w:val="000000"/>
              </w:rPr>
            </w:pPr>
            <w:r w:rsidRPr="00E912ED">
              <w:rPr>
                <w:rFonts w:cstheme="minorHAnsi"/>
                <w:b/>
                <w:bCs/>
                <w:color w:val="000000"/>
              </w:rPr>
              <w:t>Expected outcome</w:t>
            </w:r>
          </w:p>
        </w:tc>
        <w:tc>
          <w:tcPr>
            <w:tcW w:w="12600" w:type="dxa"/>
          </w:tcPr>
          <w:p w14:paraId="1797E2B2" w14:textId="00C5C79E" w:rsidR="00E912ED" w:rsidRPr="002C2C75" w:rsidRDefault="00E912ED" w:rsidP="00E912ED">
            <w:pPr>
              <w:rPr>
                <w:rFonts w:eastAsia="Calibri" w:cstheme="minorHAnsi"/>
                <w:b/>
                <w:color w:val="000000"/>
              </w:rPr>
            </w:pPr>
            <w:r w:rsidRPr="002C2C75">
              <w:rPr>
                <w:rFonts w:cstheme="minorHAnsi"/>
                <w:color w:val="000000"/>
              </w:rPr>
              <w:t>Improved the quality of laboratory services provided at all levels</w:t>
            </w:r>
          </w:p>
        </w:tc>
      </w:tr>
      <w:tr w:rsidR="00E912ED" w:rsidRPr="002C2C75" w14:paraId="493D9790" w14:textId="77777777" w:rsidTr="00C0707E">
        <w:trPr>
          <w:cantSplit/>
        </w:trPr>
        <w:tc>
          <w:tcPr>
            <w:tcW w:w="2605" w:type="dxa"/>
          </w:tcPr>
          <w:p w14:paraId="6E8B9F56" w14:textId="0413A134" w:rsidR="00E912ED" w:rsidRPr="00E912ED" w:rsidRDefault="00E912ED" w:rsidP="00E912ED">
            <w:pPr>
              <w:pBdr>
                <w:top w:val="nil"/>
                <w:left w:val="nil"/>
                <w:bottom w:val="nil"/>
                <w:right w:val="nil"/>
                <w:between w:val="nil"/>
              </w:pBdr>
              <w:spacing w:line="264" w:lineRule="auto"/>
              <w:rPr>
                <w:rFonts w:cstheme="minorHAnsi"/>
                <w:b/>
                <w:bCs/>
                <w:color w:val="000000"/>
              </w:rPr>
            </w:pPr>
            <w:r w:rsidRPr="00E912ED">
              <w:rPr>
                <w:rFonts w:cstheme="minorHAnsi"/>
                <w:b/>
                <w:bCs/>
                <w:color w:val="000000"/>
              </w:rPr>
              <w:t xml:space="preserve">Intervention(s) </w:t>
            </w:r>
          </w:p>
        </w:tc>
        <w:tc>
          <w:tcPr>
            <w:tcW w:w="12600" w:type="dxa"/>
          </w:tcPr>
          <w:p w14:paraId="02E4D350" w14:textId="018288D1" w:rsidR="00E912ED" w:rsidRPr="00E912ED" w:rsidRDefault="00E912ED" w:rsidP="00E912ED">
            <w:pPr>
              <w:pBdr>
                <w:top w:val="nil"/>
                <w:left w:val="nil"/>
                <w:bottom w:val="nil"/>
                <w:right w:val="nil"/>
                <w:between w:val="nil"/>
              </w:pBdr>
              <w:spacing w:line="264" w:lineRule="auto"/>
              <w:rPr>
                <w:rFonts w:cstheme="minorHAnsi"/>
                <w:color w:val="000000"/>
              </w:rPr>
            </w:pPr>
            <w:r>
              <w:rPr>
                <w:rFonts w:cstheme="minorHAnsi"/>
                <w:b/>
                <w:bCs/>
                <w:color w:val="000000"/>
              </w:rPr>
              <w:t xml:space="preserve">Intervention: </w:t>
            </w:r>
            <w:r w:rsidRPr="00E912ED">
              <w:rPr>
                <w:rFonts w:cstheme="minorHAnsi"/>
                <w:color w:val="000000"/>
              </w:rPr>
              <w:t xml:space="preserve">RSSH/PP: Laboratory Information Systems </w:t>
            </w:r>
          </w:p>
          <w:p w14:paraId="7D6C9283" w14:textId="3DDBC659" w:rsidR="00E912ED" w:rsidRPr="00E912ED" w:rsidRDefault="00E912ED" w:rsidP="00E912ED">
            <w:pPr>
              <w:pBdr>
                <w:top w:val="nil"/>
                <w:left w:val="nil"/>
                <w:bottom w:val="nil"/>
                <w:right w:val="nil"/>
                <w:between w:val="nil"/>
              </w:pBdr>
              <w:spacing w:line="264" w:lineRule="auto"/>
              <w:rPr>
                <w:rFonts w:cstheme="minorHAnsi"/>
                <w:color w:val="000000"/>
              </w:rPr>
            </w:pPr>
            <w:r w:rsidRPr="00E912ED">
              <w:rPr>
                <w:rFonts w:cstheme="minorHAnsi"/>
                <w:color w:val="000000"/>
              </w:rPr>
              <w:t>Change in Pro</w:t>
            </w:r>
            <w:r w:rsidRPr="002C2C75">
              <w:rPr>
                <w:rFonts w:cstheme="minorHAnsi"/>
                <w:color w:val="000000"/>
              </w:rPr>
              <w:t xml:space="preserve">gramming from current grant: </w:t>
            </w:r>
            <w:sdt>
              <w:sdtPr>
                <w:rPr>
                  <w:rFonts w:cstheme="minorHAnsi"/>
                </w:rPr>
                <w:tag w:val="goog_rdk_236"/>
                <w:id w:val="63848323"/>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New, </w:t>
            </w:r>
            <w:r w:rsidRPr="002C2C75">
              <w:rPr>
                <w:rFonts w:ascii="Segoe UI Symbol" w:eastAsia="MS Gothic" w:hAnsi="Segoe UI Symbol" w:cs="Segoe UI Symbol"/>
                <w:color w:val="000000"/>
              </w:rPr>
              <w:t>☒</w:t>
            </w:r>
            <w:r w:rsidRPr="002C2C75">
              <w:rPr>
                <w:rFonts w:cstheme="minorHAnsi"/>
                <w:color w:val="000000"/>
              </w:rPr>
              <w:t xml:space="preserve"> Scale-up, </w:t>
            </w:r>
            <w:sdt>
              <w:sdtPr>
                <w:rPr>
                  <w:rFonts w:cstheme="minorHAnsi"/>
                </w:rPr>
                <w:tag w:val="goog_rdk_236"/>
                <w:id w:val="360329955"/>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Continuation, or </w:t>
            </w:r>
            <w:sdt>
              <w:sdtPr>
                <w:rPr>
                  <w:rFonts w:cstheme="minorHAnsi"/>
                </w:rPr>
                <w:tag w:val="goog_rdk_237"/>
                <w:id w:val="-521851873"/>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Scale-down</w:t>
            </w:r>
          </w:p>
        </w:tc>
      </w:tr>
      <w:tr w:rsidR="00E912ED" w:rsidRPr="002C2C75" w14:paraId="02B301B6" w14:textId="77777777" w:rsidTr="00C0707E">
        <w:trPr>
          <w:cantSplit/>
        </w:trPr>
        <w:tc>
          <w:tcPr>
            <w:tcW w:w="2605" w:type="dxa"/>
          </w:tcPr>
          <w:p w14:paraId="5AEC3F69" w14:textId="77777777" w:rsidR="00E912ED" w:rsidRPr="00E912ED" w:rsidRDefault="00E912ED" w:rsidP="00E912ED">
            <w:pPr>
              <w:pBdr>
                <w:top w:val="nil"/>
                <w:left w:val="nil"/>
                <w:bottom w:val="nil"/>
                <w:right w:val="nil"/>
                <w:between w:val="nil"/>
              </w:pBdr>
              <w:spacing w:line="264" w:lineRule="auto"/>
              <w:rPr>
                <w:rFonts w:cstheme="minorHAnsi"/>
                <w:b/>
                <w:bCs/>
                <w:color w:val="000000"/>
              </w:rPr>
            </w:pPr>
            <w:r w:rsidRPr="00E912ED">
              <w:rPr>
                <w:rFonts w:cstheme="minorHAnsi"/>
                <w:b/>
                <w:bCs/>
                <w:color w:val="000000"/>
              </w:rPr>
              <w:t>Population, geographies and/or barriers addressed</w:t>
            </w:r>
          </w:p>
        </w:tc>
        <w:tc>
          <w:tcPr>
            <w:tcW w:w="12600" w:type="dxa"/>
          </w:tcPr>
          <w:p w14:paraId="34497FA7" w14:textId="316337CE" w:rsidR="00E912ED" w:rsidRPr="002C2C75" w:rsidRDefault="008D703F" w:rsidP="00E912ED">
            <w:pPr>
              <w:pBdr>
                <w:top w:val="nil"/>
                <w:left w:val="nil"/>
                <w:bottom w:val="nil"/>
                <w:right w:val="nil"/>
                <w:between w:val="nil"/>
              </w:pBdr>
              <w:spacing w:line="264" w:lineRule="auto"/>
              <w:jc w:val="both"/>
              <w:rPr>
                <w:rFonts w:cstheme="minorHAnsi"/>
                <w:color w:val="000000"/>
              </w:rPr>
            </w:pPr>
            <w:r w:rsidRPr="008D703F">
              <w:rPr>
                <w:rFonts w:cstheme="minorHAnsi"/>
                <w:color w:val="000000"/>
              </w:rPr>
              <w:t>To ensure the availability of quality data and consequent effective decision-making, it is necessary to continuously adjust the Laboratory Information System (LIS) data collection tools. Therefore, the sector will hold a workshop to map and update the relevant documentation and subsequently guarantee its layout and printing. To increase the availability of quality data, the Lab sector will continue to automate the SIL, as well as standardize and gradually expand the electronic LIS to approximately 70% of the tier 2 clinical laboratories on the basis of local infrastructure conditions, resources availability, and backed by site level plan. This activity will also be informed by the planned evaluation in 2023 under NFM3/GC6 and complements CDC support to the Labs with Viral load. In addition, an electronic web-based platform and dashboard will be developed that allows the aggregated/integrated management of laboratory data from different systems/databases. This implies equipping targeted laboratories with computer equipment, installing an internet network, training users, and establishing a Helpdesk Center with Information Technologies (IT) personnel for users real time support. These digital connectivity solutions are expected to effectively manage laboratory reagents and consumables, make timely decisions based on external quality assessment (EQA) results and test statistics generated by the system, and timely respond to any equipment breakdowns and maintenance needs. These interventions will support the Lab strategic goal for strengthening the LIS and promote its accessibility to all levels.</w:t>
            </w:r>
          </w:p>
        </w:tc>
      </w:tr>
      <w:tr w:rsidR="00E912ED" w:rsidRPr="002C2C75" w14:paraId="3EB15F4A" w14:textId="77777777" w:rsidTr="00C0707E">
        <w:trPr>
          <w:cantSplit/>
        </w:trPr>
        <w:tc>
          <w:tcPr>
            <w:tcW w:w="2605" w:type="dxa"/>
          </w:tcPr>
          <w:p w14:paraId="28556701" w14:textId="3C7C1A36" w:rsidR="00E912ED" w:rsidRPr="00E912ED" w:rsidRDefault="00E912ED" w:rsidP="00E912ED">
            <w:pPr>
              <w:pBdr>
                <w:top w:val="nil"/>
                <w:left w:val="nil"/>
                <w:bottom w:val="nil"/>
                <w:right w:val="nil"/>
                <w:between w:val="nil"/>
              </w:pBdr>
              <w:spacing w:line="264" w:lineRule="auto"/>
              <w:rPr>
                <w:rFonts w:cstheme="minorHAnsi"/>
                <w:b/>
                <w:bCs/>
                <w:color w:val="000000"/>
              </w:rPr>
            </w:pPr>
            <w:r w:rsidRPr="00E912ED">
              <w:rPr>
                <w:rFonts w:cstheme="minorHAnsi"/>
                <w:b/>
                <w:bCs/>
                <w:color w:val="000000"/>
              </w:rPr>
              <w:t>List of activities</w:t>
            </w:r>
          </w:p>
        </w:tc>
        <w:tc>
          <w:tcPr>
            <w:tcW w:w="12600" w:type="dxa"/>
          </w:tcPr>
          <w:p w14:paraId="2C02125F" w14:textId="77777777" w:rsidR="008D703F" w:rsidRPr="008D703F" w:rsidRDefault="008D703F" w:rsidP="008D703F">
            <w:pPr>
              <w:numPr>
                <w:ilvl w:val="0"/>
                <w:numId w:val="77"/>
              </w:numPr>
              <w:pBdr>
                <w:top w:val="nil"/>
                <w:left w:val="nil"/>
                <w:bottom w:val="nil"/>
                <w:right w:val="nil"/>
                <w:between w:val="nil"/>
              </w:pBdr>
              <w:tabs>
                <w:tab w:val="left" w:pos="2520"/>
              </w:tabs>
              <w:spacing w:after="0" w:line="240" w:lineRule="auto"/>
              <w:contextualSpacing/>
              <w:jc w:val="both"/>
              <w:rPr>
                <w:rFonts w:cstheme="minorHAnsi"/>
                <w:color w:val="000000"/>
              </w:rPr>
            </w:pPr>
            <w:r w:rsidRPr="008D703F">
              <w:rPr>
                <w:rFonts w:cstheme="minorHAnsi"/>
                <w:color w:val="000000"/>
              </w:rPr>
              <w:t>Update LIS guidelines, records and reporting model</w:t>
            </w:r>
          </w:p>
          <w:p w14:paraId="66879C4D" w14:textId="77777777" w:rsidR="008D703F" w:rsidRPr="008D703F" w:rsidRDefault="008D703F" w:rsidP="008D703F">
            <w:pPr>
              <w:numPr>
                <w:ilvl w:val="0"/>
                <w:numId w:val="77"/>
              </w:numPr>
              <w:pBdr>
                <w:top w:val="nil"/>
                <w:left w:val="nil"/>
                <w:bottom w:val="nil"/>
                <w:right w:val="nil"/>
                <w:between w:val="nil"/>
              </w:pBdr>
              <w:tabs>
                <w:tab w:val="left" w:pos="2520"/>
              </w:tabs>
              <w:spacing w:after="0" w:line="240" w:lineRule="auto"/>
              <w:contextualSpacing/>
              <w:jc w:val="both"/>
              <w:rPr>
                <w:rFonts w:cstheme="minorHAnsi"/>
                <w:color w:val="000000"/>
              </w:rPr>
            </w:pPr>
            <w:r w:rsidRPr="008D703F">
              <w:rPr>
                <w:rFonts w:cstheme="minorHAnsi"/>
                <w:color w:val="000000"/>
              </w:rPr>
              <w:t>Carry out a collegiate activity to validate the proposed updates in the SIL guidelines, logbooks and reporting models</w:t>
            </w:r>
          </w:p>
          <w:p w14:paraId="7B843559" w14:textId="77777777" w:rsidR="008D703F" w:rsidRPr="008D703F" w:rsidRDefault="008D703F" w:rsidP="008D703F">
            <w:pPr>
              <w:numPr>
                <w:ilvl w:val="0"/>
                <w:numId w:val="77"/>
              </w:numPr>
              <w:pBdr>
                <w:top w:val="nil"/>
                <w:left w:val="nil"/>
                <w:bottom w:val="nil"/>
                <w:right w:val="nil"/>
                <w:between w:val="nil"/>
              </w:pBdr>
              <w:tabs>
                <w:tab w:val="left" w:pos="2520"/>
              </w:tabs>
              <w:spacing w:after="0" w:line="240" w:lineRule="auto"/>
              <w:contextualSpacing/>
              <w:jc w:val="both"/>
              <w:rPr>
                <w:rFonts w:cstheme="minorHAnsi"/>
                <w:color w:val="000000"/>
              </w:rPr>
            </w:pPr>
            <w:r w:rsidRPr="008D703F">
              <w:rPr>
                <w:rFonts w:cstheme="minorHAnsi"/>
                <w:color w:val="000000"/>
              </w:rPr>
              <w:t>Reproduce and distribute updated and modeled SIL instruments</w:t>
            </w:r>
          </w:p>
          <w:p w14:paraId="19FF8F72" w14:textId="77777777" w:rsidR="008D703F" w:rsidRPr="008D703F" w:rsidRDefault="008D703F" w:rsidP="008D703F">
            <w:pPr>
              <w:numPr>
                <w:ilvl w:val="0"/>
                <w:numId w:val="77"/>
              </w:numPr>
              <w:pBdr>
                <w:top w:val="nil"/>
                <w:left w:val="nil"/>
                <w:bottom w:val="nil"/>
                <w:right w:val="nil"/>
                <w:between w:val="nil"/>
              </w:pBdr>
              <w:tabs>
                <w:tab w:val="left" w:pos="2520"/>
              </w:tabs>
              <w:spacing w:after="0" w:line="240" w:lineRule="auto"/>
              <w:contextualSpacing/>
              <w:jc w:val="both"/>
              <w:rPr>
                <w:rFonts w:cstheme="minorHAnsi"/>
                <w:color w:val="000000"/>
              </w:rPr>
            </w:pPr>
            <w:r w:rsidRPr="008D703F">
              <w:rPr>
                <w:rFonts w:cstheme="minorHAnsi"/>
                <w:color w:val="000000"/>
              </w:rPr>
              <w:t>Expand electronic LIS in clinical laboratories, with greater focus on District Hospitals</w:t>
            </w:r>
          </w:p>
          <w:p w14:paraId="258D743F" w14:textId="7C2EC27B" w:rsidR="00E912ED" w:rsidRPr="00E912ED" w:rsidRDefault="008D703F" w:rsidP="008D703F">
            <w:pPr>
              <w:numPr>
                <w:ilvl w:val="0"/>
                <w:numId w:val="77"/>
              </w:numPr>
              <w:pBdr>
                <w:top w:val="nil"/>
                <w:left w:val="nil"/>
                <w:bottom w:val="nil"/>
                <w:right w:val="nil"/>
                <w:between w:val="nil"/>
              </w:pBdr>
              <w:tabs>
                <w:tab w:val="left" w:pos="2520"/>
              </w:tabs>
              <w:spacing w:after="0" w:line="240" w:lineRule="auto"/>
              <w:contextualSpacing/>
              <w:jc w:val="both"/>
              <w:rPr>
                <w:rFonts w:cstheme="minorHAnsi"/>
                <w:color w:val="000000"/>
              </w:rPr>
            </w:pPr>
            <w:r w:rsidRPr="008D703F">
              <w:rPr>
                <w:rFonts w:cstheme="minorHAnsi"/>
                <w:color w:val="000000"/>
              </w:rPr>
              <w:t>Continue to develop and implement an integrated electronic platform (web-based) and dashboard for managing aggregated laboratory data from different systems/databases</w:t>
            </w:r>
          </w:p>
        </w:tc>
      </w:tr>
      <w:tr w:rsidR="00E912ED" w:rsidRPr="002C2C75" w14:paraId="020B2B78" w14:textId="77777777" w:rsidTr="00C0707E">
        <w:trPr>
          <w:cantSplit/>
        </w:trPr>
        <w:tc>
          <w:tcPr>
            <w:tcW w:w="2605" w:type="dxa"/>
          </w:tcPr>
          <w:p w14:paraId="35A181E2" w14:textId="77777777" w:rsidR="00E912ED" w:rsidRPr="00E912ED" w:rsidRDefault="00E912ED" w:rsidP="00E912ED">
            <w:pPr>
              <w:pBdr>
                <w:top w:val="nil"/>
                <w:left w:val="nil"/>
                <w:bottom w:val="nil"/>
                <w:right w:val="nil"/>
                <w:between w:val="nil"/>
              </w:pBdr>
              <w:spacing w:line="264" w:lineRule="auto"/>
              <w:rPr>
                <w:rFonts w:cstheme="minorHAnsi"/>
                <w:b/>
                <w:bCs/>
                <w:color w:val="000000"/>
              </w:rPr>
            </w:pPr>
            <w:r w:rsidRPr="00E912ED">
              <w:rPr>
                <w:rFonts w:cstheme="minorHAnsi"/>
                <w:b/>
                <w:bCs/>
                <w:color w:val="000000"/>
              </w:rPr>
              <w:t>Amount requested</w:t>
            </w:r>
          </w:p>
        </w:tc>
        <w:tc>
          <w:tcPr>
            <w:tcW w:w="12600" w:type="dxa"/>
          </w:tcPr>
          <w:p w14:paraId="10009971" w14:textId="69572563" w:rsidR="00E912ED" w:rsidRPr="002C2C75" w:rsidRDefault="00E912ED" w:rsidP="00E912ED">
            <w:pPr>
              <w:rPr>
                <w:rFonts w:eastAsia="Calibri" w:cstheme="minorHAnsi"/>
                <w:b/>
                <w:color w:val="000000"/>
              </w:rPr>
            </w:pPr>
            <w:r w:rsidRPr="002C2C75">
              <w:rPr>
                <w:rFonts w:eastAsia="Calibri" w:cstheme="minorHAnsi"/>
                <w:b/>
                <w:color w:val="000000"/>
              </w:rPr>
              <w:t>Within allocation: $680,300</w:t>
            </w:r>
          </w:p>
        </w:tc>
      </w:tr>
      <w:tr w:rsidR="00E912ED" w:rsidRPr="002C2C75" w14:paraId="1089D8C9" w14:textId="77777777" w:rsidTr="00C0707E">
        <w:trPr>
          <w:cantSplit/>
        </w:trPr>
        <w:tc>
          <w:tcPr>
            <w:tcW w:w="2605" w:type="dxa"/>
          </w:tcPr>
          <w:p w14:paraId="129E5261" w14:textId="77777777" w:rsidR="00365D5A" w:rsidRDefault="00E912ED" w:rsidP="00E912ED">
            <w:pPr>
              <w:pBdr>
                <w:top w:val="nil"/>
                <w:left w:val="nil"/>
                <w:bottom w:val="nil"/>
                <w:right w:val="nil"/>
                <w:between w:val="nil"/>
              </w:pBdr>
              <w:spacing w:line="264" w:lineRule="auto"/>
              <w:rPr>
                <w:rFonts w:cstheme="minorHAnsi"/>
                <w:b/>
                <w:bCs/>
                <w:color w:val="000000"/>
              </w:rPr>
            </w:pPr>
            <w:r w:rsidRPr="00E912ED">
              <w:rPr>
                <w:rFonts w:cstheme="minorHAnsi"/>
                <w:b/>
                <w:bCs/>
                <w:color w:val="000000"/>
              </w:rPr>
              <w:t>Expected outcome</w:t>
            </w:r>
          </w:p>
          <w:p w14:paraId="2CB0D8F5" w14:textId="77777777" w:rsidR="00036B0D" w:rsidRDefault="00036B0D" w:rsidP="00E912ED">
            <w:pPr>
              <w:pBdr>
                <w:top w:val="nil"/>
                <w:left w:val="nil"/>
                <w:bottom w:val="nil"/>
                <w:right w:val="nil"/>
                <w:between w:val="nil"/>
              </w:pBdr>
              <w:spacing w:line="264" w:lineRule="auto"/>
              <w:rPr>
                <w:rFonts w:cstheme="minorHAnsi"/>
                <w:b/>
                <w:bCs/>
                <w:color w:val="000000"/>
              </w:rPr>
            </w:pPr>
          </w:p>
          <w:p w14:paraId="18968B89" w14:textId="5ECAFF4B" w:rsidR="00036B0D" w:rsidRPr="00E912ED" w:rsidRDefault="00036B0D" w:rsidP="00E912ED">
            <w:pPr>
              <w:pBdr>
                <w:top w:val="nil"/>
                <w:left w:val="nil"/>
                <w:bottom w:val="nil"/>
                <w:right w:val="nil"/>
                <w:between w:val="nil"/>
              </w:pBdr>
              <w:spacing w:line="264" w:lineRule="auto"/>
              <w:rPr>
                <w:rFonts w:cstheme="minorHAnsi"/>
                <w:b/>
                <w:bCs/>
                <w:color w:val="000000"/>
              </w:rPr>
            </w:pPr>
          </w:p>
        </w:tc>
        <w:tc>
          <w:tcPr>
            <w:tcW w:w="12600" w:type="dxa"/>
          </w:tcPr>
          <w:p w14:paraId="6273D39B" w14:textId="17809FBC" w:rsidR="00E912ED" w:rsidRPr="002C2C75" w:rsidRDefault="00E912ED" w:rsidP="00E912ED">
            <w:pPr>
              <w:rPr>
                <w:rFonts w:eastAsia="Calibri" w:cstheme="minorHAnsi"/>
                <w:b/>
                <w:color w:val="000000"/>
              </w:rPr>
            </w:pPr>
            <w:r w:rsidRPr="002C2C75">
              <w:rPr>
                <w:rFonts w:cstheme="minorHAnsi"/>
                <w:color w:val="000000"/>
              </w:rPr>
              <w:t>Ensured accessibility to quality laboratory data for effective decision-making at all levels</w:t>
            </w:r>
          </w:p>
        </w:tc>
      </w:tr>
      <w:tr w:rsidR="00E912ED" w:rsidRPr="002C2C75" w14:paraId="7EF2A18F" w14:textId="77777777" w:rsidTr="00C0707E">
        <w:trPr>
          <w:cantSplit/>
        </w:trPr>
        <w:tc>
          <w:tcPr>
            <w:tcW w:w="2605" w:type="dxa"/>
          </w:tcPr>
          <w:p w14:paraId="037EC169" w14:textId="335523B8" w:rsidR="00E912ED" w:rsidRPr="00517B6B" w:rsidRDefault="00E912ED" w:rsidP="00E912ED">
            <w:pPr>
              <w:pBdr>
                <w:top w:val="nil"/>
                <w:left w:val="nil"/>
                <w:bottom w:val="nil"/>
                <w:right w:val="nil"/>
                <w:between w:val="nil"/>
              </w:pBdr>
              <w:spacing w:line="264" w:lineRule="auto"/>
              <w:rPr>
                <w:rFonts w:cstheme="minorHAnsi"/>
                <w:b/>
                <w:bCs/>
                <w:color w:val="000000"/>
              </w:rPr>
            </w:pPr>
            <w:r w:rsidRPr="00517B6B">
              <w:rPr>
                <w:rFonts w:cstheme="minorHAnsi"/>
                <w:b/>
                <w:bCs/>
                <w:color w:val="000000"/>
              </w:rPr>
              <w:t xml:space="preserve">Intervention(s) </w:t>
            </w:r>
          </w:p>
        </w:tc>
        <w:tc>
          <w:tcPr>
            <w:tcW w:w="12600" w:type="dxa"/>
          </w:tcPr>
          <w:p w14:paraId="26C76849" w14:textId="02A83D7C" w:rsidR="00E912ED" w:rsidRPr="00E912ED" w:rsidRDefault="00E912ED" w:rsidP="00E912ED">
            <w:pPr>
              <w:pBdr>
                <w:top w:val="nil"/>
                <w:left w:val="nil"/>
                <w:bottom w:val="nil"/>
                <w:right w:val="nil"/>
                <w:between w:val="nil"/>
              </w:pBdr>
              <w:spacing w:line="264" w:lineRule="auto"/>
              <w:rPr>
                <w:rFonts w:cstheme="minorHAnsi"/>
                <w:color w:val="000000"/>
              </w:rPr>
            </w:pPr>
            <w:r>
              <w:rPr>
                <w:rFonts w:cstheme="minorHAnsi"/>
                <w:b/>
                <w:bCs/>
                <w:color w:val="000000"/>
              </w:rPr>
              <w:t xml:space="preserve">Intervention: </w:t>
            </w:r>
            <w:r w:rsidRPr="00E912ED">
              <w:rPr>
                <w:rFonts w:cstheme="minorHAnsi"/>
                <w:color w:val="000000"/>
              </w:rPr>
              <w:t xml:space="preserve">Laboratory based surveillance </w:t>
            </w:r>
          </w:p>
          <w:p w14:paraId="30CE8C8C" w14:textId="553E9E6B" w:rsidR="00E912ED" w:rsidRPr="002C2C75" w:rsidRDefault="00E912ED" w:rsidP="00517B6B">
            <w:pPr>
              <w:pBdr>
                <w:top w:val="nil"/>
                <w:left w:val="nil"/>
                <w:bottom w:val="nil"/>
                <w:right w:val="nil"/>
                <w:between w:val="nil"/>
              </w:pBdr>
              <w:spacing w:line="264" w:lineRule="auto"/>
              <w:rPr>
                <w:rFonts w:cstheme="minorHAnsi"/>
                <w:color w:val="000000"/>
              </w:rPr>
            </w:pPr>
            <w:r w:rsidRPr="00E912ED">
              <w:rPr>
                <w:rFonts w:cstheme="minorHAnsi"/>
                <w:color w:val="000000"/>
              </w:rPr>
              <w:t>Change in Pro</w:t>
            </w:r>
            <w:r w:rsidRPr="002C2C75">
              <w:rPr>
                <w:rFonts w:cstheme="minorHAnsi"/>
                <w:color w:val="000000"/>
              </w:rPr>
              <w:t xml:space="preserve">gramming from current grant: </w:t>
            </w:r>
            <w:sdt>
              <w:sdtPr>
                <w:rPr>
                  <w:rFonts w:cstheme="minorHAnsi"/>
                </w:rPr>
                <w:tag w:val="goog_rdk_238"/>
                <w:id w:val="268816155"/>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New, </w:t>
            </w:r>
            <w:sdt>
              <w:sdtPr>
                <w:rPr>
                  <w:rFonts w:cstheme="minorHAnsi"/>
                </w:rPr>
                <w:tag w:val="goog_rdk_239"/>
                <w:id w:val="-1385019725"/>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Scale-up, </w:t>
            </w:r>
            <w:sdt>
              <w:sdtPr>
                <w:rPr>
                  <w:rFonts w:cstheme="minorHAnsi"/>
                </w:rPr>
                <w:tag w:val="goog_rdk_240"/>
                <w:id w:val="-2066177432"/>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Continuation, or </w:t>
            </w:r>
            <w:sdt>
              <w:sdtPr>
                <w:rPr>
                  <w:rFonts w:cstheme="minorHAnsi"/>
                </w:rPr>
                <w:tag w:val="goog_rdk_241"/>
                <w:id w:val="-486319760"/>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Scale-down</w:t>
            </w:r>
          </w:p>
        </w:tc>
      </w:tr>
      <w:tr w:rsidR="00E912ED" w:rsidRPr="002C2C75" w14:paraId="6684A572" w14:textId="77777777" w:rsidTr="00C0707E">
        <w:trPr>
          <w:cantSplit/>
        </w:trPr>
        <w:tc>
          <w:tcPr>
            <w:tcW w:w="2605" w:type="dxa"/>
          </w:tcPr>
          <w:p w14:paraId="3D2CEED3" w14:textId="77777777" w:rsidR="00E912ED" w:rsidRPr="00517B6B" w:rsidRDefault="00E912ED" w:rsidP="00E912ED">
            <w:pPr>
              <w:pBdr>
                <w:top w:val="nil"/>
                <w:left w:val="nil"/>
                <w:bottom w:val="nil"/>
                <w:right w:val="nil"/>
                <w:between w:val="nil"/>
              </w:pBdr>
              <w:spacing w:line="264" w:lineRule="auto"/>
              <w:rPr>
                <w:rFonts w:cstheme="minorHAnsi"/>
                <w:b/>
                <w:bCs/>
                <w:color w:val="000000"/>
              </w:rPr>
            </w:pPr>
            <w:r w:rsidRPr="00517B6B">
              <w:rPr>
                <w:rFonts w:cstheme="minorHAnsi"/>
                <w:b/>
                <w:bCs/>
                <w:color w:val="000000"/>
              </w:rPr>
              <w:t>Population, geographies and/or barriers addressed</w:t>
            </w:r>
          </w:p>
        </w:tc>
        <w:tc>
          <w:tcPr>
            <w:tcW w:w="12600" w:type="dxa"/>
          </w:tcPr>
          <w:p w14:paraId="22EB6691" w14:textId="77777777" w:rsidR="008D703F" w:rsidRPr="008D703F" w:rsidRDefault="008D703F" w:rsidP="008D703F">
            <w:pPr>
              <w:pBdr>
                <w:top w:val="nil"/>
                <w:left w:val="nil"/>
                <w:bottom w:val="nil"/>
                <w:right w:val="nil"/>
                <w:between w:val="nil"/>
              </w:pBdr>
              <w:spacing w:line="264" w:lineRule="auto"/>
              <w:jc w:val="both"/>
              <w:rPr>
                <w:rFonts w:cstheme="minorHAnsi"/>
                <w:color w:val="000000"/>
              </w:rPr>
            </w:pPr>
            <w:r w:rsidRPr="008D703F">
              <w:rPr>
                <w:rFonts w:cstheme="minorHAnsi"/>
                <w:color w:val="000000"/>
              </w:rPr>
              <w:t>The HIV, COVID-19 and other pandemics have demonstrated the relevance and strategic importance of genomic surveillance for identifying public health threats associated with infectious agents, especially those that cause zoonotic diseases. Therefore, the establishment of an integrated network of genomic laboratories based on One Health approach (human and animal) is of paramount importance for the detection of pathogens genetic variants at animal and human health reference laboratories, identification of the circulation of antimicrobial resistant strains, determination of outbreaks geographic spread pattern and their determinants in the animal and human population, and identification of emerging pathogens associated with possible outbreaks or pandemics at the animal-human interface.</w:t>
            </w:r>
          </w:p>
          <w:p w14:paraId="58483E23" w14:textId="3BCA9FBE" w:rsidR="00E912ED" w:rsidRPr="002C2C75" w:rsidRDefault="008D703F" w:rsidP="008D703F">
            <w:pPr>
              <w:pBdr>
                <w:top w:val="nil"/>
                <w:left w:val="nil"/>
                <w:bottom w:val="nil"/>
                <w:right w:val="nil"/>
                <w:between w:val="nil"/>
              </w:pBdr>
              <w:spacing w:line="264" w:lineRule="auto"/>
              <w:jc w:val="both"/>
              <w:rPr>
                <w:rFonts w:cstheme="minorHAnsi"/>
                <w:color w:val="000000"/>
              </w:rPr>
            </w:pPr>
            <w:r w:rsidRPr="008D703F">
              <w:rPr>
                <w:rFonts w:cstheme="minorHAnsi"/>
                <w:color w:val="000000"/>
              </w:rPr>
              <w:t>Although the country has invested in genetic sequencing platforms in recent years, there are still challenges in the bioinformatics component to perform genetic sequence analysis, which is why it is urgent to establish a genomics center in Mozambique. This Center will serve both Human and Animal Health, and endowed with specialized personnel from both sectors.</w:t>
            </w:r>
          </w:p>
        </w:tc>
      </w:tr>
      <w:tr w:rsidR="00E912ED" w:rsidRPr="002C2C75" w14:paraId="43FB2B9E" w14:textId="77777777" w:rsidTr="00C0707E">
        <w:trPr>
          <w:cantSplit/>
        </w:trPr>
        <w:tc>
          <w:tcPr>
            <w:tcW w:w="2605" w:type="dxa"/>
          </w:tcPr>
          <w:p w14:paraId="09CBF35D" w14:textId="7FDF355B" w:rsidR="00E912ED" w:rsidRPr="00517B6B" w:rsidRDefault="00517B6B" w:rsidP="00E912ED">
            <w:pPr>
              <w:pBdr>
                <w:top w:val="nil"/>
                <w:left w:val="nil"/>
                <w:bottom w:val="nil"/>
                <w:right w:val="nil"/>
                <w:between w:val="nil"/>
              </w:pBdr>
              <w:spacing w:line="264" w:lineRule="auto"/>
              <w:rPr>
                <w:rFonts w:cstheme="minorHAnsi"/>
                <w:b/>
                <w:bCs/>
                <w:color w:val="000000"/>
              </w:rPr>
            </w:pPr>
            <w:r w:rsidRPr="00517B6B">
              <w:rPr>
                <w:rFonts w:cstheme="minorHAnsi"/>
                <w:b/>
                <w:bCs/>
                <w:color w:val="000000"/>
              </w:rPr>
              <w:t>List of activities</w:t>
            </w:r>
          </w:p>
        </w:tc>
        <w:tc>
          <w:tcPr>
            <w:tcW w:w="12600" w:type="dxa"/>
          </w:tcPr>
          <w:p w14:paraId="4FF05CB1" w14:textId="77777777" w:rsidR="008D703F" w:rsidRPr="008D703F" w:rsidRDefault="008D703F" w:rsidP="008D703F">
            <w:pPr>
              <w:keepNext/>
              <w:numPr>
                <w:ilvl w:val="0"/>
                <w:numId w:val="61"/>
              </w:numPr>
              <w:pBdr>
                <w:top w:val="nil"/>
                <w:left w:val="nil"/>
                <w:bottom w:val="nil"/>
                <w:right w:val="nil"/>
                <w:between w:val="nil"/>
              </w:pBdr>
              <w:spacing w:after="0" w:line="264" w:lineRule="auto"/>
              <w:ind w:right="58"/>
              <w:rPr>
                <w:rFonts w:cstheme="minorHAnsi"/>
                <w:color w:val="000000"/>
              </w:rPr>
            </w:pPr>
            <w:r w:rsidRPr="008D703F">
              <w:rPr>
                <w:rFonts w:cstheme="minorHAnsi"/>
                <w:color w:val="000000"/>
              </w:rPr>
              <w:t>Build clinical laboratories capacity to identify and report pathogens and the Antimicrobial Resistance (ADR) profile</w:t>
            </w:r>
          </w:p>
          <w:p w14:paraId="5320D86D" w14:textId="77777777" w:rsidR="008D703F" w:rsidRPr="008D703F" w:rsidRDefault="008D703F" w:rsidP="008D703F">
            <w:pPr>
              <w:keepNext/>
              <w:numPr>
                <w:ilvl w:val="0"/>
                <w:numId w:val="61"/>
              </w:numPr>
              <w:pBdr>
                <w:top w:val="nil"/>
                <w:left w:val="nil"/>
                <w:bottom w:val="nil"/>
                <w:right w:val="nil"/>
                <w:between w:val="nil"/>
              </w:pBdr>
              <w:spacing w:after="0" w:line="264" w:lineRule="auto"/>
              <w:ind w:right="58"/>
              <w:rPr>
                <w:rFonts w:cstheme="minorHAnsi"/>
                <w:color w:val="000000"/>
              </w:rPr>
            </w:pPr>
            <w:r w:rsidRPr="008D703F">
              <w:rPr>
                <w:rFonts w:cstheme="minorHAnsi"/>
                <w:color w:val="000000"/>
              </w:rPr>
              <w:t xml:space="preserve">Acquire production units of culture means </w:t>
            </w:r>
          </w:p>
          <w:p w14:paraId="2E1BBD8B" w14:textId="77777777" w:rsidR="008D703F" w:rsidRPr="008D703F" w:rsidRDefault="008D703F" w:rsidP="008D703F">
            <w:pPr>
              <w:keepNext/>
              <w:numPr>
                <w:ilvl w:val="0"/>
                <w:numId w:val="61"/>
              </w:numPr>
              <w:pBdr>
                <w:top w:val="nil"/>
                <w:left w:val="nil"/>
                <w:bottom w:val="nil"/>
                <w:right w:val="nil"/>
                <w:between w:val="nil"/>
              </w:pBdr>
              <w:spacing w:after="0" w:line="264" w:lineRule="auto"/>
              <w:ind w:right="58"/>
              <w:rPr>
                <w:rFonts w:cstheme="minorHAnsi"/>
                <w:color w:val="000000"/>
              </w:rPr>
            </w:pPr>
            <w:r w:rsidRPr="008D703F">
              <w:rPr>
                <w:rFonts w:cstheme="minorHAnsi"/>
                <w:color w:val="000000"/>
              </w:rPr>
              <w:t>Hire services to supply inputs for the production of culture means and diffusion disks/tape and test, as well as reference and quality control materials</w:t>
            </w:r>
          </w:p>
          <w:p w14:paraId="79433F34" w14:textId="77777777" w:rsidR="008D703F" w:rsidRPr="008D703F" w:rsidRDefault="008D703F" w:rsidP="008D703F">
            <w:pPr>
              <w:keepNext/>
              <w:numPr>
                <w:ilvl w:val="0"/>
                <w:numId w:val="61"/>
              </w:numPr>
              <w:pBdr>
                <w:top w:val="nil"/>
                <w:left w:val="nil"/>
                <w:bottom w:val="nil"/>
                <w:right w:val="nil"/>
                <w:between w:val="nil"/>
              </w:pBdr>
              <w:spacing w:after="0" w:line="264" w:lineRule="auto"/>
              <w:ind w:right="58"/>
              <w:rPr>
                <w:rFonts w:cstheme="minorHAnsi"/>
                <w:color w:val="000000"/>
              </w:rPr>
            </w:pPr>
            <w:r w:rsidRPr="008D703F">
              <w:rPr>
                <w:rFonts w:cstheme="minorHAnsi"/>
                <w:color w:val="000000"/>
              </w:rPr>
              <w:t>Train and implement key techniques for identifying microbial agents and resistance profiles</w:t>
            </w:r>
          </w:p>
          <w:p w14:paraId="23DCB98F" w14:textId="77777777" w:rsidR="008D703F" w:rsidRPr="008D703F" w:rsidRDefault="008D703F" w:rsidP="008D703F">
            <w:pPr>
              <w:keepNext/>
              <w:numPr>
                <w:ilvl w:val="0"/>
                <w:numId w:val="61"/>
              </w:numPr>
              <w:pBdr>
                <w:top w:val="nil"/>
                <w:left w:val="nil"/>
                <w:bottom w:val="nil"/>
                <w:right w:val="nil"/>
                <w:between w:val="nil"/>
              </w:pBdr>
              <w:spacing w:after="0" w:line="264" w:lineRule="auto"/>
              <w:ind w:right="58"/>
              <w:rPr>
                <w:rFonts w:cstheme="minorHAnsi"/>
                <w:color w:val="000000"/>
              </w:rPr>
            </w:pPr>
            <w:r w:rsidRPr="008D703F">
              <w:rPr>
                <w:rFonts w:cstheme="minorHAnsi"/>
                <w:color w:val="000000"/>
              </w:rPr>
              <w:t>Install infection prevention and control equipment in the laboratories, such as biological biosafety booths, eyewash showers, and other collective and area protection tools</w:t>
            </w:r>
          </w:p>
          <w:p w14:paraId="65C76C9A" w14:textId="77777777" w:rsidR="008D703F" w:rsidRPr="008D703F" w:rsidRDefault="008D703F" w:rsidP="008D703F">
            <w:pPr>
              <w:keepNext/>
              <w:numPr>
                <w:ilvl w:val="0"/>
                <w:numId w:val="61"/>
              </w:numPr>
              <w:pBdr>
                <w:top w:val="nil"/>
                <w:left w:val="nil"/>
                <w:bottom w:val="nil"/>
                <w:right w:val="nil"/>
                <w:between w:val="nil"/>
              </w:pBdr>
              <w:spacing w:after="0" w:line="264" w:lineRule="auto"/>
              <w:ind w:right="58"/>
              <w:rPr>
                <w:rFonts w:cstheme="minorHAnsi"/>
                <w:color w:val="000000"/>
              </w:rPr>
            </w:pPr>
            <w:r w:rsidRPr="008D703F">
              <w:rPr>
                <w:rFonts w:cstheme="minorHAnsi"/>
                <w:color w:val="000000"/>
              </w:rPr>
              <w:t>Establish an integrated network of genomics laboratories in the context of One Health (human and animal) to respond to outbreaks and emergencies</w:t>
            </w:r>
          </w:p>
          <w:p w14:paraId="518DB23A" w14:textId="2E9E3EFE" w:rsidR="00E912ED" w:rsidRPr="00517B6B" w:rsidRDefault="008D703F" w:rsidP="008D703F">
            <w:pPr>
              <w:keepNext/>
              <w:numPr>
                <w:ilvl w:val="0"/>
                <w:numId w:val="61"/>
              </w:numPr>
              <w:pBdr>
                <w:top w:val="nil"/>
                <w:left w:val="nil"/>
                <w:bottom w:val="nil"/>
                <w:right w:val="nil"/>
                <w:between w:val="nil"/>
              </w:pBdr>
              <w:spacing w:after="0" w:line="264" w:lineRule="auto"/>
              <w:ind w:right="58"/>
              <w:rPr>
                <w:rFonts w:cstheme="minorHAnsi"/>
                <w:color w:val="000000"/>
              </w:rPr>
            </w:pPr>
            <w:r w:rsidRPr="008D703F">
              <w:rPr>
                <w:rFonts w:cstheme="minorHAnsi"/>
                <w:color w:val="000000"/>
              </w:rPr>
              <w:t>Create a Bioinformatics Center in the context of One Health in Mozambique</w:t>
            </w:r>
          </w:p>
        </w:tc>
      </w:tr>
      <w:tr w:rsidR="00E912ED" w:rsidRPr="002C2C75" w14:paraId="5A7F7302" w14:textId="77777777" w:rsidTr="00C0707E">
        <w:trPr>
          <w:cantSplit/>
        </w:trPr>
        <w:tc>
          <w:tcPr>
            <w:tcW w:w="2605" w:type="dxa"/>
          </w:tcPr>
          <w:p w14:paraId="15C5305B" w14:textId="77777777" w:rsidR="00E912ED" w:rsidRPr="00517B6B" w:rsidRDefault="00E912ED" w:rsidP="00E912ED">
            <w:pPr>
              <w:pBdr>
                <w:top w:val="nil"/>
                <w:left w:val="nil"/>
                <w:bottom w:val="nil"/>
                <w:right w:val="nil"/>
                <w:between w:val="nil"/>
              </w:pBdr>
              <w:spacing w:line="264" w:lineRule="auto"/>
              <w:rPr>
                <w:rFonts w:cstheme="minorHAnsi"/>
                <w:b/>
                <w:bCs/>
                <w:color w:val="000000"/>
              </w:rPr>
            </w:pPr>
            <w:r w:rsidRPr="00517B6B">
              <w:rPr>
                <w:rFonts w:cstheme="minorHAnsi"/>
                <w:b/>
                <w:bCs/>
                <w:color w:val="000000"/>
              </w:rPr>
              <w:t>Amount requested</w:t>
            </w:r>
          </w:p>
        </w:tc>
        <w:tc>
          <w:tcPr>
            <w:tcW w:w="12600" w:type="dxa"/>
          </w:tcPr>
          <w:p w14:paraId="48DCD25F" w14:textId="349A4F4C" w:rsidR="00E912ED" w:rsidRPr="002C2C75" w:rsidRDefault="00E912ED" w:rsidP="00E912ED">
            <w:pPr>
              <w:pBdr>
                <w:top w:val="nil"/>
                <w:left w:val="nil"/>
                <w:bottom w:val="nil"/>
                <w:right w:val="nil"/>
                <w:between w:val="nil"/>
              </w:pBdr>
              <w:spacing w:line="264" w:lineRule="auto"/>
              <w:rPr>
                <w:rFonts w:cstheme="minorHAnsi"/>
                <w:b/>
                <w:bCs/>
                <w:color w:val="000000"/>
              </w:rPr>
            </w:pPr>
            <w:r w:rsidRPr="002C2C75">
              <w:rPr>
                <w:rFonts w:cstheme="minorHAnsi"/>
                <w:b/>
                <w:bCs/>
                <w:color w:val="000000"/>
              </w:rPr>
              <w:t>Within allocation: $1,200,000</w:t>
            </w:r>
          </w:p>
        </w:tc>
      </w:tr>
      <w:tr w:rsidR="00517B6B" w:rsidRPr="002C2C75" w14:paraId="0EC2D027" w14:textId="77777777" w:rsidTr="00C0707E">
        <w:trPr>
          <w:cantSplit/>
        </w:trPr>
        <w:tc>
          <w:tcPr>
            <w:tcW w:w="2605" w:type="dxa"/>
          </w:tcPr>
          <w:p w14:paraId="23B5511A" w14:textId="77777777" w:rsidR="00365D5A" w:rsidRDefault="00517B6B" w:rsidP="00517B6B">
            <w:pPr>
              <w:pBdr>
                <w:top w:val="nil"/>
                <w:left w:val="nil"/>
                <w:bottom w:val="nil"/>
                <w:right w:val="nil"/>
                <w:between w:val="nil"/>
              </w:pBdr>
              <w:spacing w:line="264" w:lineRule="auto"/>
              <w:rPr>
                <w:rFonts w:cstheme="minorHAnsi"/>
                <w:b/>
                <w:bCs/>
                <w:color w:val="000000"/>
              </w:rPr>
            </w:pPr>
            <w:r w:rsidRPr="00517B6B">
              <w:rPr>
                <w:rFonts w:cstheme="minorHAnsi"/>
                <w:b/>
                <w:bCs/>
                <w:color w:val="000000"/>
              </w:rPr>
              <w:t>Expected outcome</w:t>
            </w:r>
          </w:p>
          <w:p w14:paraId="4015B0AF" w14:textId="77777777" w:rsidR="00036B0D" w:rsidRDefault="00036B0D" w:rsidP="00517B6B">
            <w:pPr>
              <w:pBdr>
                <w:top w:val="nil"/>
                <w:left w:val="nil"/>
                <w:bottom w:val="nil"/>
                <w:right w:val="nil"/>
                <w:between w:val="nil"/>
              </w:pBdr>
              <w:spacing w:line="264" w:lineRule="auto"/>
              <w:rPr>
                <w:rFonts w:cstheme="minorHAnsi"/>
                <w:b/>
                <w:bCs/>
                <w:color w:val="000000"/>
              </w:rPr>
            </w:pPr>
          </w:p>
          <w:p w14:paraId="6B1D33E6" w14:textId="77777777" w:rsidR="00036B0D" w:rsidRDefault="00036B0D" w:rsidP="00517B6B">
            <w:pPr>
              <w:pBdr>
                <w:top w:val="nil"/>
                <w:left w:val="nil"/>
                <w:bottom w:val="nil"/>
                <w:right w:val="nil"/>
                <w:between w:val="nil"/>
              </w:pBdr>
              <w:spacing w:line="264" w:lineRule="auto"/>
              <w:rPr>
                <w:rFonts w:cstheme="minorHAnsi"/>
                <w:b/>
                <w:bCs/>
                <w:color w:val="000000"/>
              </w:rPr>
            </w:pPr>
          </w:p>
          <w:p w14:paraId="6068DA41" w14:textId="1B2810E7" w:rsidR="00036B0D" w:rsidRPr="00517B6B" w:rsidRDefault="00036B0D" w:rsidP="00517B6B">
            <w:pPr>
              <w:pBdr>
                <w:top w:val="nil"/>
                <w:left w:val="nil"/>
                <w:bottom w:val="nil"/>
                <w:right w:val="nil"/>
                <w:between w:val="nil"/>
              </w:pBdr>
              <w:spacing w:line="264" w:lineRule="auto"/>
              <w:rPr>
                <w:rFonts w:cstheme="minorHAnsi"/>
                <w:b/>
                <w:bCs/>
                <w:color w:val="000000"/>
              </w:rPr>
            </w:pPr>
          </w:p>
        </w:tc>
        <w:tc>
          <w:tcPr>
            <w:tcW w:w="12600" w:type="dxa"/>
          </w:tcPr>
          <w:p w14:paraId="3189CE79" w14:textId="16E60CDC" w:rsidR="00517B6B" w:rsidRPr="002C2C75" w:rsidRDefault="00517B6B" w:rsidP="00517B6B">
            <w:pPr>
              <w:pBdr>
                <w:top w:val="nil"/>
                <w:left w:val="nil"/>
                <w:bottom w:val="nil"/>
                <w:right w:val="nil"/>
                <w:between w:val="nil"/>
              </w:pBdr>
              <w:spacing w:line="264" w:lineRule="auto"/>
              <w:rPr>
                <w:rFonts w:cstheme="minorHAnsi"/>
                <w:b/>
                <w:bCs/>
                <w:color w:val="000000"/>
              </w:rPr>
            </w:pPr>
            <w:r w:rsidRPr="002C2C75">
              <w:rPr>
                <w:rFonts w:cstheme="minorHAnsi"/>
                <w:color w:val="000000"/>
              </w:rPr>
              <w:t>Improved integrated genomic surveillance capability for identifying public health threats associated with infectious agents</w:t>
            </w:r>
          </w:p>
        </w:tc>
      </w:tr>
      <w:tr w:rsidR="00517B6B" w:rsidRPr="002C2C75" w14:paraId="7E7D777E" w14:textId="77777777" w:rsidTr="00C0707E">
        <w:trPr>
          <w:cantSplit/>
        </w:trPr>
        <w:tc>
          <w:tcPr>
            <w:tcW w:w="2605" w:type="dxa"/>
          </w:tcPr>
          <w:p w14:paraId="5CC7A90E" w14:textId="638BE4AC" w:rsidR="00517B6B" w:rsidRPr="00517B6B" w:rsidRDefault="00517B6B" w:rsidP="00517B6B">
            <w:pPr>
              <w:pBdr>
                <w:top w:val="nil"/>
                <w:left w:val="nil"/>
                <w:bottom w:val="nil"/>
                <w:right w:val="nil"/>
                <w:between w:val="nil"/>
              </w:pBdr>
              <w:spacing w:line="264" w:lineRule="auto"/>
              <w:rPr>
                <w:rFonts w:cstheme="minorHAnsi"/>
                <w:b/>
                <w:bCs/>
                <w:color w:val="000000"/>
              </w:rPr>
            </w:pPr>
            <w:r w:rsidRPr="00517B6B">
              <w:rPr>
                <w:rFonts w:cstheme="minorHAnsi"/>
                <w:b/>
                <w:bCs/>
                <w:color w:val="000000"/>
              </w:rPr>
              <w:t xml:space="preserve">Intervention(s) </w:t>
            </w:r>
          </w:p>
        </w:tc>
        <w:tc>
          <w:tcPr>
            <w:tcW w:w="12600" w:type="dxa"/>
          </w:tcPr>
          <w:p w14:paraId="72F4F3B3" w14:textId="6F634702" w:rsidR="00517B6B" w:rsidRPr="00517B6B" w:rsidRDefault="00517B6B" w:rsidP="00517B6B">
            <w:pPr>
              <w:pBdr>
                <w:top w:val="nil"/>
                <w:left w:val="nil"/>
                <w:bottom w:val="nil"/>
                <w:right w:val="nil"/>
                <w:between w:val="nil"/>
              </w:pBdr>
              <w:spacing w:line="264" w:lineRule="auto"/>
              <w:rPr>
                <w:rFonts w:cstheme="minorHAnsi"/>
                <w:color w:val="000000"/>
              </w:rPr>
            </w:pPr>
            <w:r>
              <w:rPr>
                <w:rFonts w:cstheme="minorHAnsi"/>
                <w:b/>
                <w:bCs/>
                <w:color w:val="000000"/>
              </w:rPr>
              <w:t xml:space="preserve">Intervention: </w:t>
            </w:r>
            <w:r w:rsidRPr="00517B6B">
              <w:rPr>
                <w:rFonts w:cstheme="minorHAnsi"/>
                <w:color w:val="000000"/>
              </w:rPr>
              <w:t xml:space="preserve">RSSH/PP: Laboratory supply chain systems </w:t>
            </w:r>
          </w:p>
          <w:p w14:paraId="72AD5407" w14:textId="5EE7D2FF" w:rsidR="00517B6B" w:rsidRPr="002C2C75" w:rsidRDefault="00517B6B" w:rsidP="00517B6B">
            <w:pPr>
              <w:pBdr>
                <w:top w:val="nil"/>
                <w:left w:val="nil"/>
                <w:bottom w:val="nil"/>
                <w:right w:val="nil"/>
                <w:between w:val="nil"/>
              </w:pBdr>
              <w:spacing w:line="264" w:lineRule="auto"/>
              <w:rPr>
                <w:rFonts w:cstheme="minorHAnsi"/>
                <w:color w:val="000000"/>
              </w:rPr>
            </w:pPr>
            <w:r w:rsidRPr="00517B6B">
              <w:rPr>
                <w:rFonts w:cstheme="minorHAnsi"/>
                <w:color w:val="000000"/>
              </w:rPr>
              <w:t>Change in Pro</w:t>
            </w:r>
            <w:r w:rsidRPr="002C2C75">
              <w:rPr>
                <w:rFonts w:cstheme="minorHAnsi"/>
                <w:color w:val="000000"/>
              </w:rPr>
              <w:t xml:space="preserve">gramming from current grant: </w:t>
            </w:r>
            <w:sdt>
              <w:sdtPr>
                <w:rPr>
                  <w:rFonts w:cstheme="minorHAnsi"/>
                </w:rPr>
                <w:tag w:val="goog_rdk_242"/>
                <w:id w:val="585049245"/>
              </w:sdtPr>
              <w:sdtContent>
                <w:sdt>
                  <w:sdtPr>
                    <w:rPr>
                      <w:rFonts w:cstheme="minorHAnsi"/>
                    </w:rPr>
                    <w:tag w:val="goog_rdk_238"/>
                    <w:id w:val="-393362855"/>
                  </w:sdtPr>
                  <w:sdtContent>
                    <w:r w:rsidRPr="002C2C75">
                      <w:rPr>
                        <w:rFonts w:ascii="Segoe UI Symbol" w:eastAsia="Arial Unicode MS" w:hAnsi="Segoe UI Symbol" w:cs="Segoe UI Symbol"/>
                        <w:color w:val="000000"/>
                      </w:rPr>
                      <w:t>☒</w:t>
                    </w:r>
                  </w:sdtContent>
                </w:sdt>
              </w:sdtContent>
            </w:sdt>
            <w:r w:rsidRPr="002C2C75">
              <w:rPr>
                <w:rFonts w:cstheme="minorHAnsi"/>
                <w:color w:val="000000"/>
              </w:rPr>
              <w:t xml:space="preserve"> New, </w:t>
            </w:r>
            <w:sdt>
              <w:sdtPr>
                <w:rPr>
                  <w:rFonts w:cstheme="minorHAnsi"/>
                </w:rPr>
                <w:tag w:val="goog_rdk_243"/>
                <w:id w:val="-111286948"/>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Scale-up, </w:t>
            </w:r>
            <w:sdt>
              <w:sdtPr>
                <w:rPr>
                  <w:rFonts w:cstheme="minorHAnsi"/>
                </w:rPr>
                <w:tag w:val="goog_rdk_244"/>
                <w:id w:val="1666979503"/>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Continuation, or </w:t>
            </w:r>
            <w:r w:rsidRPr="002C2C75">
              <w:rPr>
                <w:rFonts w:ascii="Segoe UI Symbol" w:eastAsia="Arial Unicode MS" w:hAnsi="Segoe UI Symbol" w:cs="Segoe UI Symbol"/>
                <w:color w:val="000000"/>
              </w:rPr>
              <w:t>☐</w:t>
            </w:r>
            <w:r w:rsidRPr="002C2C75">
              <w:rPr>
                <w:rFonts w:cstheme="minorHAnsi"/>
                <w:color w:val="000000"/>
              </w:rPr>
              <w:t xml:space="preserve"> Scale-down</w:t>
            </w:r>
          </w:p>
        </w:tc>
      </w:tr>
      <w:tr w:rsidR="00517B6B" w:rsidRPr="002C2C75" w14:paraId="2E3D66A7" w14:textId="77777777" w:rsidTr="00C0707E">
        <w:trPr>
          <w:cantSplit/>
        </w:trPr>
        <w:tc>
          <w:tcPr>
            <w:tcW w:w="2605" w:type="dxa"/>
          </w:tcPr>
          <w:p w14:paraId="2E5E0CCB" w14:textId="77777777" w:rsidR="00517B6B" w:rsidRPr="00517B6B" w:rsidRDefault="00517B6B" w:rsidP="00517B6B">
            <w:pPr>
              <w:pBdr>
                <w:top w:val="nil"/>
                <w:left w:val="nil"/>
                <w:bottom w:val="nil"/>
                <w:right w:val="nil"/>
                <w:between w:val="nil"/>
              </w:pBdr>
              <w:spacing w:line="264" w:lineRule="auto"/>
              <w:rPr>
                <w:rFonts w:cstheme="minorHAnsi"/>
                <w:b/>
                <w:bCs/>
                <w:color w:val="000000"/>
              </w:rPr>
            </w:pPr>
            <w:r w:rsidRPr="00517B6B">
              <w:rPr>
                <w:rFonts w:cstheme="minorHAnsi"/>
                <w:b/>
                <w:bCs/>
                <w:color w:val="000000"/>
              </w:rPr>
              <w:t>Population, geographies and/or barriers addressed</w:t>
            </w:r>
          </w:p>
        </w:tc>
        <w:tc>
          <w:tcPr>
            <w:tcW w:w="12600" w:type="dxa"/>
          </w:tcPr>
          <w:p w14:paraId="691D9080" w14:textId="554DA9FE" w:rsidR="00517B6B" w:rsidRPr="002C2C75" w:rsidRDefault="00517B6B" w:rsidP="00517B6B">
            <w:pPr>
              <w:pBdr>
                <w:top w:val="nil"/>
                <w:left w:val="nil"/>
                <w:bottom w:val="nil"/>
                <w:right w:val="nil"/>
                <w:between w:val="nil"/>
              </w:pBdr>
              <w:spacing w:line="264" w:lineRule="auto"/>
              <w:jc w:val="both"/>
              <w:rPr>
                <w:rFonts w:cstheme="minorHAnsi"/>
                <w:color w:val="000000"/>
              </w:rPr>
            </w:pPr>
            <w:r w:rsidRPr="002C2C75">
              <w:rPr>
                <w:rFonts w:cstheme="minorHAnsi"/>
                <w:color w:val="000000"/>
              </w:rPr>
              <w:t>The Laboratory supply Chain System is fundamentally characterized by stockouts of laboratory reagents and consumables at all levels of care and poor quality data justifying consumption, delays in performing testing activities and consequent delay in providing feedback to HFs and patients. To remedy this situation, and in addition to the improvements envisaged in the LIS, the sector will adapt the training package on Logistical Management of reagents and consumables for e-learning, and conduct training of logistics managers on using a hybrid modality (face-to-face and virtual) to increase accessibility to this package. It is also intended to create an electronic platform to capture deliveries from suppliers in each laboratory to monitor the consumption and service volume of the US</w:t>
            </w:r>
            <w:r w:rsidR="007D3B14">
              <w:rPr>
                <w:rFonts w:cstheme="minorHAnsi"/>
                <w:color w:val="000000"/>
              </w:rPr>
              <w:t>.</w:t>
            </w:r>
          </w:p>
        </w:tc>
      </w:tr>
      <w:tr w:rsidR="00517B6B" w:rsidRPr="002C2C75" w14:paraId="1545B63F" w14:textId="77777777" w:rsidTr="00C0707E">
        <w:trPr>
          <w:cantSplit/>
        </w:trPr>
        <w:tc>
          <w:tcPr>
            <w:tcW w:w="2605" w:type="dxa"/>
          </w:tcPr>
          <w:p w14:paraId="0497DA94" w14:textId="1A5D56AC" w:rsidR="00517B6B" w:rsidRPr="00517B6B" w:rsidRDefault="00517B6B" w:rsidP="00517B6B">
            <w:pPr>
              <w:pBdr>
                <w:top w:val="nil"/>
                <w:left w:val="nil"/>
                <w:bottom w:val="nil"/>
                <w:right w:val="nil"/>
                <w:between w:val="nil"/>
              </w:pBdr>
              <w:spacing w:line="264" w:lineRule="auto"/>
              <w:rPr>
                <w:rFonts w:cstheme="minorHAnsi"/>
                <w:b/>
                <w:bCs/>
                <w:color w:val="000000"/>
              </w:rPr>
            </w:pPr>
            <w:r w:rsidRPr="00517B6B">
              <w:rPr>
                <w:rFonts w:cstheme="minorHAnsi"/>
                <w:b/>
                <w:bCs/>
                <w:color w:val="000000"/>
              </w:rPr>
              <w:t>List of activities</w:t>
            </w:r>
          </w:p>
        </w:tc>
        <w:tc>
          <w:tcPr>
            <w:tcW w:w="12600" w:type="dxa"/>
          </w:tcPr>
          <w:p w14:paraId="5FCB569E" w14:textId="77777777" w:rsidR="007D3B14" w:rsidRPr="007D3B14" w:rsidRDefault="007D3B14" w:rsidP="007D3B14">
            <w:pPr>
              <w:numPr>
                <w:ilvl w:val="0"/>
                <w:numId w:val="61"/>
              </w:numPr>
              <w:pBdr>
                <w:top w:val="nil"/>
                <w:left w:val="nil"/>
                <w:bottom w:val="nil"/>
                <w:right w:val="nil"/>
                <w:between w:val="nil"/>
              </w:pBdr>
              <w:spacing w:after="0" w:line="264" w:lineRule="auto"/>
              <w:rPr>
                <w:rFonts w:cstheme="minorHAnsi"/>
                <w:color w:val="000000"/>
              </w:rPr>
            </w:pPr>
            <w:r w:rsidRPr="007D3B14">
              <w:rPr>
                <w:rFonts w:cstheme="minorHAnsi"/>
                <w:color w:val="000000"/>
              </w:rPr>
              <w:t>Update and convert the training package on Logistic Management of reagents and consumables into a e-learning model through the Telehealth platform</w:t>
            </w:r>
          </w:p>
          <w:p w14:paraId="16C6DE31" w14:textId="77777777" w:rsidR="007D3B14" w:rsidRPr="007D3B14" w:rsidRDefault="007D3B14" w:rsidP="007D3B14">
            <w:pPr>
              <w:numPr>
                <w:ilvl w:val="0"/>
                <w:numId w:val="61"/>
              </w:numPr>
              <w:pBdr>
                <w:top w:val="nil"/>
                <w:left w:val="nil"/>
                <w:bottom w:val="nil"/>
                <w:right w:val="nil"/>
                <w:between w:val="nil"/>
              </w:pBdr>
              <w:spacing w:after="0" w:line="264" w:lineRule="auto"/>
              <w:rPr>
                <w:rFonts w:cstheme="minorHAnsi"/>
                <w:color w:val="000000"/>
              </w:rPr>
            </w:pPr>
            <w:r w:rsidRPr="007D3B14">
              <w:rPr>
                <w:rFonts w:cstheme="minorHAnsi"/>
                <w:color w:val="000000"/>
              </w:rPr>
              <w:t>Induce technicians in the new approach of logistic management of reagents (strategy to introduce virtual platforms)</w:t>
            </w:r>
          </w:p>
          <w:p w14:paraId="6646BBC4" w14:textId="77777777" w:rsidR="007D3B14" w:rsidRPr="007D3B14" w:rsidRDefault="007D3B14" w:rsidP="007D3B14">
            <w:pPr>
              <w:numPr>
                <w:ilvl w:val="0"/>
                <w:numId w:val="61"/>
              </w:numPr>
              <w:pBdr>
                <w:top w:val="nil"/>
                <w:left w:val="nil"/>
                <w:bottom w:val="nil"/>
                <w:right w:val="nil"/>
                <w:between w:val="nil"/>
              </w:pBdr>
              <w:spacing w:after="0" w:line="264" w:lineRule="auto"/>
              <w:rPr>
                <w:rFonts w:cstheme="minorHAnsi"/>
                <w:color w:val="000000"/>
              </w:rPr>
            </w:pPr>
            <w:r w:rsidRPr="007D3B14">
              <w:rPr>
                <w:rFonts w:cstheme="minorHAnsi"/>
                <w:color w:val="000000"/>
              </w:rPr>
              <w:t>Conduct virtual training for logistics management</w:t>
            </w:r>
          </w:p>
          <w:p w14:paraId="5F748CAD" w14:textId="429E305C" w:rsidR="00517B6B" w:rsidRPr="00517B6B" w:rsidRDefault="007D3B14" w:rsidP="007D3B14">
            <w:pPr>
              <w:numPr>
                <w:ilvl w:val="0"/>
                <w:numId w:val="61"/>
              </w:numPr>
              <w:pBdr>
                <w:top w:val="nil"/>
                <w:left w:val="nil"/>
                <w:bottom w:val="nil"/>
                <w:right w:val="nil"/>
                <w:between w:val="nil"/>
              </w:pBdr>
              <w:spacing w:after="0" w:line="264" w:lineRule="auto"/>
              <w:rPr>
                <w:rFonts w:cstheme="minorHAnsi"/>
                <w:color w:val="000000"/>
              </w:rPr>
            </w:pPr>
            <w:r w:rsidRPr="007D3B14">
              <w:rPr>
                <w:rFonts w:cstheme="minorHAnsi"/>
                <w:color w:val="000000"/>
              </w:rPr>
              <w:t>Perform quarterly remote follow-up</w:t>
            </w:r>
          </w:p>
        </w:tc>
      </w:tr>
      <w:tr w:rsidR="00517B6B" w:rsidRPr="002C2C75" w14:paraId="5B80ADF5" w14:textId="77777777" w:rsidTr="00C0707E">
        <w:trPr>
          <w:cantSplit/>
        </w:trPr>
        <w:tc>
          <w:tcPr>
            <w:tcW w:w="2605" w:type="dxa"/>
          </w:tcPr>
          <w:p w14:paraId="2E6D49DB" w14:textId="77777777" w:rsidR="00517B6B" w:rsidRPr="00517B6B" w:rsidRDefault="00517B6B" w:rsidP="00517B6B">
            <w:pPr>
              <w:pBdr>
                <w:top w:val="nil"/>
                <w:left w:val="nil"/>
                <w:bottom w:val="nil"/>
                <w:right w:val="nil"/>
                <w:between w:val="nil"/>
              </w:pBdr>
              <w:spacing w:line="264" w:lineRule="auto"/>
              <w:rPr>
                <w:rFonts w:cstheme="minorHAnsi"/>
                <w:b/>
                <w:bCs/>
                <w:color w:val="000000"/>
              </w:rPr>
            </w:pPr>
            <w:r w:rsidRPr="00517B6B">
              <w:rPr>
                <w:rFonts w:cstheme="minorHAnsi"/>
                <w:b/>
                <w:bCs/>
                <w:color w:val="000000"/>
              </w:rPr>
              <w:t>Amount requested</w:t>
            </w:r>
          </w:p>
        </w:tc>
        <w:tc>
          <w:tcPr>
            <w:tcW w:w="12600" w:type="dxa"/>
          </w:tcPr>
          <w:p w14:paraId="31B72E87" w14:textId="3B30A40B" w:rsidR="00517B6B" w:rsidRPr="002C2C75" w:rsidRDefault="00517B6B" w:rsidP="00517B6B">
            <w:pPr>
              <w:pBdr>
                <w:top w:val="nil"/>
                <w:left w:val="nil"/>
                <w:bottom w:val="nil"/>
                <w:right w:val="nil"/>
                <w:between w:val="nil"/>
              </w:pBdr>
              <w:spacing w:line="264" w:lineRule="auto"/>
              <w:rPr>
                <w:rFonts w:cstheme="minorHAnsi"/>
                <w:b/>
                <w:bCs/>
                <w:color w:val="000000"/>
              </w:rPr>
            </w:pPr>
            <w:r w:rsidRPr="002C2C75">
              <w:rPr>
                <w:rFonts w:cstheme="minorHAnsi"/>
                <w:b/>
                <w:bCs/>
                <w:color w:val="000000"/>
              </w:rPr>
              <w:t>Within allocation: $170,258</w:t>
            </w:r>
          </w:p>
        </w:tc>
      </w:tr>
      <w:tr w:rsidR="00517B6B" w:rsidRPr="002C2C75" w14:paraId="1C4583C4" w14:textId="77777777" w:rsidTr="00C0707E">
        <w:trPr>
          <w:cantSplit/>
        </w:trPr>
        <w:tc>
          <w:tcPr>
            <w:tcW w:w="2605" w:type="dxa"/>
          </w:tcPr>
          <w:p w14:paraId="4A18C072" w14:textId="620F9629" w:rsidR="00517B6B" w:rsidRPr="00517B6B" w:rsidRDefault="00517B6B" w:rsidP="00517B6B">
            <w:pPr>
              <w:pBdr>
                <w:top w:val="nil"/>
                <w:left w:val="nil"/>
                <w:bottom w:val="nil"/>
                <w:right w:val="nil"/>
                <w:between w:val="nil"/>
              </w:pBdr>
              <w:spacing w:line="264" w:lineRule="auto"/>
              <w:rPr>
                <w:rFonts w:cstheme="minorHAnsi"/>
                <w:b/>
                <w:bCs/>
                <w:color w:val="000000"/>
              </w:rPr>
            </w:pPr>
            <w:r w:rsidRPr="00517B6B">
              <w:rPr>
                <w:rFonts w:cstheme="minorHAnsi"/>
                <w:b/>
                <w:bCs/>
                <w:color w:val="000000"/>
              </w:rPr>
              <w:t>Expected outcome</w:t>
            </w:r>
          </w:p>
        </w:tc>
        <w:tc>
          <w:tcPr>
            <w:tcW w:w="12600" w:type="dxa"/>
          </w:tcPr>
          <w:p w14:paraId="0B0081D5" w14:textId="77777777" w:rsidR="00517B6B" w:rsidRPr="002C2C75" w:rsidRDefault="00517B6B" w:rsidP="00517B6B">
            <w:pPr>
              <w:numPr>
                <w:ilvl w:val="0"/>
                <w:numId w:val="61"/>
              </w:numPr>
              <w:pBdr>
                <w:top w:val="nil"/>
                <w:left w:val="nil"/>
                <w:bottom w:val="nil"/>
                <w:right w:val="nil"/>
                <w:between w:val="nil"/>
              </w:pBdr>
              <w:spacing w:after="0" w:line="240" w:lineRule="auto"/>
              <w:jc w:val="both"/>
              <w:rPr>
                <w:rFonts w:cstheme="minorHAnsi"/>
                <w:color w:val="000000"/>
              </w:rPr>
            </w:pPr>
            <w:r w:rsidRPr="002C2C75">
              <w:rPr>
                <w:rFonts w:cstheme="minorHAnsi"/>
                <w:color w:val="000000"/>
              </w:rPr>
              <w:t>Improved management of the logistical process</w:t>
            </w:r>
          </w:p>
          <w:p w14:paraId="2D81812D" w14:textId="77777777" w:rsidR="00517B6B" w:rsidRPr="002C2C75" w:rsidRDefault="00517B6B" w:rsidP="00517B6B">
            <w:pPr>
              <w:numPr>
                <w:ilvl w:val="0"/>
                <w:numId w:val="61"/>
              </w:numPr>
              <w:pBdr>
                <w:top w:val="nil"/>
                <w:left w:val="nil"/>
                <w:bottom w:val="nil"/>
                <w:right w:val="nil"/>
                <w:between w:val="nil"/>
              </w:pBdr>
              <w:spacing w:after="0" w:line="240" w:lineRule="auto"/>
              <w:jc w:val="both"/>
              <w:rPr>
                <w:rFonts w:cstheme="minorHAnsi"/>
                <w:color w:val="000000"/>
              </w:rPr>
            </w:pPr>
            <w:r w:rsidRPr="002C2C75">
              <w:rPr>
                <w:rFonts w:cstheme="minorHAnsi"/>
                <w:color w:val="000000"/>
              </w:rPr>
              <w:t>Have an indicator of availability of exams/equipment</w:t>
            </w:r>
          </w:p>
          <w:p w14:paraId="6998EFC3" w14:textId="77777777" w:rsidR="00517B6B" w:rsidRDefault="00517B6B" w:rsidP="00517B6B">
            <w:pPr>
              <w:numPr>
                <w:ilvl w:val="0"/>
                <w:numId w:val="61"/>
              </w:numPr>
              <w:pBdr>
                <w:top w:val="nil"/>
                <w:left w:val="nil"/>
                <w:bottom w:val="nil"/>
                <w:right w:val="nil"/>
                <w:between w:val="nil"/>
              </w:pBdr>
              <w:spacing w:after="0" w:line="240" w:lineRule="auto"/>
              <w:jc w:val="both"/>
              <w:rPr>
                <w:rFonts w:cstheme="minorHAnsi"/>
                <w:color w:val="000000"/>
              </w:rPr>
            </w:pPr>
            <w:r w:rsidRPr="002C2C75">
              <w:rPr>
                <w:rFonts w:cstheme="minorHAnsi"/>
                <w:color w:val="000000"/>
              </w:rPr>
              <w:t>Logistical information for the process of quantification of reagents for decision making</w:t>
            </w:r>
          </w:p>
          <w:p w14:paraId="329BC0F0" w14:textId="5DA04C38" w:rsidR="00517B6B" w:rsidRPr="00517B6B" w:rsidRDefault="00517B6B" w:rsidP="00517B6B">
            <w:pPr>
              <w:numPr>
                <w:ilvl w:val="0"/>
                <w:numId w:val="61"/>
              </w:numPr>
              <w:pBdr>
                <w:top w:val="nil"/>
                <w:left w:val="nil"/>
                <w:bottom w:val="nil"/>
                <w:right w:val="nil"/>
                <w:between w:val="nil"/>
              </w:pBdr>
              <w:spacing w:after="0" w:line="240" w:lineRule="auto"/>
              <w:jc w:val="both"/>
              <w:rPr>
                <w:rFonts w:cstheme="minorHAnsi"/>
                <w:color w:val="000000"/>
              </w:rPr>
            </w:pPr>
            <w:r w:rsidRPr="00517B6B">
              <w:rPr>
                <w:rFonts w:cstheme="minorHAnsi"/>
                <w:color w:val="000000"/>
              </w:rPr>
              <w:t>Ensured the uninterrupted supply of laboratory reagents and consumables to all levels of care</w:t>
            </w:r>
          </w:p>
        </w:tc>
      </w:tr>
      <w:tr w:rsidR="00517B6B" w:rsidRPr="002C2C75" w14:paraId="715805AC" w14:textId="77777777" w:rsidTr="00C0707E">
        <w:trPr>
          <w:cantSplit/>
        </w:trPr>
        <w:tc>
          <w:tcPr>
            <w:tcW w:w="2605" w:type="dxa"/>
          </w:tcPr>
          <w:p w14:paraId="161AAB00" w14:textId="708FA0E0" w:rsidR="00517B6B" w:rsidRPr="00517B6B" w:rsidRDefault="00517B6B" w:rsidP="00517B6B">
            <w:pPr>
              <w:pBdr>
                <w:top w:val="nil"/>
                <w:left w:val="nil"/>
                <w:bottom w:val="nil"/>
                <w:right w:val="nil"/>
                <w:between w:val="nil"/>
              </w:pBdr>
              <w:spacing w:line="264" w:lineRule="auto"/>
              <w:rPr>
                <w:rFonts w:cstheme="minorHAnsi"/>
                <w:b/>
                <w:bCs/>
                <w:color w:val="000000"/>
              </w:rPr>
            </w:pPr>
            <w:r w:rsidRPr="00517B6B">
              <w:rPr>
                <w:rFonts w:cstheme="minorHAnsi"/>
                <w:b/>
                <w:bCs/>
                <w:color w:val="000000"/>
              </w:rPr>
              <w:t xml:space="preserve">Intervention(s) </w:t>
            </w:r>
          </w:p>
        </w:tc>
        <w:tc>
          <w:tcPr>
            <w:tcW w:w="12600" w:type="dxa"/>
          </w:tcPr>
          <w:p w14:paraId="65DF2C16" w14:textId="4285C731" w:rsidR="00517B6B" w:rsidRPr="00517B6B" w:rsidRDefault="00517B6B" w:rsidP="00517B6B">
            <w:pPr>
              <w:pBdr>
                <w:top w:val="nil"/>
                <w:left w:val="nil"/>
                <w:bottom w:val="nil"/>
                <w:right w:val="nil"/>
                <w:between w:val="nil"/>
              </w:pBdr>
              <w:spacing w:line="264" w:lineRule="auto"/>
              <w:rPr>
                <w:rFonts w:cstheme="minorHAnsi"/>
                <w:color w:val="000000"/>
              </w:rPr>
            </w:pPr>
            <w:r>
              <w:rPr>
                <w:rFonts w:cstheme="minorHAnsi"/>
                <w:b/>
                <w:bCs/>
                <w:color w:val="000000"/>
              </w:rPr>
              <w:t xml:space="preserve">Intervention: </w:t>
            </w:r>
            <w:r w:rsidRPr="00517B6B">
              <w:rPr>
                <w:rFonts w:cstheme="minorHAnsi"/>
                <w:color w:val="000000"/>
              </w:rPr>
              <w:t xml:space="preserve">RSSH/PP: Specimen referral and transport system </w:t>
            </w:r>
          </w:p>
          <w:p w14:paraId="181ED181" w14:textId="33BE1825" w:rsidR="00517B6B" w:rsidRPr="002C2C75" w:rsidRDefault="00517B6B" w:rsidP="00517B6B">
            <w:pPr>
              <w:pBdr>
                <w:top w:val="nil"/>
                <w:left w:val="nil"/>
                <w:bottom w:val="nil"/>
                <w:right w:val="nil"/>
                <w:between w:val="nil"/>
              </w:pBdr>
              <w:spacing w:line="264" w:lineRule="auto"/>
              <w:rPr>
                <w:rFonts w:cstheme="minorHAnsi"/>
                <w:color w:val="000000"/>
              </w:rPr>
            </w:pPr>
            <w:r w:rsidRPr="00517B6B">
              <w:rPr>
                <w:rFonts w:cstheme="minorHAnsi"/>
                <w:color w:val="000000"/>
              </w:rPr>
              <w:t>Change in Pro</w:t>
            </w:r>
            <w:r w:rsidRPr="002C2C75">
              <w:rPr>
                <w:rFonts w:cstheme="minorHAnsi"/>
                <w:color w:val="000000"/>
              </w:rPr>
              <w:t xml:space="preserve">gramming from current grant: </w:t>
            </w:r>
            <w:sdt>
              <w:sdtPr>
                <w:rPr>
                  <w:rFonts w:cstheme="minorHAnsi"/>
                </w:rPr>
                <w:tag w:val="goog_rdk_246"/>
                <w:id w:val="-1828576206"/>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New, </w:t>
            </w:r>
            <w:sdt>
              <w:sdtPr>
                <w:rPr>
                  <w:rFonts w:cstheme="minorHAnsi"/>
                </w:rPr>
                <w:tag w:val="goog_rdk_247"/>
                <w:id w:val="-426662225"/>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Scale-up, </w:t>
            </w:r>
            <w:sdt>
              <w:sdtPr>
                <w:rPr>
                  <w:rFonts w:cstheme="minorHAnsi"/>
                </w:rPr>
                <w:tag w:val="goog_rdk_248"/>
                <w:id w:val="-382566495"/>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Continuation, or </w:t>
            </w:r>
            <w:sdt>
              <w:sdtPr>
                <w:rPr>
                  <w:rFonts w:cstheme="minorHAnsi"/>
                </w:rPr>
                <w:tag w:val="goog_rdk_249"/>
                <w:id w:val="-1813630198"/>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Scale-down</w:t>
            </w:r>
          </w:p>
        </w:tc>
      </w:tr>
      <w:tr w:rsidR="00517B6B" w:rsidRPr="002C2C75" w14:paraId="5E424A80" w14:textId="77777777" w:rsidTr="00C0707E">
        <w:trPr>
          <w:cantSplit/>
        </w:trPr>
        <w:tc>
          <w:tcPr>
            <w:tcW w:w="2605" w:type="dxa"/>
          </w:tcPr>
          <w:p w14:paraId="58DE8015" w14:textId="77777777" w:rsidR="00517B6B" w:rsidRPr="00517B6B" w:rsidRDefault="00517B6B" w:rsidP="00517B6B">
            <w:pPr>
              <w:pBdr>
                <w:top w:val="nil"/>
                <w:left w:val="nil"/>
                <w:bottom w:val="nil"/>
                <w:right w:val="nil"/>
                <w:between w:val="nil"/>
              </w:pBdr>
              <w:spacing w:line="264" w:lineRule="auto"/>
              <w:rPr>
                <w:rFonts w:cstheme="minorHAnsi"/>
                <w:b/>
                <w:bCs/>
                <w:color w:val="000000"/>
              </w:rPr>
            </w:pPr>
            <w:r w:rsidRPr="00517B6B">
              <w:rPr>
                <w:rFonts w:cstheme="minorHAnsi"/>
                <w:b/>
                <w:bCs/>
                <w:color w:val="000000"/>
              </w:rPr>
              <w:t>Population, geographies and/or barriers addressed</w:t>
            </w:r>
          </w:p>
        </w:tc>
        <w:tc>
          <w:tcPr>
            <w:tcW w:w="12600" w:type="dxa"/>
          </w:tcPr>
          <w:p w14:paraId="6AE49558" w14:textId="77777777" w:rsidR="00517B6B" w:rsidRPr="002C2C75" w:rsidRDefault="00517B6B" w:rsidP="00517B6B">
            <w:pPr>
              <w:pBdr>
                <w:top w:val="nil"/>
                <w:left w:val="nil"/>
                <w:bottom w:val="nil"/>
                <w:right w:val="nil"/>
                <w:between w:val="nil"/>
              </w:pBdr>
              <w:spacing w:line="264" w:lineRule="auto"/>
              <w:jc w:val="both"/>
              <w:rPr>
                <w:rFonts w:cstheme="minorHAnsi"/>
                <w:color w:val="000000"/>
              </w:rPr>
            </w:pPr>
            <w:r w:rsidRPr="002C2C75">
              <w:rPr>
                <w:rFonts w:cstheme="minorHAnsi"/>
                <w:color w:val="000000"/>
              </w:rPr>
              <w:t xml:space="preserve">As the current Specimen referral and transport system (SRS) is predominantly managed by a sector Implementing Partner, it is intended to initiate the transition of SRS management to MISAU. To that end, a transition roadmap will be designed and piloted in two provinces, including stakeholders training from targeted DPS/SPS on SRS management. It should be noted that the SRS monitoring methodology will be updated and standardized within the scope of foreseen SIL investments, including a Dashboard connected to the Link system. </w:t>
            </w:r>
          </w:p>
        </w:tc>
      </w:tr>
      <w:tr w:rsidR="00517B6B" w:rsidRPr="002C2C75" w14:paraId="0C23CC2C" w14:textId="77777777" w:rsidTr="00C0707E">
        <w:trPr>
          <w:cantSplit/>
        </w:trPr>
        <w:tc>
          <w:tcPr>
            <w:tcW w:w="2605" w:type="dxa"/>
          </w:tcPr>
          <w:p w14:paraId="30310251" w14:textId="697CD2C3" w:rsidR="00517B6B" w:rsidRPr="00517B6B" w:rsidRDefault="00517B6B" w:rsidP="00517B6B">
            <w:pPr>
              <w:pBdr>
                <w:top w:val="nil"/>
                <w:left w:val="nil"/>
                <w:bottom w:val="nil"/>
                <w:right w:val="nil"/>
                <w:between w:val="nil"/>
              </w:pBdr>
              <w:spacing w:line="264" w:lineRule="auto"/>
              <w:rPr>
                <w:rFonts w:cstheme="minorHAnsi"/>
                <w:b/>
                <w:bCs/>
                <w:color w:val="000000"/>
              </w:rPr>
            </w:pPr>
            <w:r w:rsidRPr="00517B6B">
              <w:rPr>
                <w:rFonts w:cstheme="minorHAnsi"/>
                <w:b/>
                <w:bCs/>
                <w:color w:val="000000"/>
              </w:rPr>
              <w:t>List of activities</w:t>
            </w:r>
          </w:p>
        </w:tc>
        <w:tc>
          <w:tcPr>
            <w:tcW w:w="12600" w:type="dxa"/>
          </w:tcPr>
          <w:p w14:paraId="04747CA1" w14:textId="77777777" w:rsidR="007D3B14" w:rsidRPr="007D3B14" w:rsidRDefault="007D3B14" w:rsidP="007D3B14">
            <w:pPr>
              <w:numPr>
                <w:ilvl w:val="0"/>
                <w:numId w:val="61"/>
              </w:numPr>
              <w:pBdr>
                <w:top w:val="nil"/>
                <w:left w:val="nil"/>
                <w:bottom w:val="nil"/>
                <w:right w:val="nil"/>
                <w:between w:val="nil"/>
              </w:pBdr>
              <w:spacing w:after="0" w:line="264" w:lineRule="auto"/>
              <w:rPr>
                <w:rFonts w:cstheme="minorHAnsi"/>
                <w:color w:val="000000"/>
              </w:rPr>
            </w:pPr>
            <w:r w:rsidRPr="007D3B14">
              <w:rPr>
                <w:rFonts w:cstheme="minorHAnsi"/>
                <w:color w:val="000000"/>
              </w:rPr>
              <w:t>Design the roadmap for transitioning the SRS management to the MISAU</w:t>
            </w:r>
          </w:p>
          <w:p w14:paraId="03DDCFB5" w14:textId="77777777" w:rsidR="007D3B14" w:rsidRPr="007D3B14" w:rsidRDefault="007D3B14" w:rsidP="007D3B14">
            <w:pPr>
              <w:numPr>
                <w:ilvl w:val="0"/>
                <w:numId w:val="61"/>
              </w:numPr>
              <w:pBdr>
                <w:top w:val="nil"/>
                <w:left w:val="nil"/>
                <w:bottom w:val="nil"/>
                <w:right w:val="nil"/>
                <w:between w:val="nil"/>
              </w:pBdr>
              <w:spacing w:after="0" w:line="264" w:lineRule="auto"/>
              <w:rPr>
                <w:rFonts w:cstheme="minorHAnsi"/>
                <w:color w:val="000000"/>
              </w:rPr>
            </w:pPr>
            <w:r w:rsidRPr="007D3B14">
              <w:rPr>
                <w:rFonts w:cstheme="minorHAnsi"/>
                <w:color w:val="000000"/>
              </w:rPr>
              <w:t>Pilot SRS management transition to MISAU in two provinces in 2026</w:t>
            </w:r>
          </w:p>
          <w:p w14:paraId="6F761477" w14:textId="77777777" w:rsidR="007D3B14" w:rsidRPr="007D3B14" w:rsidRDefault="007D3B14" w:rsidP="007D3B14">
            <w:pPr>
              <w:numPr>
                <w:ilvl w:val="0"/>
                <w:numId w:val="61"/>
              </w:numPr>
              <w:pBdr>
                <w:top w:val="nil"/>
                <w:left w:val="nil"/>
                <w:bottom w:val="nil"/>
                <w:right w:val="nil"/>
                <w:between w:val="nil"/>
              </w:pBdr>
              <w:spacing w:after="0" w:line="264" w:lineRule="auto"/>
              <w:rPr>
                <w:rFonts w:cstheme="minorHAnsi"/>
                <w:color w:val="000000"/>
              </w:rPr>
            </w:pPr>
            <w:r w:rsidRPr="007D3B14">
              <w:rPr>
                <w:rFonts w:cstheme="minorHAnsi"/>
                <w:color w:val="000000"/>
              </w:rPr>
              <w:t>Establish and train the Central Level team (MISAU) in contract management, logistics and SRS operations</w:t>
            </w:r>
          </w:p>
          <w:p w14:paraId="1FFBFE89" w14:textId="77777777" w:rsidR="007D3B14" w:rsidRPr="007D3B14" w:rsidRDefault="007D3B14" w:rsidP="007D3B14">
            <w:pPr>
              <w:numPr>
                <w:ilvl w:val="0"/>
                <w:numId w:val="61"/>
              </w:numPr>
              <w:pBdr>
                <w:top w:val="nil"/>
                <w:left w:val="nil"/>
                <w:bottom w:val="nil"/>
                <w:right w:val="nil"/>
                <w:between w:val="nil"/>
              </w:pBdr>
              <w:spacing w:after="0" w:line="264" w:lineRule="auto"/>
              <w:rPr>
                <w:rFonts w:cstheme="minorHAnsi"/>
                <w:color w:val="000000"/>
              </w:rPr>
            </w:pPr>
            <w:r w:rsidRPr="007D3B14">
              <w:rPr>
                <w:rFonts w:cstheme="minorHAnsi"/>
                <w:color w:val="000000"/>
              </w:rPr>
              <w:t>Develop the terms of reference procedures in contract management, logistics and operational management of the SRS</w:t>
            </w:r>
          </w:p>
          <w:p w14:paraId="44B26D9C" w14:textId="2160976D" w:rsidR="00517B6B" w:rsidRPr="002C2C75" w:rsidRDefault="007D3B14" w:rsidP="007D3B14">
            <w:pPr>
              <w:numPr>
                <w:ilvl w:val="0"/>
                <w:numId w:val="61"/>
              </w:numPr>
              <w:pBdr>
                <w:top w:val="nil"/>
                <w:left w:val="nil"/>
                <w:bottom w:val="nil"/>
                <w:right w:val="nil"/>
                <w:between w:val="nil"/>
              </w:pBdr>
              <w:spacing w:after="0" w:line="264" w:lineRule="auto"/>
              <w:rPr>
                <w:rFonts w:cstheme="minorHAnsi"/>
                <w:color w:val="000000"/>
              </w:rPr>
            </w:pPr>
            <w:r w:rsidRPr="007D3B14">
              <w:rPr>
                <w:rFonts w:cstheme="minorHAnsi"/>
                <w:color w:val="000000"/>
              </w:rPr>
              <w:t>Train laboratory supervisors from targeted DPS/SPS on SRS logistical and financial management</w:t>
            </w:r>
          </w:p>
        </w:tc>
      </w:tr>
      <w:tr w:rsidR="00517B6B" w:rsidRPr="002C2C75" w14:paraId="45E1014A" w14:textId="77777777" w:rsidTr="00C0707E">
        <w:trPr>
          <w:cantSplit/>
        </w:trPr>
        <w:tc>
          <w:tcPr>
            <w:tcW w:w="2605" w:type="dxa"/>
          </w:tcPr>
          <w:p w14:paraId="545C66EF" w14:textId="77777777" w:rsidR="00517B6B" w:rsidRPr="00517B6B" w:rsidRDefault="00517B6B" w:rsidP="00517B6B">
            <w:pPr>
              <w:pBdr>
                <w:top w:val="nil"/>
                <w:left w:val="nil"/>
                <w:bottom w:val="nil"/>
                <w:right w:val="nil"/>
                <w:between w:val="nil"/>
              </w:pBdr>
              <w:spacing w:line="264" w:lineRule="auto"/>
              <w:rPr>
                <w:rFonts w:cstheme="minorHAnsi"/>
                <w:b/>
                <w:bCs/>
                <w:color w:val="000000"/>
              </w:rPr>
            </w:pPr>
            <w:r w:rsidRPr="00517B6B">
              <w:rPr>
                <w:rFonts w:cstheme="minorHAnsi"/>
                <w:b/>
                <w:bCs/>
                <w:color w:val="000000"/>
              </w:rPr>
              <w:t>Amount requested</w:t>
            </w:r>
          </w:p>
        </w:tc>
        <w:tc>
          <w:tcPr>
            <w:tcW w:w="12600" w:type="dxa"/>
          </w:tcPr>
          <w:p w14:paraId="77E5CC71" w14:textId="72E226EC" w:rsidR="00517B6B" w:rsidRPr="002C2C75" w:rsidRDefault="00517B6B" w:rsidP="00517B6B">
            <w:pPr>
              <w:pBdr>
                <w:top w:val="nil"/>
                <w:left w:val="nil"/>
                <w:bottom w:val="nil"/>
                <w:right w:val="nil"/>
                <w:between w:val="nil"/>
              </w:pBdr>
              <w:spacing w:line="264" w:lineRule="auto"/>
              <w:rPr>
                <w:rFonts w:cstheme="minorHAnsi"/>
                <w:b/>
                <w:bCs/>
                <w:color w:val="000000"/>
              </w:rPr>
            </w:pPr>
            <w:r w:rsidRPr="002C2C75">
              <w:rPr>
                <w:rFonts w:cstheme="minorHAnsi"/>
                <w:b/>
                <w:bCs/>
                <w:color w:val="000000"/>
              </w:rPr>
              <w:t>Within allocation: $680,300</w:t>
            </w:r>
          </w:p>
        </w:tc>
      </w:tr>
      <w:tr w:rsidR="00517B6B" w:rsidRPr="002C2C75" w14:paraId="2DB73A79" w14:textId="77777777" w:rsidTr="00C0707E">
        <w:trPr>
          <w:cantSplit/>
        </w:trPr>
        <w:tc>
          <w:tcPr>
            <w:tcW w:w="2605" w:type="dxa"/>
          </w:tcPr>
          <w:p w14:paraId="506FB31E" w14:textId="60019DDD" w:rsidR="00517B6B" w:rsidRPr="00517B6B" w:rsidRDefault="00517B6B" w:rsidP="00517B6B">
            <w:pPr>
              <w:pBdr>
                <w:top w:val="nil"/>
                <w:left w:val="nil"/>
                <w:bottom w:val="nil"/>
                <w:right w:val="nil"/>
                <w:between w:val="nil"/>
              </w:pBdr>
              <w:spacing w:line="264" w:lineRule="auto"/>
              <w:rPr>
                <w:rFonts w:cstheme="minorHAnsi"/>
                <w:b/>
                <w:bCs/>
                <w:color w:val="000000"/>
              </w:rPr>
            </w:pPr>
            <w:r w:rsidRPr="00517B6B">
              <w:rPr>
                <w:rFonts w:cstheme="minorHAnsi"/>
                <w:b/>
                <w:bCs/>
                <w:color w:val="000000"/>
              </w:rPr>
              <w:t>Expected outcome</w:t>
            </w:r>
          </w:p>
        </w:tc>
        <w:tc>
          <w:tcPr>
            <w:tcW w:w="12600" w:type="dxa"/>
          </w:tcPr>
          <w:p w14:paraId="683754A5" w14:textId="39121A13" w:rsidR="00517B6B" w:rsidRPr="002C2C75" w:rsidRDefault="00517B6B" w:rsidP="00517B6B">
            <w:pPr>
              <w:pBdr>
                <w:top w:val="nil"/>
                <w:left w:val="nil"/>
                <w:bottom w:val="nil"/>
                <w:right w:val="nil"/>
                <w:between w:val="nil"/>
              </w:pBdr>
              <w:spacing w:line="264" w:lineRule="auto"/>
              <w:rPr>
                <w:rFonts w:cstheme="minorHAnsi"/>
                <w:b/>
                <w:bCs/>
                <w:color w:val="000000"/>
              </w:rPr>
            </w:pPr>
            <w:r w:rsidRPr="002C2C75">
              <w:rPr>
                <w:rFonts w:cstheme="minorHAnsi"/>
                <w:color w:val="000000"/>
              </w:rPr>
              <w:t xml:space="preserve">Ensured gradual transition of SRS to MISAU’s </w:t>
            </w:r>
          </w:p>
        </w:tc>
      </w:tr>
      <w:tr w:rsidR="00517B6B" w:rsidRPr="002C2C75" w14:paraId="1BBBA2F1" w14:textId="77777777" w:rsidTr="00C0707E">
        <w:trPr>
          <w:cantSplit/>
        </w:trPr>
        <w:tc>
          <w:tcPr>
            <w:tcW w:w="2605" w:type="dxa"/>
          </w:tcPr>
          <w:p w14:paraId="6E3E6217" w14:textId="588AC9D8" w:rsidR="00517B6B" w:rsidRPr="00517B6B" w:rsidRDefault="00517B6B" w:rsidP="00517B6B">
            <w:pPr>
              <w:pBdr>
                <w:top w:val="nil"/>
                <w:left w:val="nil"/>
                <w:bottom w:val="nil"/>
                <w:right w:val="nil"/>
                <w:between w:val="nil"/>
              </w:pBdr>
              <w:spacing w:line="264" w:lineRule="auto"/>
              <w:rPr>
                <w:rFonts w:cstheme="minorHAnsi"/>
                <w:b/>
                <w:bCs/>
                <w:color w:val="000000"/>
              </w:rPr>
            </w:pPr>
            <w:r w:rsidRPr="00517B6B">
              <w:rPr>
                <w:rFonts w:cstheme="minorHAnsi"/>
                <w:b/>
                <w:bCs/>
                <w:color w:val="000000"/>
              </w:rPr>
              <w:t xml:space="preserve">Intervention(s) </w:t>
            </w:r>
          </w:p>
        </w:tc>
        <w:tc>
          <w:tcPr>
            <w:tcW w:w="12600" w:type="dxa"/>
          </w:tcPr>
          <w:p w14:paraId="19E51C92" w14:textId="63BC46AD" w:rsidR="00517B6B" w:rsidRPr="00517B6B" w:rsidRDefault="00517B6B" w:rsidP="00517B6B">
            <w:pPr>
              <w:pBdr>
                <w:top w:val="nil"/>
                <w:left w:val="nil"/>
                <w:bottom w:val="nil"/>
                <w:right w:val="nil"/>
                <w:between w:val="nil"/>
              </w:pBdr>
              <w:spacing w:line="264" w:lineRule="auto"/>
              <w:rPr>
                <w:rFonts w:cstheme="minorHAnsi"/>
                <w:color w:val="000000"/>
              </w:rPr>
            </w:pPr>
            <w:r>
              <w:rPr>
                <w:rFonts w:cstheme="minorHAnsi"/>
                <w:b/>
                <w:bCs/>
                <w:color w:val="000000"/>
              </w:rPr>
              <w:t xml:space="preserve">Intervention: </w:t>
            </w:r>
            <w:r w:rsidRPr="00517B6B">
              <w:rPr>
                <w:rFonts w:cstheme="minorHAnsi"/>
                <w:color w:val="000000"/>
              </w:rPr>
              <w:t>Biosafety and biosecurity, infrastructure and equipment</w:t>
            </w:r>
          </w:p>
          <w:p w14:paraId="6A46085C" w14:textId="2B3865A4" w:rsidR="00517B6B" w:rsidRPr="00517B6B" w:rsidRDefault="00517B6B" w:rsidP="00517B6B">
            <w:pPr>
              <w:pBdr>
                <w:top w:val="nil"/>
                <w:left w:val="nil"/>
                <w:bottom w:val="nil"/>
                <w:right w:val="nil"/>
                <w:between w:val="nil"/>
              </w:pBdr>
              <w:spacing w:line="264" w:lineRule="auto"/>
              <w:rPr>
                <w:rFonts w:cstheme="minorHAnsi"/>
                <w:color w:val="000000"/>
              </w:rPr>
            </w:pPr>
            <w:r w:rsidRPr="00517B6B">
              <w:rPr>
                <w:rFonts w:cstheme="minorHAnsi"/>
                <w:color w:val="000000"/>
              </w:rPr>
              <w:t>Change in Pro</w:t>
            </w:r>
            <w:r w:rsidRPr="002C2C75">
              <w:rPr>
                <w:rFonts w:cstheme="minorHAnsi"/>
                <w:color w:val="000000"/>
              </w:rPr>
              <w:t xml:space="preserve">gramming from current grant: </w:t>
            </w:r>
            <w:sdt>
              <w:sdtPr>
                <w:rPr>
                  <w:rFonts w:cstheme="minorHAnsi"/>
                </w:rPr>
                <w:tag w:val="goog_rdk_250"/>
                <w:id w:val="893469909"/>
              </w:sdtPr>
              <w:sdtContent>
                <w:sdt>
                  <w:sdtPr>
                    <w:rPr>
                      <w:rFonts w:cstheme="minorHAnsi"/>
                    </w:rPr>
                    <w:tag w:val="goog_rdk_238"/>
                    <w:id w:val="-172025827"/>
                  </w:sdtPr>
                  <w:sdtContent>
                    <w:r w:rsidR="00FE5653" w:rsidRPr="002C2C75">
                      <w:rPr>
                        <w:rFonts w:ascii="Segoe UI Symbol" w:eastAsia="Arial Unicode MS" w:hAnsi="Segoe UI Symbol" w:cs="Segoe UI Symbol"/>
                        <w:color w:val="000000"/>
                      </w:rPr>
                      <w:t>☒</w:t>
                    </w:r>
                  </w:sdtContent>
                </w:sdt>
              </w:sdtContent>
            </w:sdt>
            <w:r w:rsidRPr="002C2C75">
              <w:rPr>
                <w:rFonts w:cstheme="minorHAnsi"/>
                <w:color w:val="000000"/>
              </w:rPr>
              <w:t xml:space="preserve"> New, </w:t>
            </w:r>
            <w:sdt>
              <w:sdtPr>
                <w:rPr>
                  <w:rFonts w:cstheme="minorHAnsi"/>
                </w:rPr>
                <w:tag w:val="goog_rdk_251"/>
                <w:id w:val="-79293155"/>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Scale-up, </w:t>
            </w:r>
            <w:sdt>
              <w:sdtPr>
                <w:rPr>
                  <w:rFonts w:cstheme="minorHAnsi"/>
                </w:rPr>
                <w:tag w:val="goog_rdk_252"/>
                <w:id w:val="1085805623"/>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Continuation, or </w:t>
            </w:r>
            <w:sdt>
              <w:sdtPr>
                <w:rPr>
                  <w:rFonts w:cstheme="minorHAnsi"/>
                </w:rPr>
                <w:tag w:val="goog_rdk_253"/>
                <w:id w:val="-600950069"/>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Scale-down</w:t>
            </w:r>
          </w:p>
        </w:tc>
      </w:tr>
      <w:tr w:rsidR="00517B6B" w:rsidRPr="002C2C75" w14:paraId="640F4BFB" w14:textId="77777777" w:rsidTr="00C0707E">
        <w:trPr>
          <w:cantSplit/>
        </w:trPr>
        <w:tc>
          <w:tcPr>
            <w:tcW w:w="2605" w:type="dxa"/>
          </w:tcPr>
          <w:p w14:paraId="0866B226" w14:textId="77777777" w:rsidR="00517B6B" w:rsidRPr="00517B6B" w:rsidRDefault="00517B6B" w:rsidP="00517B6B">
            <w:pPr>
              <w:pBdr>
                <w:top w:val="nil"/>
                <w:left w:val="nil"/>
                <w:bottom w:val="nil"/>
                <w:right w:val="nil"/>
                <w:between w:val="nil"/>
              </w:pBdr>
              <w:spacing w:line="264" w:lineRule="auto"/>
              <w:rPr>
                <w:rFonts w:cstheme="minorHAnsi"/>
                <w:b/>
                <w:bCs/>
                <w:color w:val="000000"/>
              </w:rPr>
            </w:pPr>
            <w:r w:rsidRPr="00517B6B">
              <w:rPr>
                <w:rFonts w:cstheme="minorHAnsi"/>
                <w:b/>
                <w:bCs/>
                <w:color w:val="000000"/>
              </w:rPr>
              <w:t>Population, geographies and/or barriers addressed</w:t>
            </w:r>
          </w:p>
        </w:tc>
        <w:tc>
          <w:tcPr>
            <w:tcW w:w="12600" w:type="dxa"/>
          </w:tcPr>
          <w:p w14:paraId="49ECFC92" w14:textId="77777777" w:rsidR="007D3B14" w:rsidRPr="007D3B14" w:rsidRDefault="007D3B14" w:rsidP="007D3B14">
            <w:pPr>
              <w:pBdr>
                <w:top w:val="nil"/>
                <w:left w:val="nil"/>
                <w:bottom w:val="nil"/>
                <w:right w:val="nil"/>
                <w:between w:val="nil"/>
              </w:pBdr>
              <w:spacing w:line="264" w:lineRule="auto"/>
              <w:jc w:val="both"/>
              <w:rPr>
                <w:rFonts w:cstheme="minorHAnsi"/>
                <w:color w:val="000000"/>
              </w:rPr>
            </w:pPr>
            <w:r w:rsidRPr="007D3B14">
              <w:rPr>
                <w:rFonts w:cstheme="minorHAnsi"/>
                <w:color w:val="000000"/>
              </w:rPr>
              <w:t>To reduce the risk of biological exposure within the clinical laboratories, the sector will acquire and supply biosafety equipment such as biosafety signs and booths, protective and emergency equipment, maintenance equipment, etc., and train health professionals in its use and to deal with any cases of accident.</w:t>
            </w:r>
          </w:p>
          <w:p w14:paraId="66CD10ED" w14:textId="23A240D0" w:rsidR="00517B6B" w:rsidRPr="002C2C75" w:rsidRDefault="007D3B14" w:rsidP="007D3B14">
            <w:pPr>
              <w:pBdr>
                <w:top w:val="nil"/>
                <w:left w:val="nil"/>
                <w:bottom w:val="nil"/>
                <w:right w:val="nil"/>
                <w:between w:val="nil"/>
              </w:pBdr>
              <w:spacing w:line="264" w:lineRule="auto"/>
              <w:jc w:val="both"/>
              <w:rPr>
                <w:rFonts w:cstheme="minorHAnsi"/>
                <w:color w:val="000000"/>
              </w:rPr>
            </w:pPr>
            <w:r w:rsidRPr="007D3B14">
              <w:rPr>
                <w:rFonts w:cstheme="minorHAnsi"/>
                <w:color w:val="000000"/>
              </w:rPr>
              <w:t>Due to the poor quality of services for checking and maintaining laboratory equipment and instruments and the high costs of contracting services to guarantee the full functioning of these instruments and equipment, the sector intends to create capacity for professionalized assistance within MISAU. For this purpose, regional reference centers will be established in the south (MISAU), center (Sofala) and north (Nampula) of the country by providing trained personnel and equipping the maintenance sectors.</w:t>
            </w:r>
          </w:p>
        </w:tc>
      </w:tr>
      <w:tr w:rsidR="00517B6B" w:rsidRPr="002C2C75" w14:paraId="0425BA9B" w14:textId="77777777" w:rsidTr="00C0707E">
        <w:trPr>
          <w:cantSplit/>
        </w:trPr>
        <w:tc>
          <w:tcPr>
            <w:tcW w:w="2605" w:type="dxa"/>
          </w:tcPr>
          <w:p w14:paraId="39E2CE00" w14:textId="220AF3D8" w:rsidR="00517B6B" w:rsidRPr="00517B6B" w:rsidRDefault="00517B6B" w:rsidP="00517B6B">
            <w:pPr>
              <w:pBdr>
                <w:top w:val="nil"/>
                <w:left w:val="nil"/>
                <w:bottom w:val="nil"/>
                <w:right w:val="nil"/>
                <w:between w:val="nil"/>
              </w:pBdr>
              <w:spacing w:line="264" w:lineRule="auto"/>
              <w:rPr>
                <w:rFonts w:cstheme="minorHAnsi"/>
                <w:b/>
                <w:bCs/>
                <w:color w:val="000000"/>
              </w:rPr>
            </w:pPr>
            <w:r w:rsidRPr="00517B6B">
              <w:rPr>
                <w:rFonts w:cstheme="minorHAnsi"/>
                <w:b/>
                <w:bCs/>
                <w:color w:val="000000"/>
              </w:rPr>
              <w:t>List of activities</w:t>
            </w:r>
          </w:p>
        </w:tc>
        <w:tc>
          <w:tcPr>
            <w:tcW w:w="12600" w:type="dxa"/>
          </w:tcPr>
          <w:p w14:paraId="6E3AAC34" w14:textId="77777777" w:rsidR="007D3B14" w:rsidRPr="007D3B14" w:rsidRDefault="007D3B14" w:rsidP="007D3B14">
            <w:pPr>
              <w:keepNext/>
              <w:numPr>
                <w:ilvl w:val="0"/>
                <w:numId w:val="61"/>
              </w:numPr>
              <w:pBdr>
                <w:top w:val="nil"/>
                <w:left w:val="nil"/>
                <w:bottom w:val="nil"/>
                <w:right w:val="nil"/>
                <w:between w:val="nil"/>
              </w:pBdr>
              <w:spacing w:before="60" w:after="0" w:line="264" w:lineRule="auto"/>
              <w:ind w:right="57"/>
              <w:rPr>
                <w:rFonts w:cstheme="minorHAnsi"/>
                <w:color w:val="000000"/>
              </w:rPr>
            </w:pPr>
            <w:r w:rsidRPr="007D3B14">
              <w:rPr>
                <w:rFonts w:cstheme="minorHAnsi"/>
                <w:color w:val="000000"/>
              </w:rPr>
              <w:t>Make biosafety, bioprotection and emergency equipment available to clinical laboratories</w:t>
            </w:r>
          </w:p>
          <w:p w14:paraId="5BED2D8B" w14:textId="77777777" w:rsidR="007D3B14" w:rsidRPr="007D3B14" w:rsidRDefault="007D3B14" w:rsidP="007D3B14">
            <w:pPr>
              <w:keepNext/>
              <w:numPr>
                <w:ilvl w:val="0"/>
                <w:numId w:val="61"/>
              </w:numPr>
              <w:pBdr>
                <w:top w:val="nil"/>
                <w:left w:val="nil"/>
                <w:bottom w:val="nil"/>
                <w:right w:val="nil"/>
                <w:between w:val="nil"/>
              </w:pBdr>
              <w:spacing w:before="60" w:after="0" w:line="264" w:lineRule="auto"/>
              <w:ind w:right="57"/>
              <w:rPr>
                <w:rFonts w:cstheme="minorHAnsi"/>
                <w:color w:val="000000"/>
              </w:rPr>
            </w:pPr>
            <w:r w:rsidRPr="007D3B14">
              <w:rPr>
                <w:rFonts w:cstheme="minorHAnsi"/>
                <w:color w:val="000000"/>
              </w:rPr>
              <w:t>Acquire laboratory equipment and respective accessories and spare parts</w:t>
            </w:r>
          </w:p>
          <w:p w14:paraId="04054ECE" w14:textId="77777777" w:rsidR="00517B6B" w:rsidRDefault="00517B6B" w:rsidP="00517B6B">
            <w:pPr>
              <w:pBdr>
                <w:top w:val="nil"/>
                <w:left w:val="nil"/>
                <w:bottom w:val="nil"/>
                <w:right w:val="nil"/>
                <w:between w:val="nil"/>
              </w:pBdr>
              <w:spacing w:after="0" w:line="264" w:lineRule="auto"/>
              <w:rPr>
                <w:rFonts w:cstheme="minorHAnsi"/>
                <w:b/>
                <w:bCs/>
                <w:color w:val="000000"/>
              </w:rPr>
            </w:pPr>
          </w:p>
          <w:p w14:paraId="6DB64298" w14:textId="60825BB6" w:rsidR="00517B6B" w:rsidRPr="002C2C75" w:rsidRDefault="00517B6B" w:rsidP="00517B6B">
            <w:pPr>
              <w:pBdr>
                <w:top w:val="nil"/>
                <w:left w:val="nil"/>
                <w:bottom w:val="nil"/>
                <w:right w:val="nil"/>
                <w:between w:val="nil"/>
              </w:pBdr>
              <w:spacing w:after="0" w:line="264" w:lineRule="auto"/>
              <w:rPr>
                <w:rFonts w:cstheme="minorHAnsi"/>
                <w:color w:val="000000"/>
              </w:rPr>
            </w:pPr>
            <w:r>
              <w:rPr>
                <w:rFonts w:cstheme="minorHAnsi"/>
                <w:b/>
                <w:bCs/>
                <w:color w:val="000000"/>
              </w:rPr>
              <w:t xml:space="preserve">PAAR: </w:t>
            </w:r>
            <w:r w:rsidRPr="00AB709E">
              <w:rPr>
                <w:rFonts w:cstheme="minorHAnsi"/>
                <w:color w:val="000000"/>
              </w:rPr>
              <w:t>Revitalize the equipment maintenance sector in the National Health Service</w:t>
            </w:r>
          </w:p>
        </w:tc>
      </w:tr>
      <w:tr w:rsidR="00517B6B" w:rsidRPr="002C2C75" w14:paraId="5C4D1D4A" w14:textId="77777777" w:rsidTr="00C0707E">
        <w:trPr>
          <w:cantSplit/>
        </w:trPr>
        <w:tc>
          <w:tcPr>
            <w:tcW w:w="2605" w:type="dxa"/>
          </w:tcPr>
          <w:p w14:paraId="367489AD" w14:textId="77777777" w:rsidR="00517B6B" w:rsidRPr="00517B6B" w:rsidRDefault="00517B6B" w:rsidP="00517B6B">
            <w:pPr>
              <w:pBdr>
                <w:top w:val="nil"/>
                <w:left w:val="nil"/>
                <w:bottom w:val="nil"/>
                <w:right w:val="nil"/>
                <w:between w:val="nil"/>
              </w:pBdr>
              <w:spacing w:line="264" w:lineRule="auto"/>
              <w:rPr>
                <w:rFonts w:cstheme="minorHAnsi"/>
                <w:b/>
                <w:bCs/>
                <w:color w:val="000000"/>
              </w:rPr>
            </w:pPr>
            <w:r w:rsidRPr="00517B6B">
              <w:rPr>
                <w:rFonts w:cstheme="minorHAnsi"/>
                <w:b/>
                <w:bCs/>
                <w:color w:val="000000"/>
              </w:rPr>
              <w:t>Amount requested</w:t>
            </w:r>
          </w:p>
        </w:tc>
        <w:tc>
          <w:tcPr>
            <w:tcW w:w="12600" w:type="dxa"/>
          </w:tcPr>
          <w:p w14:paraId="256639A4" w14:textId="77777777" w:rsidR="00517B6B" w:rsidRDefault="00517B6B" w:rsidP="00517B6B">
            <w:pPr>
              <w:rPr>
                <w:rFonts w:cstheme="minorHAnsi"/>
                <w:b/>
                <w:bCs/>
              </w:rPr>
            </w:pPr>
            <w:r w:rsidRPr="002C2C75">
              <w:rPr>
                <w:rFonts w:cstheme="minorHAnsi"/>
                <w:b/>
                <w:bCs/>
              </w:rPr>
              <w:t>Within allocation: $550,750</w:t>
            </w:r>
          </w:p>
          <w:p w14:paraId="39E9E042" w14:textId="2EA9CC23" w:rsidR="00517B6B" w:rsidRPr="00AB709E" w:rsidRDefault="00517B6B" w:rsidP="00517B6B">
            <w:pPr>
              <w:rPr>
                <w:rFonts w:cstheme="minorHAnsi"/>
                <w:b/>
                <w:bCs/>
              </w:rPr>
            </w:pPr>
            <w:r w:rsidRPr="00AB709E">
              <w:rPr>
                <w:rFonts w:cstheme="minorHAnsi"/>
                <w:b/>
                <w:bCs/>
              </w:rPr>
              <w:t>PAAR</w:t>
            </w:r>
            <w:r>
              <w:rPr>
                <w:rFonts w:cstheme="minorHAnsi"/>
                <w:b/>
                <w:bCs/>
              </w:rPr>
              <w:t>: $3,973,500</w:t>
            </w:r>
          </w:p>
        </w:tc>
      </w:tr>
      <w:tr w:rsidR="00517B6B" w:rsidRPr="002C2C75" w14:paraId="041E8517" w14:textId="77777777" w:rsidTr="00C0707E">
        <w:trPr>
          <w:cantSplit/>
        </w:trPr>
        <w:tc>
          <w:tcPr>
            <w:tcW w:w="2605" w:type="dxa"/>
          </w:tcPr>
          <w:p w14:paraId="6B27F242" w14:textId="44DF1C52" w:rsidR="00517B6B" w:rsidRPr="00517B6B" w:rsidRDefault="00517B6B" w:rsidP="00517B6B">
            <w:pPr>
              <w:pBdr>
                <w:top w:val="nil"/>
                <w:left w:val="nil"/>
                <w:bottom w:val="nil"/>
                <w:right w:val="nil"/>
                <w:between w:val="nil"/>
              </w:pBdr>
              <w:spacing w:line="264" w:lineRule="auto"/>
              <w:rPr>
                <w:rFonts w:cstheme="minorHAnsi"/>
                <w:b/>
                <w:bCs/>
                <w:color w:val="000000"/>
              </w:rPr>
            </w:pPr>
            <w:r w:rsidRPr="00517B6B">
              <w:rPr>
                <w:rFonts w:cstheme="minorHAnsi"/>
                <w:b/>
                <w:bCs/>
                <w:color w:val="000000"/>
              </w:rPr>
              <w:t>Expected outcome</w:t>
            </w:r>
          </w:p>
        </w:tc>
        <w:tc>
          <w:tcPr>
            <w:tcW w:w="12600" w:type="dxa"/>
          </w:tcPr>
          <w:p w14:paraId="125C757D" w14:textId="77777777" w:rsidR="00517B6B" w:rsidRDefault="00517B6B" w:rsidP="00517B6B">
            <w:pPr>
              <w:numPr>
                <w:ilvl w:val="0"/>
                <w:numId w:val="61"/>
              </w:numPr>
              <w:pBdr>
                <w:top w:val="nil"/>
                <w:left w:val="nil"/>
                <w:bottom w:val="nil"/>
                <w:right w:val="nil"/>
                <w:between w:val="nil"/>
              </w:pBdr>
              <w:spacing w:after="0" w:line="264" w:lineRule="auto"/>
              <w:rPr>
                <w:rFonts w:cstheme="minorHAnsi"/>
                <w:color w:val="000000"/>
              </w:rPr>
            </w:pPr>
            <w:r w:rsidRPr="002C2C75">
              <w:rPr>
                <w:rFonts w:cstheme="minorHAnsi"/>
                <w:color w:val="000000"/>
              </w:rPr>
              <w:t xml:space="preserve">Reduced risk of exposure to hazardous agents in clinical laboratories, including availability of protective equipment for accident cases </w:t>
            </w:r>
          </w:p>
          <w:p w14:paraId="7685BFDD" w14:textId="58175674" w:rsidR="00517B6B" w:rsidRPr="00517B6B" w:rsidRDefault="00517B6B" w:rsidP="00517B6B">
            <w:pPr>
              <w:numPr>
                <w:ilvl w:val="0"/>
                <w:numId w:val="61"/>
              </w:numPr>
              <w:pBdr>
                <w:top w:val="nil"/>
                <w:left w:val="nil"/>
                <w:bottom w:val="nil"/>
                <w:right w:val="nil"/>
                <w:between w:val="nil"/>
              </w:pBdr>
              <w:spacing w:after="0" w:line="264" w:lineRule="auto"/>
              <w:rPr>
                <w:rFonts w:cstheme="minorHAnsi"/>
                <w:color w:val="000000"/>
              </w:rPr>
            </w:pPr>
            <w:r w:rsidRPr="00517B6B">
              <w:rPr>
                <w:rFonts w:cstheme="minorHAnsi"/>
                <w:color w:val="000000"/>
              </w:rPr>
              <w:t>Ensured the continuous functionality of laboratory equipment</w:t>
            </w:r>
          </w:p>
        </w:tc>
      </w:tr>
      <w:tr w:rsidR="00517B6B" w:rsidRPr="002C2C75" w14:paraId="673649E1" w14:textId="77777777" w:rsidTr="00C0707E">
        <w:trPr>
          <w:cantSplit/>
        </w:trPr>
        <w:tc>
          <w:tcPr>
            <w:tcW w:w="2605" w:type="dxa"/>
          </w:tcPr>
          <w:p w14:paraId="1508BF74" w14:textId="2AC21595" w:rsidR="00517B6B" w:rsidRPr="002C2C75" w:rsidRDefault="00517B6B" w:rsidP="00517B6B">
            <w:pPr>
              <w:pBdr>
                <w:top w:val="nil"/>
                <w:left w:val="nil"/>
                <w:bottom w:val="nil"/>
                <w:right w:val="nil"/>
                <w:between w:val="nil"/>
              </w:pBdr>
              <w:spacing w:line="264" w:lineRule="auto"/>
              <w:rPr>
                <w:rFonts w:cstheme="minorHAnsi"/>
                <w:b/>
                <w:bCs/>
                <w:i/>
                <w:iCs/>
                <w:color w:val="000000"/>
              </w:rPr>
            </w:pPr>
            <w:r w:rsidRPr="002C2C75">
              <w:rPr>
                <w:rFonts w:cstheme="minorHAnsi"/>
                <w:b/>
                <w:bCs/>
                <w:i/>
                <w:iCs/>
                <w:color w:val="000000"/>
              </w:rPr>
              <w:t>MODULE 11 TOTAL</w:t>
            </w:r>
          </w:p>
        </w:tc>
        <w:tc>
          <w:tcPr>
            <w:tcW w:w="12600" w:type="dxa"/>
          </w:tcPr>
          <w:p w14:paraId="0B50E4C4" w14:textId="77777777" w:rsidR="00517B6B" w:rsidRDefault="00517B6B" w:rsidP="00517B6B">
            <w:pPr>
              <w:rPr>
                <w:rFonts w:cstheme="minorHAnsi"/>
                <w:i/>
                <w:iCs/>
              </w:rPr>
            </w:pPr>
            <w:r w:rsidRPr="002C2C75">
              <w:rPr>
                <w:rFonts w:cstheme="minorHAnsi"/>
                <w:i/>
                <w:iCs/>
              </w:rPr>
              <w:t>Within allocation: $6,337,058</w:t>
            </w:r>
          </w:p>
          <w:p w14:paraId="0BA58043" w14:textId="53ECC7B5" w:rsidR="00517B6B" w:rsidRPr="002C2C75" w:rsidRDefault="00517B6B" w:rsidP="00517B6B">
            <w:pPr>
              <w:rPr>
                <w:rFonts w:cstheme="minorHAnsi"/>
                <w:i/>
                <w:iCs/>
              </w:rPr>
            </w:pPr>
            <w:r>
              <w:rPr>
                <w:rFonts w:cstheme="minorHAnsi"/>
                <w:i/>
                <w:iCs/>
              </w:rPr>
              <w:t>PAAR: $3,973,500</w:t>
            </w:r>
          </w:p>
        </w:tc>
      </w:tr>
      <w:tr w:rsidR="00517B6B" w:rsidRPr="002C2C75" w14:paraId="4CCE1D4F" w14:textId="77777777" w:rsidTr="007D3B14">
        <w:trPr>
          <w:cantSplit/>
        </w:trPr>
        <w:tc>
          <w:tcPr>
            <w:tcW w:w="2605" w:type="dxa"/>
          </w:tcPr>
          <w:p w14:paraId="568B2F1E" w14:textId="62AD5E0F" w:rsidR="00517B6B" w:rsidRPr="002C2C75" w:rsidRDefault="00517B6B" w:rsidP="00517B6B">
            <w:pPr>
              <w:pBdr>
                <w:top w:val="nil"/>
                <w:left w:val="nil"/>
                <w:bottom w:val="nil"/>
                <w:right w:val="nil"/>
                <w:between w:val="nil"/>
              </w:pBdr>
              <w:spacing w:line="264" w:lineRule="auto"/>
              <w:rPr>
                <w:rFonts w:cstheme="minorHAnsi"/>
                <w:b/>
                <w:bCs/>
                <w:color w:val="000000"/>
              </w:rPr>
            </w:pPr>
            <w:r w:rsidRPr="002C2C75">
              <w:rPr>
                <w:rFonts w:cstheme="minorHAnsi"/>
                <w:b/>
                <w:bCs/>
                <w:color w:val="000000"/>
              </w:rPr>
              <w:t>MODULE 12</w:t>
            </w:r>
          </w:p>
        </w:tc>
        <w:tc>
          <w:tcPr>
            <w:tcW w:w="12600" w:type="dxa"/>
          </w:tcPr>
          <w:p w14:paraId="349B81C4" w14:textId="6D36BEAC" w:rsidR="00517B6B" w:rsidRPr="002C2C75" w:rsidRDefault="00517B6B" w:rsidP="00517B6B">
            <w:pPr>
              <w:pBdr>
                <w:top w:val="nil"/>
                <w:left w:val="nil"/>
                <w:bottom w:val="nil"/>
                <w:right w:val="nil"/>
                <w:between w:val="nil"/>
              </w:pBdr>
              <w:spacing w:line="264" w:lineRule="auto"/>
              <w:rPr>
                <w:rFonts w:cstheme="minorHAnsi"/>
                <w:b/>
                <w:color w:val="000000"/>
                <w:u w:val="single"/>
              </w:rPr>
            </w:pPr>
            <w:r w:rsidRPr="002C2C75">
              <w:rPr>
                <w:rFonts w:cstheme="minorHAnsi"/>
                <w:b/>
                <w:color w:val="000000"/>
              </w:rPr>
              <w:t>Monitoring and Evaluation Systems (</w:t>
            </w:r>
            <w:r w:rsidRPr="002C2C75">
              <w:rPr>
                <w:rFonts w:cstheme="minorHAnsi"/>
                <w:b/>
                <w:color w:val="000000"/>
                <w:u w:val="single"/>
              </w:rPr>
              <w:t>cross-cutting M&amp;E)</w:t>
            </w:r>
          </w:p>
        </w:tc>
      </w:tr>
      <w:tr w:rsidR="00517B6B" w:rsidRPr="002C2C75" w14:paraId="4667A57C" w14:textId="77777777" w:rsidTr="007D3B14">
        <w:trPr>
          <w:cantSplit/>
        </w:trPr>
        <w:tc>
          <w:tcPr>
            <w:tcW w:w="2605" w:type="dxa"/>
          </w:tcPr>
          <w:p w14:paraId="1A474920" w14:textId="29B187E0" w:rsidR="00517B6B" w:rsidRPr="00FE5653" w:rsidRDefault="00517B6B" w:rsidP="00517B6B">
            <w:pPr>
              <w:pBdr>
                <w:top w:val="nil"/>
                <w:left w:val="nil"/>
                <w:bottom w:val="nil"/>
                <w:right w:val="nil"/>
                <w:between w:val="nil"/>
              </w:pBdr>
              <w:spacing w:line="264" w:lineRule="auto"/>
              <w:rPr>
                <w:rFonts w:cstheme="minorHAnsi"/>
                <w:b/>
                <w:bCs/>
                <w:color w:val="000000"/>
              </w:rPr>
            </w:pPr>
            <w:r w:rsidRPr="00FE5653">
              <w:rPr>
                <w:rFonts w:cstheme="minorHAnsi"/>
                <w:b/>
                <w:bCs/>
                <w:color w:val="000000"/>
              </w:rPr>
              <w:t xml:space="preserve">Intervention(s) </w:t>
            </w:r>
          </w:p>
        </w:tc>
        <w:tc>
          <w:tcPr>
            <w:tcW w:w="12600" w:type="dxa"/>
          </w:tcPr>
          <w:p w14:paraId="469A438B" w14:textId="5F1E550C" w:rsidR="00517B6B" w:rsidRPr="00FE5653" w:rsidRDefault="00FE5653" w:rsidP="00517B6B">
            <w:pPr>
              <w:pBdr>
                <w:top w:val="nil"/>
                <w:left w:val="nil"/>
                <w:bottom w:val="nil"/>
                <w:right w:val="nil"/>
                <w:between w:val="nil"/>
              </w:pBdr>
              <w:spacing w:line="264" w:lineRule="auto"/>
              <w:rPr>
                <w:rFonts w:cstheme="minorHAnsi"/>
                <w:color w:val="000000"/>
              </w:rPr>
            </w:pPr>
            <w:r>
              <w:rPr>
                <w:rFonts w:cstheme="minorHAnsi"/>
                <w:b/>
                <w:bCs/>
                <w:color w:val="000000"/>
              </w:rPr>
              <w:t xml:space="preserve">Intervention: </w:t>
            </w:r>
            <w:r w:rsidR="00517B6B" w:rsidRPr="00FE5653">
              <w:rPr>
                <w:rFonts w:cstheme="minorHAnsi"/>
                <w:color w:val="000000"/>
              </w:rPr>
              <w:t xml:space="preserve">Routine reporting </w:t>
            </w:r>
          </w:p>
          <w:p w14:paraId="3BCD19E8" w14:textId="73BBBAB6" w:rsidR="00517B6B" w:rsidRPr="002C2C75" w:rsidRDefault="00517B6B" w:rsidP="00FE5653">
            <w:pPr>
              <w:pBdr>
                <w:top w:val="nil"/>
                <w:left w:val="nil"/>
                <w:bottom w:val="nil"/>
                <w:right w:val="nil"/>
                <w:between w:val="nil"/>
              </w:pBdr>
              <w:spacing w:line="264" w:lineRule="auto"/>
              <w:rPr>
                <w:rFonts w:cstheme="minorHAnsi"/>
                <w:color w:val="000000"/>
              </w:rPr>
            </w:pPr>
            <w:r w:rsidRPr="00FE5653">
              <w:rPr>
                <w:rFonts w:cstheme="minorHAnsi"/>
                <w:color w:val="000000"/>
              </w:rPr>
              <w:t>Change in Pro</w:t>
            </w:r>
            <w:r w:rsidRPr="002C2C75">
              <w:rPr>
                <w:rFonts w:cstheme="minorHAnsi"/>
                <w:color w:val="000000"/>
              </w:rPr>
              <w:t xml:space="preserve">gramming from current grant: </w:t>
            </w:r>
            <w:sdt>
              <w:sdtPr>
                <w:rPr>
                  <w:rFonts w:cstheme="minorHAnsi"/>
                </w:rPr>
                <w:tag w:val="goog_rdk_254"/>
                <w:id w:val="607782688"/>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New, </w:t>
            </w:r>
            <w:r w:rsidRPr="002C2C75">
              <w:rPr>
                <w:rFonts w:ascii="Segoe UI Symbol" w:eastAsia="Arial Unicode MS" w:hAnsi="Segoe UI Symbol" w:cs="Segoe UI Symbol"/>
                <w:color w:val="000000"/>
              </w:rPr>
              <w:t>☐</w:t>
            </w:r>
            <w:r w:rsidRPr="002C2C75">
              <w:rPr>
                <w:rFonts w:cstheme="minorHAnsi"/>
                <w:color w:val="000000"/>
              </w:rPr>
              <w:t xml:space="preserve"> Scale-up, </w:t>
            </w:r>
            <w:sdt>
              <w:sdtPr>
                <w:rPr>
                  <w:rFonts w:cstheme="minorHAnsi"/>
                </w:rPr>
                <w:tag w:val="goog_rdk_256"/>
                <w:id w:val="393634682"/>
              </w:sdtPr>
              <w:sdtContent>
                <w:sdt>
                  <w:sdtPr>
                    <w:rPr>
                      <w:rFonts w:cstheme="minorHAnsi"/>
                    </w:rPr>
                    <w:tag w:val="goog_rdk_238"/>
                    <w:id w:val="-466733999"/>
                  </w:sdtPr>
                  <w:sdtContent>
                    <w:r w:rsidR="00FE5653" w:rsidRPr="002C2C75">
                      <w:rPr>
                        <w:rFonts w:ascii="Segoe UI Symbol" w:eastAsia="Arial Unicode MS" w:hAnsi="Segoe UI Symbol" w:cs="Segoe UI Symbol"/>
                        <w:color w:val="000000"/>
                      </w:rPr>
                      <w:t>☒</w:t>
                    </w:r>
                  </w:sdtContent>
                </w:sdt>
              </w:sdtContent>
            </w:sdt>
            <w:r w:rsidRPr="002C2C75">
              <w:rPr>
                <w:rFonts w:cstheme="minorHAnsi"/>
                <w:color w:val="000000"/>
              </w:rPr>
              <w:t xml:space="preserve"> Continuation, or </w:t>
            </w:r>
            <w:sdt>
              <w:sdtPr>
                <w:rPr>
                  <w:rFonts w:cstheme="minorHAnsi"/>
                </w:rPr>
                <w:tag w:val="goog_rdk_257"/>
                <w:id w:val="-1546208299"/>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Scale-down </w:t>
            </w:r>
          </w:p>
        </w:tc>
      </w:tr>
      <w:tr w:rsidR="00036B0D" w:rsidRPr="002C2C75" w14:paraId="2176E99B" w14:textId="77777777" w:rsidTr="007D3B14">
        <w:trPr>
          <w:cantSplit/>
        </w:trPr>
        <w:tc>
          <w:tcPr>
            <w:tcW w:w="2605" w:type="dxa"/>
          </w:tcPr>
          <w:p w14:paraId="20B90C87" w14:textId="3358B4A1" w:rsidR="00036B0D" w:rsidRPr="00FE5653" w:rsidRDefault="00BA6C77" w:rsidP="00517B6B">
            <w:pPr>
              <w:pBdr>
                <w:top w:val="nil"/>
                <w:left w:val="nil"/>
                <w:bottom w:val="nil"/>
                <w:right w:val="nil"/>
                <w:between w:val="nil"/>
              </w:pBdr>
              <w:spacing w:line="264" w:lineRule="auto"/>
              <w:rPr>
                <w:rFonts w:cstheme="minorHAnsi"/>
                <w:b/>
                <w:bCs/>
                <w:color w:val="000000"/>
              </w:rPr>
            </w:pPr>
            <w:r w:rsidRPr="00FE5653">
              <w:rPr>
                <w:rFonts w:cstheme="minorHAnsi"/>
                <w:b/>
                <w:bCs/>
                <w:color w:val="000000"/>
              </w:rPr>
              <w:t>Population, geographies and/or barriers addressed</w:t>
            </w:r>
          </w:p>
        </w:tc>
        <w:tc>
          <w:tcPr>
            <w:tcW w:w="12600" w:type="dxa"/>
          </w:tcPr>
          <w:p w14:paraId="41B7AA93" w14:textId="77777777" w:rsidR="00BA6C77" w:rsidRPr="007D3B14" w:rsidRDefault="00BA6C77" w:rsidP="00BA6C77">
            <w:pPr>
              <w:pBdr>
                <w:top w:val="nil"/>
                <w:left w:val="nil"/>
                <w:bottom w:val="nil"/>
                <w:right w:val="nil"/>
                <w:between w:val="nil"/>
              </w:pBdr>
              <w:spacing w:afterLines="60" w:after="144" w:line="264" w:lineRule="auto"/>
              <w:jc w:val="both"/>
              <w:rPr>
                <w:rFonts w:cstheme="minorHAnsi"/>
                <w:color w:val="000000"/>
              </w:rPr>
            </w:pPr>
            <w:r w:rsidRPr="007D3B14">
              <w:rPr>
                <w:rFonts w:cstheme="minorHAnsi"/>
                <w:color w:val="000000"/>
              </w:rPr>
              <w:t>The lack of clear guidelines to guide the development of M&amp;E and health information systems of the National Health Sector, combined with the vertical nature of both health service management and health system supporting areas, contributes to the proliferation of M&amp;E and HIS mechanisms and processes. This burdens frontline service providers with data collection and reporting at the expense of data quality and service delivery. For example, a 2018 time and motion study of frontline health workers found that HCW nurses and MCH nurses spent more than 14.6 and 15.4 hours per month on data collection. This also contributes to interoperability issues between the HIS and subsystems, which hinder essential data analyzes and use. The fragmented nature of electronic health information systems mainly managed by implementing partners aggravates HTM programmatic challenges and undermines MISAU’s ability to use data for strategic decision-making. This is also hampered by the limited ability to analyze and interpret data for decision-making at all levels of the NHS.</w:t>
            </w:r>
          </w:p>
          <w:p w14:paraId="3E17A9C3" w14:textId="77777777" w:rsidR="00BA6C77" w:rsidRPr="007D3B14" w:rsidRDefault="00BA6C77" w:rsidP="00BA6C77">
            <w:pPr>
              <w:pBdr>
                <w:top w:val="nil"/>
                <w:left w:val="nil"/>
                <w:bottom w:val="nil"/>
                <w:right w:val="nil"/>
                <w:between w:val="nil"/>
              </w:pBdr>
              <w:spacing w:afterLines="60" w:after="144" w:line="264" w:lineRule="auto"/>
              <w:jc w:val="both"/>
              <w:rPr>
                <w:rFonts w:cstheme="minorHAnsi"/>
                <w:color w:val="000000"/>
              </w:rPr>
            </w:pPr>
            <w:r w:rsidRPr="007D3B14">
              <w:rPr>
                <w:rFonts w:cstheme="minorHAnsi"/>
                <w:color w:val="000000"/>
              </w:rPr>
              <w:t>Despite the country having made headway in the expansion and scale-up of SISMA as the preferred main system for aggregated data reporting, this has not resolved the continued challenge of multiple verticalized and not integrated systems on the ground with most of them still manual and paper-based which has had a significant impact on data quality. To tackle these challenges, the Ministry of Health intends to gradually digitalize the health services (integrated rather than parallel) at PHC facility level and ensure the interoperability of SISMA (DHIS2) with other existing data systems.</w:t>
            </w:r>
          </w:p>
          <w:p w14:paraId="2CD867F2" w14:textId="77777777" w:rsidR="00BA6C77" w:rsidRPr="007D3B14" w:rsidRDefault="00BA6C77" w:rsidP="00BA6C77">
            <w:pPr>
              <w:pBdr>
                <w:top w:val="nil"/>
                <w:left w:val="nil"/>
                <w:bottom w:val="nil"/>
                <w:right w:val="nil"/>
                <w:between w:val="nil"/>
              </w:pBdr>
              <w:spacing w:afterLines="60" w:after="144" w:line="264" w:lineRule="auto"/>
              <w:jc w:val="both"/>
              <w:rPr>
                <w:rFonts w:cstheme="minorHAnsi"/>
                <w:color w:val="000000"/>
              </w:rPr>
            </w:pPr>
            <w:r w:rsidRPr="007D3B14">
              <w:rPr>
                <w:rFonts w:cstheme="minorHAnsi"/>
                <w:color w:val="000000"/>
              </w:rPr>
              <w:t>To achieve the digitalization, it is important to have an Information and Communication Technology infrastructure for the SNS data network, including internet connectivity, and computer equipment is essential to facilitate access and transmission of data/information. The availability of computational resources, with facilities and simplicity for installation; has contributed to transforming the information generation process, reducing costs, making processes flexible and improving management processes.</w:t>
            </w:r>
          </w:p>
          <w:p w14:paraId="76226B2F" w14:textId="6BB7B76A" w:rsidR="00036B0D" w:rsidRPr="00BA6C77" w:rsidRDefault="00BA6C77" w:rsidP="00BA6C77">
            <w:pPr>
              <w:pBdr>
                <w:top w:val="nil"/>
                <w:left w:val="nil"/>
                <w:bottom w:val="nil"/>
                <w:right w:val="nil"/>
                <w:between w:val="nil"/>
              </w:pBdr>
              <w:spacing w:afterLines="60" w:after="144" w:line="264" w:lineRule="auto"/>
              <w:jc w:val="both"/>
              <w:rPr>
                <w:rFonts w:cstheme="minorHAnsi"/>
                <w:color w:val="000000"/>
              </w:rPr>
            </w:pPr>
            <w:r w:rsidRPr="007D3B14">
              <w:rPr>
                <w:rFonts w:cstheme="minorHAnsi"/>
                <w:color w:val="000000"/>
              </w:rPr>
              <w:t>To ensure ITC system functionality, the sector will expand data network and servers in locations not covered in LAN I and II, allocatie IT devices and equipment for SIS, SIS-H installation, build IT capacity trough hiring dedicated internet services to improve data transmission and online meetings, and expand shared internet and 4G or more in remote HFs. In addition, supportive supervision and training of IT personnel will be conducted to improve productivity and quality IT service, and develop skills for technical assistance in OpenMRS systems and integrated systems for patient tracking and management..</w:t>
            </w:r>
          </w:p>
        </w:tc>
      </w:tr>
      <w:tr w:rsidR="00517B6B" w:rsidRPr="002C2C75" w14:paraId="5AB2EDCF" w14:textId="77777777" w:rsidTr="007D3B14">
        <w:trPr>
          <w:cantSplit/>
        </w:trPr>
        <w:tc>
          <w:tcPr>
            <w:tcW w:w="2605" w:type="dxa"/>
          </w:tcPr>
          <w:p w14:paraId="11445579" w14:textId="3335D5D2" w:rsidR="00517B6B" w:rsidRPr="00FE5653" w:rsidRDefault="00517B6B" w:rsidP="00517B6B">
            <w:pPr>
              <w:pBdr>
                <w:top w:val="nil"/>
                <w:left w:val="nil"/>
                <w:bottom w:val="nil"/>
                <w:right w:val="nil"/>
                <w:between w:val="nil"/>
              </w:pBdr>
              <w:spacing w:line="264" w:lineRule="auto"/>
              <w:rPr>
                <w:rFonts w:cstheme="minorHAnsi"/>
                <w:b/>
                <w:bCs/>
                <w:color w:val="000000"/>
              </w:rPr>
            </w:pPr>
          </w:p>
        </w:tc>
        <w:tc>
          <w:tcPr>
            <w:tcW w:w="12600" w:type="dxa"/>
          </w:tcPr>
          <w:p w14:paraId="4631F8DD" w14:textId="77777777" w:rsidR="007D3B14" w:rsidRPr="007D3B14" w:rsidRDefault="007D3B14" w:rsidP="007D3B14">
            <w:pPr>
              <w:pBdr>
                <w:top w:val="nil"/>
                <w:left w:val="nil"/>
                <w:bottom w:val="nil"/>
                <w:right w:val="nil"/>
                <w:between w:val="nil"/>
              </w:pBdr>
              <w:spacing w:afterLines="60" w:after="144" w:line="264" w:lineRule="auto"/>
              <w:jc w:val="both"/>
              <w:rPr>
                <w:rFonts w:cstheme="minorHAnsi"/>
                <w:color w:val="000000"/>
              </w:rPr>
            </w:pPr>
            <w:r w:rsidRPr="007D3B14">
              <w:rPr>
                <w:rFonts w:cstheme="minorHAnsi"/>
                <w:color w:val="000000"/>
              </w:rPr>
              <w:t>The Community Health Information System is also a priority. The MOH has started the development and harmonization of a routine based community information systems (CHMIS). The main remaining challenge is implementing a standard database for management of community data to avoid duplications (SIS-C, upSCALE formerly known as APE Commcare).</w:t>
            </w:r>
          </w:p>
          <w:p w14:paraId="385CC9B5" w14:textId="0B0B59FB" w:rsidR="00517B6B" w:rsidRPr="002C2C75" w:rsidRDefault="007D3B14" w:rsidP="007D3B14">
            <w:pPr>
              <w:spacing w:afterLines="60" w:after="144" w:line="264" w:lineRule="auto"/>
              <w:jc w:val="both"/>
              <w:rPr>
                <w:rFonts w:cstheme="minorHAnsi"/>
                <w:color w:val="000000"/>
              </w:rPr>
            </w:pPr>
            <w:r w:rsidRPr="007D3B14">
              <w:rPr>
                <w:rFonts w:cstheme="minorHAnsi"/>
                <w:color w:val="000000"/>
              </w:rPr>
              <w:t xml:space="preserve">To ensure the use of health data and the governance of HIS, the MoH has developed and approved the Health Information Policy and Health Information System Policy. These Policies will help to guide the Sector and all stakeholders in the use of data, system mechanisms and processes related to health information. </w:t>
            </w:r>
          </w:p>
        </w:tc>
      </w:tr>
      <w:tr w:rsidR="00517B6B" w:rsidRPr="002C2C75" w14:paraId="17D844CC" w14:textId="77777777" w:rsidTr="007D3B14">
        <w:trPr>
          <w:cantSplit/>
        </w:trPr>
        <w:tc>
          <w:tcPr>
            <w:tcW w:w="2605" w:type="dxa"/>
          </w:tcPr>
          <w:p w14:paraId="1D59FBDD" w14:textId="6045747F" w:rsidR="00517B6B" w:rsidRPr="00FE5653" w:rsidRDefault="00FE5653" w:rsidP="00517B6B">
            <w:pPr>
              <w:pBdr>
                <w:top w:val="nil"/>
                <w:left w:val="nil"/>
                <w:bottom w:val="nil"/>
                <w:right w:val="nil"/>
                <w:between w:val="nil"/>
              </w:pBdr>
              <w:spacing w:line="264" w:lineRule="auto"/>
              <w:rPr>
                <w:rFonts w:cstheme="minorHAnsi"/>
                <w:b/>
                <w:bCs/>
                <w:color w:val="000000"/>
              </w:rPr>
            </w:pPr>
            <w:r w:rsidRPr="00FE5653">
              <w:rPr>
                <w:rFonts w:cstheme="minorHAnsi"/>
                <w:b/>
                <w:bCs/>
                <w:color w:val="000000"/>
              </w:rPr>
              <w:t>List of activities</w:t>
            </w:r>
          </w:p>
        </w:tc>
        <w:tc>
          <w:tcPr>
            <w:tcW w:w="12600" w:type="dxa"/>
          </w:tcPr>
          <w:p w14:paraId="5441ECFB" w14:textId="77777777" w:rsidR="00FE5653" w:rsidRPr="002C2C75" w:rsidRDefault="00FE5653" w:rsidP="00FE5653">
            <w:pPr>
              <w:spacing w:after="0" w:line="264" w:lineRule="auto"/>
              <w:rPr>
                <w:rFonts w:cstheme="minorHAnsi"/>
                <w:color w:val="000000"/>
              </w:rPr>
            </w:pPr>
            <w:r w:rsidRPr="002C2C75">
              <w:rPr>
                <w:rFonts w:cstheme="minorHAnsi"/>
                <w:color w:val="000000"/>
              </w:rPr>
              <w:t>Policy and Documents</w:t>
            </w:r>
          </w:p>
          <w:p w14:paraId="72049BCA" w14:textId="77777777" w:rsidR="007D3B14" w:rsidRPr="007D3B14" w:rsidRDefault="007D3B14" w:rsidP="007D3B14">
            <w:pPr>
              <w:numPr>
                <w:ilvl w:val="0"/>
                <w:numId w:val="61"/>
              </w:numPr>
              <w:spacing w:after="0" w:line="264" w:lineRule="auto"/>
              <w:rPr>
                <w:rFonts w:cstheme="minorHAnsi"/>
                <w:color w:val="000000"/>
              </w:rPr>
            </w:pPr>
            <w:r w:rsidRPr="007D3B14">
              <w:rPr>
                <w:rFonts w:cstheme="minorHAnsi"/>
                <w:color w:val="000000"/>
              </w:rPr>
              <w:t>Develop the Health Sector M&amp;E Strategic and implementation plan</w:t>
            </w:r>
          </w:p>
          <w:p w14:paraId="35D9818E" w14:textId="77777777" w:rsidR="007D3B14" w:rsidRPr="007D3B14" w:rsidRDefault="007D3B14" w:rsidP="007D3B14">
            <w:pPr>
              <w:numPr>
                <w:ilvl w:val="0"/>
                <w:numId w:val="61"/>
              </w:numPr>
              <w:spacing w:after="0" w:line="264" w:lineRule="auto"/>
              <w:rPr>
                <w:rFonts w:cstheme="minorHAnsi"/>
                <w:color w:val="000000"/>
              </w:rPr>
            </w:pPr>
            <w:r w:rsidRPr="007D3B14">
              <w:rPr>
                <w:rFonts w:cstheme="minorHAnsi"/>
                <w:color w:val="000000"/>
              </w:rPr>
              <w:t>Develop policies and guidelines to address the present, and prevent future proliferation and fragmentation of M&amp;A and HIS</w:t>
            </w:r>
          </w:p>
          <w:p w14:paraId="744BF116" w14:textId="77777777" w:rsidR="007D3B14" w:rsidRPr="007D3B14" w:rsidRDefault="007D3B14" w:rsidP="007D3B14">
            <w:pPr>
              <w:numPr>
                <w:ilvl w:val="0"/>
                <w:numId w:val="61"/>
              </w:numPr>
              <w:spacing w:after="0" w:line="264" w:lineRule="auto"/>
              <w:rPr>
                <w:rFonts w:cstheme="minorHAnsi"/>
                <w:color w:val="000000"/>
              </w:rPr>
            </w:pPr>
            <w:r w:rsidRPr="007D3B14">
              <w:rPr>
                <w:rFonts w:cstheme="minorHAnsi"/>
                <w:color w:val="000000"/>
              </w:rPr>
              <w:t>Hold biennial national M&amp;E meetings</w:t>
            </w:r>
          </w:p>
          <w:p w14:paraId="206CC44B" w14:textId="77777777" w:rsidR="007D3B14" w:rsidRPr="007D3B14" w:rsidRDefault="007D3B14" w:rsidP="007D3B14">
            <w:pPr>
              <w:numPr>
                <w:ilvl w:val="0"/>
                <w:numId w:val="61"/>
              </w:numPr>
              <w:spacing w:after="0" w:line="264" w:lineRule="auto"/>
              <w:rPr>
                <w:rFonts w:cstheme="minorHAnsi"/>
                <w:color w:val="000000"/>
              </w:rPr>
            </w:pPr>
            <w:r w:rsidRPr="007D3B14">
              <w:rPr>
                <w:rFonts w:cstheme="minorHAnsi"/>
                <w:color w:val="000000"/>
              </w:rPr>
              <w:t>Disseminate and implement the Health Information Policy and Health Information System Policy</w:t>
            </w:r>
          </w:p>
          <w:p w14:paraId="2594384E" w14:textId="77777777" w:rsidR="00FE5653" w:rsidRPr="002C2C75" w:rsidRDefault="00FE5653" w:rsidP="00FE5653">
            <w:pPr>
              <w:spacing w:after="0" w:line="264" w:lineRule="auto"/>
              <w:rPr>
                <w:rFonts w:cstheme="minorHAnsi"/>
                <w:color w:val="000000"/>
              </w:rPr>
            </w:pPr>
            <w:r w:rsidRPr="002C2C75">
              <w:rPr>
                <w:rFonts w:cstheme="minorHAnsi"/>
                <w:color w:val="000000"/>
              </w:rPr>
              <w:t>Information Technology and Communication</w:t>
            </w:r>
          </w:p>
          <w:p w14:paraId="7BB19AC7" w14:textId="77777777" w:rsidR="007D3B14" w:rsidRPr="007D3B14" w:rsidRDefault="007D3B14" w:rsidP="007D3B14">
            <w:pPr>
              <w:numPr>
                <w:ilvl w:val="0"/>
                <w:numId w:val="61"/>
              </w:numPr>
              <w:spacing w:after="0" w:line="264" w:lineRule="auto"/>
              <w:rPr>
                <w:rFonts w:cstheme="minorHAnsi"/>
                <w:color w:val="000000"/>
              </w:rPr>
            </w:pPr>
            <w:r w:rsidRPr="007D3B14">
              <w:rPr>
                <w:rFonts w:cstheme="minorHAnsi"/>
                <w:color w:val="000000"/>
              </w:rPr>
              <w:t>Expand data network for all Country’s Health Facilities, including MoH data center infrastructure and equipment;</w:t>
            </w:r>
          </w:p>
          <w:p w14:paraId="678BBAC1" w14:textId="77777777" w:rsidR="007D3B14" w:rsidRPr="007D3B14" w:rsidRDefault="007D3B14" w:rsidP="007D3B14">
            <w:pPr>
              <w:numPr>
                <w:ilvl w:val="0"/>
                <w:numId w:val="61"/>
              </w:numPr>
              <w:spacing w:after="0" w:line="264" w:lineRule="auto"/>
              <w:rPr>
                <w:rFonts w:cstheme="minorHAnsi"/>
                <w:color w:val="000000"/>
              </w:rPr>
            </w:pPr>
            <w:r w:rsidRPr="007D3B14">
              <w:rPr>
                <w:rFonts w:cstheme="minorHAnsi"/>
                <w:color w:val="000000"/>
              </w:rPr>
              <w:t>Improve the interoperability of existing health information systems and subsystems to facilitate comparative analysis between different health information systems and subsystems</w:t>
            </w:r>
          </w:p>
          <w:p w14:paraId="7C643035" w14:textId="77777777" w:rsidR="00FE5653" w:rsidRPr="002C2C75" w:rsidRDefault="00FE5653" w:rsidP="00FE5653">
            <w:pPr>
              <w:spacing w:after="0" w:line="264" w:lineRule="auto"/>
              <w:rPr>
                <w:rFonts w:cstheme="minorHAnsi"/>
                <w:color w:val="000000"/>
              </w:rPr>
            </w:pPr>
            <w:r w:rsidRPr="002C2C75">
              <w:rPr>
                <w:rFonts w:cstheme="minorHAnsi"/>
                <w:color w:val="000000"/>
              </w:rPr>
              <w:t xml:space="preserve"> Supportive supervision and training at national and district level</w:t>
            </w:r>
          </w:p>
          <w:p w14:paraId="06BF07DC" w14:textId="77777777" w:rsidR="007D3B14" w:rsidRPr="007D3B14" w:rsidRDefault="007D3B14" w:rsidP="007D3B14">
            <w:pPr>
              <w:keepNext/>
              <w:numPr>
                <w:ilvl w:val="0"/>
                <w:numId w:val="61"/>
              </w:numPr>
              <w:spacing w:after="0" w:line="264" w:lineRule="auto"/>
              <w:ind w:right="57"/>
              <w:rPr>
                <w:rFonts w:cstheme="minorHAnsi"/>
                <w:color w:val="000000"/>
              </w:rPr>
            </w:pPr>
            <w:r w:rsidRPr="007D3B14">
              <w:rPr>
                <w:rFonts w:cstheme="minorHAnsi"/>
                <w:color w:val="000000"/>
              </w:rPr>
              <w:t>Develop and automate the production of important analyses, graphs and dashboards for managers at all levels of the SNS in order to improve the presentation and dissemination of M&amp;E data for decision making;</w:t>
            </w:r>
          </w:p>
          <w:p w14:paraId="699D417C" w14:textId="77777777" w:rsidR="007D3B14" w:rsidRPr="007D3B14" w:rsidRDefault="007D3B14" w:rsidP="007D3B14">
            <w:pPr>
              <w:keepNext/>
              <w:numPr>
                <w:ilvl w:val="0"/>
                <w:numId w:val="61"/>
              </w:numPr>
              <w:spacing w:after="0" w:line="264" w:lineRule="auto"/>
              <w:ind w:right="57"/>
              <w:rPr>
                <w:rFonts w:cstheme="minorHAnsi"/>
                <w:color w:val="000000"/>
              </w:rPr>
            </w:pPr>
            <w:r w:rsidRPr="007D3B14">
              <w:rPr>
                <w:rFonts w:cstheme="minorHAnsi"/>
                <w:color w:val="000000"/>
              </w:rPr>
              <w:t>Improve the data analysis capacity of the M&amp;E teams at all levels of the SNS</w:t>
            </w:r>
          </w:p>
          <w:p w14:paraId="668FB261" w14:textId="283CC8C8" w:rsidR="00FE5653" w:rsidRDefault="007D3B14" w:rsidP="007D3B14">
            <w:pPr>
              <w:keepNext/>
              <w:numPr>
                <w:ilvl w:val="0"/>
                <w:numId w:val="61"/>
              </w:numPr>
              <w:spacing w:after="0" w:line="264" w:lineRule="auto"/>
              <w:ind w:right="57"/>
              <w:rPr>
                <w:rFonts w:cstheme="minorHAnsi"/>
                <w:color w:val="000000"/>
              </w:rPr>
            </w:pPr>
            <w:r w:rsidRPr="007D3B14">
              <w:rPr>
                <w:rFonts w:cstheme="minorHAnsi"/>
                <w:color w:val="000000"/>
              </w:rPr>
              <w:t>Capacity building to ICT personnel through training and supervision</w:t>
            </w:r>
          </w:p>
          <w:p w14:paraId="3EEF599A" w14:textId="77777777" w:rsidR="007D3B14" w:rsidRPr="002C2C75" w:rsidRDefault="007D3B14" w:rsidP="007D3B14">
            <w:pPr>
              <w:keepNext/>
              <w:spacing w:after="0" w:line="264" w:lineRule="auto"/>
              <w:ind w:left="720" w:right="57"/>
              <w:rPr>
                <w:rFonts w:cstheme="minorHAnsi"/>
                <w:color w:val="000000"/>
              </w:rPr>
            </w:pPr>
          </w:p>
          <w:p w14:paraId="524CE796" w14:textId="77777777" w:rsidR="007D3B14" w:rsidRDefault="00FE5653" w:rsidP="00FE5653">
            <w:pPr>
              <w:keepNext/>
              <w:spacing w:after="0" w:line="264" w:lineRule="auto"/>
              <w:ind w:right="57"/>
              <w:rPr>
                <w:rFonts w:cstheme="minorHAnsi"/>
                <w:b/>
                <w:bCs/>
                <w:color w:val="000000"/>
              </w:rPr>
            </w:pPr>
            <w:r w:rsidRPr="002C2C75">
              <w:rPr>
                <w:rFonts w:cstheme="minorHAnsi"/>
                <w:b/>
                <w:bCs/>
                <w:color w:val="000000"/>
              </w:rPr>
              <w:t xml:space="preserve">PAAR: </w:t>
            </w:r>
          </w:p>
          <w:p w14:paraId="332DCE85" w14:textId="77777777" w:rsidR="00517B6B" w:rsidRPr="007D3B14" w:rsidRDefault="007D3B14" w:rsidP="007D3B14">
            <w:pPr>
              <w:pStyle w:val="ListParagraph"/>
              <w:keepNext/>
              <w:numPr>
                <w:ilvl w:val="0"/>
                <w:numId w:val="89"/>
              </w:numPr>
              <w:spacing w:after="0" w:line="264" w:lineRule="auto"/>
              <w:ind w:right="57"/>
              <w:rPr>
                <w:rFonts w:cstheme="minorHAnsi"/>
                <w:color w:val="000000"/>
              </w:rPr>
            </w:pPr>
            <w:r w:rsidRPr="007D3B14">
              <w:rPr>
                <w:rFonts w:cstheme="minorHAnsi"/>
                <w:color w:val="000000"/>
              </w:rPr>
              <w:t>Establish new Data Network points (LAN and Server) to expand Clinical Laboratories in Hospitals, and LAN Network in Hospitals in the Central Region ($900,000)</w:t>
            </w:r>
          </w:p>
          <w:p w14:paraId="6497AC34" w14:textId="77777777" w:rsidR="007D3B14" w:rsidRPr="00704839" w:rsidRDefault="007D3B14" w:rsidP="007D3B14">
            <w:pPr>
              <w:pStyle w:val="ListParagraph"/>
              <w:keepNext/>
              <w:numPr>
                <w:ilvl w:val="0"/>
                <w:numId w:val="89"/>
              </w:numPr>
              <w:spacing w:after="0" w:line="264" w:lineRule="auto"/>
              <w:ind w:right="57"/>
              <w:rPr>
                <w:rFonts w:cstheme="minorHAnsi"/>
                <w:b/>
                <w:i/>
                <w:color w:val="000000"/>
              </w:rPr>
            </w:pPr>
            <w:r w:rsidRPr="007D3B14">
              <w:rPr>
                <w:rFonts w:cstheme="minorHAnsi"/>
                <w:color w:val="000000"/>
              </w:rPr>
              <w:t>License acquisition and implementation of servers for visualization of radiological exams, with web access ($350,000)</w:t>
            </w:r>
          </w:p>
          <w:p w14:paraId="32D7B219" w14:textId="0811B115" w:rsidR="00704839" w:rsidRPr="007D3B14" w:rsidRDefault="00704839" w:rsidP="007D3B14">
            <w:pPr>
              <w:pStyle w:val="ListParagraph"/>
              <w:keepNext/>
              <w:numPr>
                <w:ilvl w:val="0"/>
                <w:numId w:val="89"/>
              </w:numPr>
              <w:spacing w:after="0" w:line="264" w:lineRule="auto"/>
              <w:ind w:right="57"/>
              <w:rPr>
                <w:rFonts w:cstheme="minorHAnsi"/>
                <w:b/>
                <w:i/>
                <w:color w:val="000000"/>
              </w:rPr>
            </w:pPr>
            <w:r>
              <w:rPr>
                <w:rFonts w:cstheme="minorHAnsi"/>
                <w:color w:val="000000"/>
              </w:rPr>
              <w:t>Printing of APS log books for registration ($80,000)</w:t>
            </w:r>
          </w:p>
        </w:tc>
      </w:tr>
      <w:tr w:rsidR="00517B6B" w:rsidRPr="002C2C75" w14:paraId="4CA6BF47" w14:textId="77777777" w:rsidTr="007D3B14">
        <w:trPr>
          <w:cantSplit/>
        </w:trPr>
        <w:tc>
          <w:tcPr>
            <w:tcW w:w="2605" w:type="dxa"/>
          </w:tcPr>
          <w:p w14:paraId="5ED4062C" w14:textId="77777777" w:rsidR="00517B6B" w:rsidRPr="00FE5653" w:rsidRDefault="00517B6B" w:rsidP="00517B6B">
            <w:pPr>
              <w:pBdr>
                <w:top w:val="nil"/>
                <w:left w:val="nil"/>
                <w:bottom w:val="nil"/>
                <w:right w:val="nil"/>
                <w:between w:val="nil"/>
              </w:pBdr>
              <w:spacing w:line="264" w:lineRule="auto"/>
              <w:rPr>
                <w:rFonts w:cstheme="minorHAnsi"/>
                <w:b/>
                <w:bCs/>
                <w:color w:val="000000"/>
              </w:rPr>
            </w:pPr>
            <w:r w:rsidRPr="00FE5653">
              <w:rPr>
                <w:rFonts w:cstheme="minorHAnsi"/>
                <w:b/>
                <w:bCs/>
                <w:color w:val="000000"/>
              </w:rPr>
              <w:t>Amount requested</w:t>
            </w:r>
          </w:p>
        </w:tc>
        <w:tc>
          <w:tcPr>
            <w:tcW w:w="12600" w:type="dxa"/>
          </w:tcPr>
          <w:p w14:paraId="0BD69CA3" w14:textId="3650AEEE" w:rsidR="00517B6B" w:rsidRPr="002C2C75" w:rsidRDefault="00517B6B" w:rsidP="00517B6B">
            <w:pPr>
              <w:pBdr>
                <w:top w:val="nil"/>
                <w:left w:val="nil"/>
                <w:bottom w:val="nil"/>
                <w:right w:val="nil"/>
                <w:between w:val="nil"/>
              </w:pBdr>
              <w:spacing w:line="264" w:lineRule="auto"/>
              <w:rPr>
                <w:rFonts w:cstheme="minorHAnsi"/>
                <w:b/>
                <w:bCs/>
                <w:color w:val="000000"/>
              </w:rPr>
            </w:pPr>
            <w:r w:rsidRPr="002C2C75">
              <w:rPr>
                <w:rFonts w:cstheme="minorHAnsi"/>
                <w:b/>
                <w:bCs/>
                <w:color w:val="000000"/>
              </w:rPr>
              <w:t>Within allocation: $4,650,000</w:t>
            </w:r>
          </w:p>
          <w:p w14:paraId="06FDAB71" w14:textId="23219D44" w:rsidR="00517B6B" w:rsidRPr="002C2C75" w:rsidRDefault="00517B6B" w:rsidP="00517B6B">
            <w:pPr>
              <w:pBdr>
                <w:top w:val="nil"/>
                <w:left w:val="nil"/>
                <w:bottom w:val="nil"/>
                <w:right w:val="nil"/>
                <w:between w:val="nil"/>
              </w:pBdr>
              <w:spacing w:line="264" w:lineRule="auto"/>
              <w:rPr>
                <w:rFonts w:cstheme="minorHAnsi"/>
                <w:b/>
                <w:bCs/>
                <w:color w:val="000000"/>
              </w:rPr>
            </w:pPr>
            <w:r w:rsidRPr="002C2C75">
              <w:rPr>
                <w:rFonts w:cstheme="minorHAnsi"/>
                <w:b/>
                <w:bCs/>
                <w:color w:val="000000"/>
              </w:rPr>
              <w:t>PAAR: $</w:t>
            </w:r>
            <w:r w:rsidR="007D3B14">
              <w:rPr>
                <w:rFonts w:cstheme="minorHAnsi"/>
                <w:b/>
                <w:bCs/>
                <w:color w:val="000000"/>
              </w:rPr>
              <w:t>1,</w:t>
            </w:r>
            <w:r w:rsidR="00704839">
              <w:rPr>
                <w:rFonts w:cstheme="minorHAnsi"/>
                <w:b/>
                <w:bCs/>
                <w:color w:val="000000"/>
              </w:rPr>
              <w:t>33</w:t>
            </w:r>
            <w:r w:rsidR="007D3B14">
              <w:rPr>
                <w:rFonts w:cstheme="minorHAnsi"/>
                <w:b/>
                <w:bCs/>
                <w:color w:val="000000"/>
              </w:rPr>
              <w:t>0,000</w:t>
            </w:r>
          </w:p>
        </w:tc>
      </w:tr>
      <w:tr w:rsidR="00FE5653" w:rsidRPr="002C2C75" w14:paraId="31FBF273" w14:textId="77777777" w:rsidTr="007D3B14">
        <w:trPr>
          <w:cantSplit/>
        </w:trPr>
        <w:tc>
          <w:tcPr>
            <w:tcW w:w="2605" w:type="dxa"/>
          </w:tcPr>
          <w:p w14:paraId="09C204F8" w14:textId="77777777" w:rsidR="00FE5653" w:rsidRDefault="00FE5653" w:rsidP="00FE5653">
            <w:pPr>
              <w:pBdr>
                <w:top w:val="nil"/>
                <w:left w:val="nil"/>
                <w:bottom w:val="nil"/>
                <w:right w:val="nil"/>
                <w:between w:val="nil"/>
              </w:pBdr>
              <w:spacing w:line="264" w:lineRule="auto"/>
              <w:rPr>
                <w:rFonts w:cstheme="minorHAnsi"/>
                <w:b/>
                <w:bCs/>
                <w:color w:val="000000"/>
              </w:rPr>
            </w:pPr>
            <w:r w:rsidRPr="00FE5653">
              <w:rPr>
                <w:rFonts w:cstheme="minorHAnsi"/>
                <w:b/>
                <w:bCs/>
                <w:color w:val="000000"/>
              </w:rPr>
              <w:t>Expected outcome</w:t>
            </w:r>
          </w:p>
          <w:p w14:paraId="453ED0DB" w14:textId="7B2F230D" w:rsidR="00365D5A" w:rsidRPr="00FE5653" w:rsidRDefault="00365D5A" w:rsidP="00D74F83">
            <w:pPr>
              <w:pBdr>
                <w:top w:val="nil"/>
                <w:left w:val="nil"/>
                <w:bottom w:val="nil"/>
                <w:right w:val="nil"/>
                <w:between w:val="nil"/>
              </w:pBdr>
              <w:spacing w:line="264" w:lineRule="auto"/>
              <w:rPr>
                <w:rFonts w:cstheme="minorHAnsi"/>
                <w:b/>
                <w:bCs/>
                <w:color w:val="000000"/>
              </w:rPr>
            </w:pPr>
          </w:p>
        </w:tc>
        <w:tc>
          <w:tcPr>
            <w:tcW w:w="12600" w:type="dxa"/>
          </w:tcPr>
          <w:p w14:paraId="4457C7C8" w14:textId="77777777" w:rsidR="00FE5653" w:rsidRPr="002C2C75" w:rsidRDefault="00FE5653" w:rsidP="00FE5653">
            <w:pPr>
              <w:numPr>
                <w:ilvl w:val="0"/>
                <w:numId w:val="61"/>
              </w:numPr>
              <w:pBdr>
                <w:top w:val="nil"/>
                <w:left w:val="nil"/>
                <w:bottom w:val="nil"/>
                <w:right w:val="nil"/>
                <w:between w:val="nil"/>
              </w:pBdr>
              <w:spacing w:after="0" w:line="264" w:lineRule="auto"/>
              <w:rPr>
                <w:rFonts w:cstheme="minorHAnsi"/>
                <w:color w:val="000000"/>
              </w:rPr>
            </w:pPr>
            <w:r w:rsidRPr="002C2C75">
              <w:rPr>
                <w:rFonts w:cstheme="minorHAnsi"/>
                <w:color w:val="000000"/>
              </w:rPr>
              <w:t>Ensured provision of essential data for health system decision-making</w:t>
            </w:r>
            <w:sdt>
              <w:sdtPr>
                <w:rPr>
                  <w:rFonts w:cstheme="minorHAnsi"/>
                </w:rPr>
                <w:tag w:val="goog_rdk_331"/>
                <w:id w:val="537853676"/>
              </w:sdtPr>
              <w:sdtContent/>
            </w:sdt>
          </w:p>
          <w:p w14:paraId="69BA8459" w14:textId="77777777" w:rsidR="00FE5653" w:rsidRDefault="00FE5653" w:rsidP="00FE5653">
            <w:pPr>
              <w:numPr>
                <w:ilvl w:val="0"/>
                <w:numId w:val="61"/>
              </w:numPr>
              <w:spacing w:after="0" w:line="264" w:lineRule="auto"/>
              <w:rPr>
                <w:rFonts w:cstheme="minorHAnsi"/>
                <w:color w:val="000000"/>
              </w:rPr>
            </w:pPr>
            <w:r w:rsidRPr="002C2C75">
              <w:rPr>
                <w:rFonts w:cstheme="minorHAnsi"/>
                <w:color w:val="000000"/>
              </w:rPr>
              <w:t xml:space="preserve"> Improved data network and communication </w:t>
            </w:r>
            <w:sdt>
              <w:sdtPr>
                <w:rPr>
                  <w:rFonts w:cstheme="minorHAnsi"/>
                </w:rPr>
                <w:tag w:val="goog_rdk_334"/>
                <w:id w:val="21523530"/>
              </w:sdtPr>
              <w:sdtContent/>
            </w:sdt>
          </w:p>
          <w:p w14:paraId="15DF48E3" w14:textId="15AEB09F" w:rsidR="00FE5653" w:rsidRPr="00FE5653" w:rsidRDefault="00FE5653" w:rsidP="00FE5653">
            <w:pPr>
              <w:numPr>
                <w:ilvl w:val="0"/>
                <w:numId w:val="61"/>
              </w:numPr>
              <w:spacing w:after="0" w:line="264" w:lineRule="auto"/>
              <w:rPr>
                <w:rFonts w:cstheme="minorHAnsi"/>
                <w:color w:val="000000"/>
              </w:rPr>
            </w:pPr>
            <w:r w:rsidRPr="00FE5653">
              <w:rPr>
                <w:rFonts w:cstheme="minorHAnsi"/>
                <w:color w:val="000000"/>
              </w:rPr>
              <w:t>Ensure interoperability and functionality of Health Information Systems and subsystems</w:t>
            </w:r>
          </w:p>
        </w:tc>
      </w:tr>
      <w:tr w:rsidR="00FE5653" w:rsidRPr="002C2C75" w14:paraId="1C407465" w14:textId="77777777" w:rsidTr="007D3B14">
        <w:trPr>
          <w:cantSplit/>
        </w:trPr>
        <w:tc>
          <w:tcPr>
            <w:tcW w:w="2605" w:type="dxa"/>
          </w:tcPr>
          <w:p w14:paraId="580E19CB" w14:textId="4E0F6D8E" w:rsidR="00365D5A" w:rsidRPr="00FE5653" w:rsidRDefault="00FE5653" w:rsidP="00FE5653">
            <w:pPr>
              <w:pBdr>
                <w:top w:val="nil"/>
                <w:left w:val="nil"/>
                <w:bottom w:val="nil"/>
                <w:right w:val="nil"/>
                <w:between w:val="nil"/>
              </w:pBdr>
              <w:spacing w:line="264" w:lineRule="auto"/>
              <w:rPr>
                <w:rFonts w:cstheme="minorHAnsi"/>
                <w:b/>
                <w:bCs/>
                <w:color w:val="000000"/>
              </w:rPr>
            </w:pPr>
            <w:r w:rsidRPr="00FE5653">
              <w:rPr>
                <w:rFonts w:cstheme="minorHAnsi"/>
                <w:b/>
                <w:bCs/>
                <w:color w:val="000000"/>
              </w:rPr>
              <w:t xml:space="preserve">Intervention(s) </w:t>
            </w:r>
          </w:p>
        </w:tc>
        <w:tc>
          <w:tcPr>
            <w:tcW w:w="12600" w:type="dxa"/>
          </w:tcPr>
          <w:p w14:paraId="678C3058" w14:textId="0B9077DB" w:rsidR="00FE5653" w:rsidRPr="002C2C75" w:rsidRDefault="00FE5653" w:rsidP="00FE5653">
            <w:pPr>
              <w:pBdr>
                <w:top w:val="nil"/>
                <w:left w:val="nil"/>
                <w:bottom w:val="nil"/>
                <w:right w:val="nil"/>
                <w:between w:val="nil"/>
              </w:pBdr>
              <w:spacing w:line="264" w:lineRule="auto"/>
              <w:rPr>
                <w:rFonts w:cstheme="minorHAnsi"/>
                <w:b/>
                <w:bCs/>
                <w:color w:val="000000"/>
              </w:rPr>
            </w:pPr>
            <w:r>
              <w:rPr>
                <w:rFonts w:cstheme="minorHAnsi"/>
                <w:b/>
                <w:bCs/>
                <w:color w:val="000000"/>
              </w:rPr>
              <w:t xml:space="preserve">Intervention: </w:t>
            </w:r>
            <w:r w:rsidRPr="00FE5653">
              <w:rPr>
                <w:rFonts w:cstheme="minorHAnsi"/>
                <w:color w:val="000000"/>
              </w:rPr>
              <w:t>Surveillance for priority epidemic-prone diseases and events</w:t>
            </w:r>
            <w:r w:rsidRPr="002C2C75">
              <w:rPr>
                <w:rFonts w:cstheme="minorHAnsi"/>
                <w:b/>
                <w:bCs/>
                <w:color w:val="000000"/>
              </w:rPr>
              <w:t xml:space="preserve"> </w:t>
            </w:r>
          </w:p>
          <w:p w14:paraId="300072CA" w14:textId="7080CD80" w:rsidR="00FE5653" w:rsidRPr="002C2C75" w:rsidRDefault="00FE5653" w:rsidP="00FE5653">
            <w:pPr>
              <w:pBdr>
                <w:top w:val="nil"/>
                <w:left w:val="nil"/>
                <w:bottom w:val="nil"/>
                <w:right w:val="nil"/>
                <w:between w:val="nil"/>
              </w:pBdr>
              <w:spacing w:line="264" w:lineRule="auto"/>
              <w:rPr>
                <w:rFonts w:cstheme="minorHAnsi"/>
                <w:color w:val="000000"/>
              </w:rPr>
            </w:pPr>
            <w:r w:rsidRPr="002C2C75">
              <w:rPr>
                <w:rFonts w:cstheme="minorHAnsi"/>
                <w:color w:val="000000"/>
              </w:rPr>
              <w:t xml:space="preserve">Change in Programming from current grant: </w:t>
            </w:r>
            <w:sdt>
              <w:sdtPr>
                <w:rPr>
                  <w:rFonts w:cstheme="minorHAnsi"/>
                </w:rPr>
                <w:tag w:val="goog_rdk_339"/>
                <w:id w:val="43026830"/>
              </w:sdtPr>
              <w:sdtContent>
                <w:sdt>
                  <w:sdtPr>
                    <w:rPr>
                      <w:rFonts w:cstheme="minorHAnsi"/>
                    </w:rPr>
                    <w:tag w:val="goog_rdk_238"/>
                    <w:id w:val="1898014825"/>
                  </w:sdtPr>
                  <w:sdtContent>
                    <w:r w:rsidRPr="002C2C75">
                      <w:rPr>
                        <w:rFonts w:ascii="Segoe UI Symbol" w:eastAsia="Arial Unicode MS" w:hAnsi="Segoe UI Symbol" w:cs="Segoe UI Symbol"/>
                        <w:color w:val="000000"/>
                      </w:rPr>
                      <w:t>☒</w:t>
                    </w:r>
                  </w:sdtContent>
                </w:sdt>
              </w:sdtContent>
            </w:sdt>
            <w:r w:rsidRPr="002C2C75">
              <w:rPr>
                <w:rFonts w:cstheme="minorHAnsi"/>
                <w:color w:val="000000"/>
              </w:rPr>
              <w:t xml:space="preserve"> New, </w:t>
            </w:r>
            <w:sdt>
              <w:sdtPr>
                <w:rPr>
                  <w:rFonts w:cstheme="minorHAnsi"/>
                </w:rPr>
                <w:tag w:val="goog_rdk_340"/>
                <w:id w:val="1762947314"/>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Scale-up, </w:t>
            </w:r>
            <w:sdt>
              <w:sdtPr>
                <w:rPr>
                  <w:rFonts w:cstheme="minorHAnsi"/>
                </w:rPr>
                <w:tag w:val="goog_rdk_341"/>
                <w:id w:val="1327553823"/>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Continuation, or </w:t>
            </w:r>
            <w:sdt>
              <w:sdtPr>
                <w:rPr>
                  <w:rFonts w:cstheme="minorHAnsi"/>
                </w:rPr>
                <w:tag w:val="goog_rdk_342"/>
                <w:id w:val="1545020865"/>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Scale-down</w:t>
            </w:r>
          </w:p>
        </w:tc>
      </w:tr>
      <w:tr w:rsidR="00FE5653" w:rsidRPr="002C2C75" w14:paraId="11334487" w14:textId="77777777" w:rsidTr="007D3B14">
        <w:trPr>
          <w:cantSplit/>
        </w:trPr>
        <w:tc>
          <w:tcPr>
            <w:tcW w:w="2605" w:type="dxa"/>
          </w:tcPr>
          <w:p w14:paraId="6FBE0554" w14:textId="77777777" w:rsidR="00FE5653" w:rsidRPr="00FE5653" w:rsidRDefault="00FE5653" w:rsidP="00FE5653">
            <w:pPr>
              <w:pBdr>
                <w:top w:val="nil"/>
                <w:left w:val="nil"/>
                <w:bottom w:val="nil"/>
                <w:right w:val="nil"/>
                <w:between w:val="nil"/>
              </w:pBdr>
              <w:spacing w:line="264" w:lineRule="auto"/>
              <w:rPr>
                <w:rFonts w:cstheme="minorHAnsi"/>
                <w:b/>
                <w:bCs/>
                <w:color w:val="000000"/>
              </w:rPr>
            </w:pPr>
            <w:r w:rsidRPr="00FE5653">
              <w:rPr>
                <w:rFonts w:cstheme="minorHAnsi"/>
                <w:b/>
                <w:bCs/>
                <w:color w:val="000000"/>
              </w:rPr>
              <w:t>Population, geographies and/or barriers addressed</w:t>
            </w:r>
          </w:p>
        </w:tc>
        <w:tc>
          <w:tcPr>
            <w:tcW w:w="12600" w:type="dxa"/>
          </w:tcPr>
          <w:p w14:paraId="28192146" w14:textId="77777777" w:rsidR="007D3B14" w:rsidRPr="007D3B14" w:rsidRDefault="007D3B14" w:rsidP="007D3B14">
            <w:pPr>
              <w:spacing w:after="80" w:line="264" w:lineRule="auto"/>
              <w:jc w:val="both"/>
              <w:rPr>
                <w:rFonts w:cstheme="minorHAnsi"/>
                <w:color w:val="000000"/>
              </w:rPr>
            </w:pPr>
            <w:r w:rsidRPr="007D3B14">
              <w:rPr>
                <w:rFonts w:cstheme="minorHAnsi"/>
                <w:color w:val="000000"/>
              </w:rPr>
              <w:t xml:space="preserve">District surveillance systems for preventing and responding to external shocks will be strengthened through training and renewal of district surveillance teams, including performance of emergency drills at district level. In addition, district emergency preparedness plans will be presented and at least 50 motorcycles will be purchased for the most vulnerable areas. These activities will be seconded by the creation of an Emergency Operations Center in Maputo. Likewise, community-based surveillance systems for the suspicion and early detection of diseases with epidemic or pandemic potential will be strengthened through the training of CHW/APSs in all districts of the most vulnerable provinces (Gaza, Inhambane, Sofala, Zambézia , Cabo Delgado and Nampula) and equipment acquisition (including internet vouchers) for them in order to allow real time data sharing (p.e, mobile phones to scale the upscale platform) </w:t>
            </w:r>
          </w:p>
          <w:p w14:paraId="7FC0596A" w14:textId="671E4162" w:rsidR="00FE5653" w:rsidRPr="002C2C75" w:rsidRDefault="007D3B14" w:rsidP="007D3B14">
            <w:pPr>
              <w:spacing w:after="80" w:line="264" w:lineRule="auto"/>
              <w:jc w:val="both"/>
              <w:rPr>
                <w:rFonts w:cstheme="minorHAnsi"/>
                <w:color w:val="000000"/>
              </w:rPr>
            </w:pPr>
            <w:r w:rsidRPr="007D3B14">
              <w:rPr>
                <w:rFonts w:cstheme="minorHAnsi"/>
                <w:color w:val="000000"/>
              </w:rPr>
              <w:t>It is intended to improve access to information and the provision of health services at the community level subsystem, through the training of more multipurpose Community health workers, provision of resources of transport to reach more areas and provision of devices for reporting information in real time. Part of these activities are included in the other proposal (C19RM) given the scarcity of resources and the need to complement the acquisition of the necessary quantities, which includes motorbikes, vouchers, electronic devices and a training package.</w:t>
            </w:r>
          </w:p>
        </w:tc>
      </w:tr>
      <w:tr w:rsidR="00FE5653" w:rsidRPr="002C2C75" w14:paraId="1C5D409B" w14:textId="77777777" w:rsidTr="007D3B14">
        <w:trPr>
          <w:cantSplit/>
        </w:trPr>
        <w:tc>
          <w:tcPr>
            <w:tcW w:w="2605" w:type="dxa"/>
          </w:tcPr>
          <w:p w14:paraId="76D89CD2" w14:textId="6EBB581F" w:rsidR="00FE5653" w:rsidRPr="00FE5653" w:rsidRDefault="00FE5653" w:rsidP="00FE5653">
            <w:pPr>
              <w:pBdr>
                <w:top w:val="nil"/>
                <w:left w:val="nil"/>
                <w:bottom w:val="nil"/>
                <w:right w:val="nil"/>
                <w:between w:val="nil"/>
              </w:pBdr>
              <w:spacing w:line="264" w:lineRule="auto"/>
              <w:rPr>
                <w:rFonts w:cstheme="minorHAnsi"/>
                <w:b/>
                <w:bCs/>
                <w:color w:val="000000"/>
              </w:rPr>
            </w:pPr>
            <w:r w:rsidRPr="00FE5653">
              <w:rPr>
                <w:rFonts w:cstheme="minorHAnsi"/>
                <w:b/>
                <w:bCs/>
                <w:color w:val="000000"/>
              </w:rPr>
              <w:t>List of activities</w:t>
            </w:r>
          </w:p>
        </w:tc>
        <w:tc>
          <w:tcPr>
            <w:tcW w:w="12600" w:type="dxa"/>
          </w:tcPr>
          <w:p w14:paraId="7D06D28E" w14:textId="77777777" w:rsidR="00FE5653" w:rsidRDefault="00FE5653" w:rsidP="00FE5653">
            <w:pPr>
              <w:numPr>
                <w:ilvl w:val="0"/>
                <w:numId w:val="61"/>
              </w:numPr>
              <w:pBdr>
                <w:top w:val="nil"/>
                <w:left w:val="nil"/>
                <w:bottom w:val="nil"/>
                <w:right w:val="nil"/>
                <w:between w:val="nil"/>
              </w:pBdr>
              <w:spacing w:after="0" w:line="264" w:lineRule="auto"/>
              <w:rPr>
                <w:rFonts w:cstheme="minorHAnsi"/>
                <w:color w:val="000000"/>
              </w:rPr>
            </w:pPr>
            <w:r w:rsidRPr="002C2C75">
              <w:rPr>
                <w:rFonts w:cstheme="minorHAnsi"/>
                <w:color w:val="000000"/>
              </w:rPr>
              <w:t xml:space="preserve">Strengthen district surveillance systems to prevent and quickly and effectively respond to external shocks and outbreaks </w:t>
            </w:r>
          </w:p>
          <w:p w14:paraId="333BE8C3" w14:textId="77B88658" w:rsidR="00FE5653" w:rsidRPr="00FE5653" w:rsidRDefault="00FE5653" w:rsidP="00FE5653">
            <w:pPr>
              <w:numPr>
                <w:ilvl w:val="0"/>
                <w:numId w:val="61"/>
              </w:numPr>
              <w:pBdr>
                <w:top w:val="nil"/>
                <w:left w:val="nil"/>
                <w:bottom w:val="nil"/>
                <w:right w:val="nil"/>
                <w:between w:val="nil"/>
              </w:pBdr>
              <w:spacing w:after="0" w:line="264" w:lineRule="auto"/>
              <w:rPr>
                <w:rFonts w:cstheme="minorHAnsi"/>
                <w:color w:val="000000"/>
              </w:rPr>
            </w:pPr>
            <w:r w:rsidRPr="00FE5653">
              <w:rPr>
                <w:rFonts w:cstheme="minorHAnsi"/>
                <w:color w:val="000000"/>
              </w:rPr>
              <w:t>Strengthen community-based surveillance systems for early suspicion and detection of epidemic-prone diseases</w:t>
            </w:r>
          </w:p>
        </w:tc>
      </w:tr>
      <w:tr w:rsidR="00FE5653" w:rsidRPr="002C2C75" w14:paraId="3C84EA70" w14:textId="77777777" w:rsidTr="007D3B14">
        <w:trPr>
          <w:cantSplit/>
        </w:trPr>
        <w:tc>
          <w:tcPr>
            <w:tcW w:w="2605" w:type="dxa"/>
          </w:tcPr>
          <w:p w14:paraId="408443E3" w14:textId="77777777" w:rsidR="00FE5653" w:rsidRPr="00FE5653" w:rsidRDefault="00FE5653" w:rsidP="00FE5653">
            <w:pPr>
              <w:pBdr>
                <w:top w:val="nil"/>
                <w:left w:val="nil"/>
                <w:bottom w:val="nil"/>
                <w:right w:val="nil"/>
                <w:between w:val="nil"/>
              </w:pBdr>
              <w:spacing w:line="264" w:lineRule="auto"/>
              <w:rPr>
                <w:rFonts w:cstheme="minorHAnsi"/>
                <w:b/>
                <w:bCs/>
                <w:color w:val="000000"/>
              </w:rPr>
            </w:pPr>
            <w:r w:rsidRPr="00FE5653">
              <w:rPr>
                <w:rFonts w:cstheme="minorHAnsi"/>
                <w:b/>
                <w:bCs/>
                <w:color w:val="000000"/>
              </w:rPr>
              <w:t>Amount requested</w:t>
            </w:r>
          </w:p>
        </w:tc>
        <w:tc>
          <w:tcPr>
            <w:tcW w:w="12600" w:type="dxa"/>
          </w:tcPr>
          <w:p w14:paraId="2D2D438B" w14:textId="74A992A1" w:rsidR="00FE5653" w:rsidRPr="002C2C75" w:rsidRDefault="00FE5653" w:rsidP="00FE5653">
            <w:pPr>
              <w:pBdr>
                <w:top w:val="nil"/>
                <w:left w:val="nil"/>
                <w:bottom w:val="nil"/>
                <w:right w:val="nil"/>
                <w:between w:val="nil"/>
              </w:pBdr>
              <w:spacing w:line="264" w:lineRule="auto"/>
              <w:rPr>
                <w:rFonts w:cstheme="minorHAnsi"/>
                <w:b/>
                <w:bCs/>
                <w:color w:val="000000"/>
              </w:rPr>
            </w:pPr>
            <w:r w:rsidRPr="002C2C75">
              <w:rPr>
                <w:rFonts w:cstheme="minorHAnsi"/>
                <w:b/>
                <w:bCs/>
                <w:color w:val="000000"/>
              </w:rPr>
              <w:t>Within allocation: $1,000,000</w:t>
            </w:r>
          </w:p>
        </w:tc>
      </w:tr>
      <w:tr w:rsidR="00FE5653" w:rsidRPr="002C2C75" w14:paraId="40B3737E" w14:textId="77777777" w:rsidTr="007D3B14">
        <w:trPr>
          <w:cantSplit/>
        </w:trPr>
        <w:tc>
          <w:tcPr>
            <w:tcW w:w="2605" w:type="dxa"/>
          </w:tcPr>
          <w:p w14:paraId="5E9C4DEB" w14:textId="73CE8F2E" w:rsidR="00BA6C77" w:rsidRPr="00FE5653" w:rsidRDefault="00FE5653" w:rsidP="00365D5A">
            <w:pPr>
              <w:pBdr>
                <w:top w:val="nil"/>
                <w:left w:val="nil"/>
                <w:bottom w:val="nil"/>
                <w:right w:val="nil"/>
                <w:between w:val="nil"/>
              </w:pBdr>
              <w:spacing w:line="264" w:lineRule="auto"/>
              <w:rPr>
                <w:rFonts w:cstheme="minorHAnsi"/>
                <w:b/>
                <w:bCs/>
                <w:color w:val="000000"/>
              </w:rPr>
            </w:pPr>
            <w:r w:rsidRPr="00FE5653">
              <w:rPr>
                <w:rFonts w:cstheme="minorHAnsi"/>
                <w:b/>
                <w:bCs/>
                <w:color w:val="000000"/>
              </w:rPr>
              <w:t>Expected outcome</w:t>
            </w:r>
          </w:p>
        </w:tc>
        <w:tc>
          <w:tcPr>
            <w:tcW w:w="12600" w:type="dxa"/>
          </w:tcPr>
          <w:p w14:paraId="2D661800" w14:textId="1145073E" w:rsidR="00FE5653" w:rsidRPr="002C2C75" w:rsidRDefault="00FE5653" w:rsidP="00FE5653">
            <w:pPr>
              <w:pBdr>
                <w:top w:val="nil"/>
                <w:left w:val="nil"/>
                <w:bottom w:val="nil"/>
                <w:right w:val="nil"/>
                <w:between w:val="nil"/>
              </w:pBdr>
              <w:spacing w:line="264" w:lineRule="auto"/>
              <w:rPr>
                <w:rFonts w:cstheme="minorHAnsi"/>
                <w:b/>
                <w:bCs/>
                <w:color w:val="000000"/>
              </w:rPr>
            </w:pPr>
            <w:r w:rsidRPr="002C2C75">
              <w:rPr>
                <w:rFonts w:cstheme="minorHAnsi"/>
                <w:color w:val="000000"/>
              </w:rPr>
              <w:t>Strengthened Real-Time Surveillance at the district level</w:t>
            </w:r>
          </w:p>
        </w:tc>
      </w:tr>
      <w:tr w:rsidR="00FE5653" w:rsidRPr="002C2C75" w14:paraId="5CBAF631" w14:textId="77777777" w:rsidTr="007D3B14">
        <w:trPr>
          <w:cantSplit/>
        </w:trPr>
        <w:tc>
          <w:tcPr>
            <w:tcW w:w="2605" w:type="dxa"/>
          </w:tcPr>
          <w:p w14:paraId="28453E71" w14:textId="433F2180" w:rsidR="00FE5653" w:rsidRPr="00365D5A" w:rsidRDefault="00FE5653" w:rsidP="00FE5653">
            <w:pPr>
              <w:pBdr>
                <w:top w:val="nil"/>
                <w:left w:val="nil"/>
                <w:bottom w:val="nil"/>
                <w:right w:val="nil"/>
                <w:between w:val="nil"/>
              </w:pBdr>
              <w:spacing w:line="264" w:lineRule="auto"/>
              <w:rPr>
                <w:rFonts w:cstheme="minorHAnsi"/>
                <w:b/>
                <w:bCs/>
                <w:color w:val="000000"/>
              </w:rPr>
            </w:pPr>
            <w:r w:rsidRPr="00365D5A">
              <w:rPr>
                <w:rFonts w:cstheme="minorHAnsi"/>
                <w:b/>
                <w:bCs/>
                <w:color w:val="000000"/>
              </w:rPr>
              <w:t xml:space="preserve">Intervention(s) </w:t>
            </w:r>
          </w:p>
        </w:tc>
        <w:tc>
          <w:tcPr>
            <w:tcW w:w="12600" w:type="dxa"/>
          </w:tcPr>
          <w:p w14:paraId="07C9ACEA" w14:textId="1296BBF4" w:rsidR="00FE5653" w:rsidRPr="00365D5A" w:rsidRDefault="00365D5A" w:rsidP="00FE5653">
            <w:pPr>
              <w:pBdr>
                <w:top w:val="nil"/>
                <w:left w:val="nil"/>
                <w:bottom w:val="nil"/>
                <w:right w:val="nil"/>
                <w:between w:val="nil"/>
              </w:pBdr>
              <w:spacing w:line="264" w:lineRule="auto"/>
              <w:rPr>
                <w:rFonts w:cstheme="minorHAnsi"/>
                <w:color w:val="000000"/>
              </w:rPr>
            </w:pPr>
            <w:r>
              <w:rPr>
                <w:rFonts w:cstheme="minorHAnsi"/>
                <w:b/>
                <w:bCs/>
                <w:color w:val="000000"/>
              </w:rPr>
              <w:t xml:space="preserve">Intervention: </w:t>
            </w:r>
            <w:r w:rsidR="00FE5653" w:rsidRPr="00365D5A">
              <w:rPr>
                <w:rFonts w:cstheme="minorHAnsi"/>
                <w:color w:val="000000"/>
              </w:rPr>
              <w:t xml:space="preserve">Surveys </w:t>
            </w:r>
          </w:p>
          <w:p w14:paraId="03793A37" w14:textId="1406090E" w:rsidR="00FE5653" w:rsidRPr="00365D5A" w:rsidRDefault="00FE5653" w:rsidP="00FE5653">
            <w:pPr>
              <w:pBdr>
                <w:top w:val="nil"/>
                <w:left w:val="nil"/>
                <w:bottom w:val="nil"/>
                <w:right w:val="nil"/>
                <w:between w:val="nil"/>
              </w:pBdr>
              <w:spacing w:line="264" w:lineRule="auto"/>
              <w:rPr>
                <w:rFonts w:cstheme="minorHAnsi"/>
                <w:color w:val="000000"/>
              </w:rPr>
            </w:pPr>
            <w:r w:rsidRPr="00365D5A">
              <w:rPr>
                <w:rFonts w:cstheme="minorHAnsi"/>
                <w:color w:val="000000"/>
              </w:rPr>
              <w:t>Change in Pro</w:t>
            </w:r>
            <w:r w:rsidRPr="002C2C75">
              <w:rPr>
                <w:rFonts w:cstheme="minorHAnsi"/>
                <w:color w:val="000000"/>
              </w:rPr>
              <w:t xml:space="preserve">gramming from current grant: </w:t>
            </w:r>
            <w:r w:rsidRPr="002C2C75">
              <w:rPr>
                <w:rFonts w:ascii="Segoe UI Symbol" w:eastAsia="MS Gothic" w:hAnsi="Segoe UI Symbol" w:cs="Segoe UI Symbol"/>
                <w:color w:val="000000"/>
              </w:rPr>
              <w:t>☐</w:t>
            </w:r>
            <w:r w:rsidRPr="002C2C75">
              <w:rPr>
                <w:rFonts w:cstheme="minorHAnsi"/>
                <w:color w:val="000000"/>
              </w:rPr>
              <w:t xml:space="preserve"> New, </w:t>
            </w:r>
            <w:r w:rsidRPr="002C2C75">
              <w:rPr>
                <w:rFonts w:ascii="Segoe UI Symbol" w:eastAsia="MS Gothic" w:hAnsi="Segoe UI Symbol" w:cs="Segoe UI Symbol"/>
                <w:color w:val="000000"/>
              </w:rPr>
              <w:t>☐</w:t>
            </w:r>
            <w:r w:rsidRPr="002C2C75">
              <w:rPr>
                <w:rFonts w:cstheme="minorHAnsi"/>
                <w:color w:val="000000"/>
              </w:rPr>
              <w:t xml:space="preserve"> Scale-up, X</w:t>
            </w:r>
            <w:r w:rsidRPr="002C2C75">
              <w:rPr>
                <w:rFonts w:ascii="Segoe UI Symbol" w:hAnsi="Segoe UI Symbol" w:cs="Segoe UI Symbol"/>
                <w:color w:val="000000"/>
              </w:rPr>
              <w:t>☐</w:t>
            </w:r>
            <w:r w:rsidRPr="002C2C75">
              <w:rPr>
                <w:rFonts w:cstheme="minorHAnsi"/>
                <w:color w:val="000000"/>
              </w:rPr>
              <w:t xml:space="preserve"> Continuation, or </w:t>
            </w:r>
            <w:r w:rsidRPr="002C2C75">
              <w:rPr>
                <w:rFonts w:ascii="Segoe UI Symbol" w:eastAsia="MS Gothic" w:hAnsi="Segoe UI Symbol" w:cs="Segoe UI Symbol"/>
                <w:color w:val="000000"/>
              </w:rPr>
              <w:t>☐</w:t>
            </w:r>
            <w:r w:rsidRPr="002C2C75">
              <w:rPr>
                <w:rFonts w:cstheme="minorHAnsi"/>
                <w:color w:val="000000"/>
              </w:rPr>
              <w:t xml:space="preserve"> Scale-down</w:t>
            </w:r>
          </w:p>
        </w:tc>
      </w:tr>
      <w:tr w:rsidR="00BA6C77" w:rsidRPr="002C2C75" w14:paraId="07B6E00C" w14:textId="77777777" w:rsidTr="007D3B14">
        <w:trPr>
          <w:cantSplit/>
        </w:trPr>
        <w:tc>
          <w:tcPr>
            <w:tcW w:w="2605" w:type="dxa"/>
          </w:tcPr>
          <w:p w14:paraId="13553973" w14:textId="5123CD3A" w:rsidR="00BA6C77" w:rsidRPr="00365D5A" w:rsidRDefault="00BA6C77" w:rsidP="00FE5653">
            <w:pPr>
              <w:pBdr>
                <w:top w:val="nil"/>
                <w:left w:val="nil"/>
                <w:bottom w:val="nil"/>
                <w:right w:val="nil"/>
                <w:between w:val="nil"/>
              </w:pBdr>
              <w:spacing w:line="264" w:lineRule="auto"/>
              <w:rPr>
                <w:rFonts w:cstheme="minorHAnsi"/>
                <w:b/>
                <w:bCs/>
                <w:color w:val="000000"/>
              </w:rPr>
            </w:pPr>
            <w:r w:rsidRPr="00365D5A">
              <w:rPr>
                <w:rFonts w:cstheme="minorHAnsi"/>
                <w:b/>
                <w:bCs/>
                <w:color w:val="000000"/>
              </w:rPr>
              <w:t>Population, geographies and/or barriers addressed</w:t>
            </w:r>
          </w:p>
        </w:tc>
        <w:tc>
          <w:tcPr>
            <w:tcW w:w="12600" w:type="dxa"/>
          </w:tcPr>
          <w:p w14:paraId="4789ACCC" w14:textId="20285903" w:rsidR="00BA6C77" w:rsidRPr="00BA6C77" w:rsidRDefault="00BA6C77" w:rsidP="00BA6C77">
            <w:pPr>
              <w:pBdr>
                <w:top w:val="nil"/>
                <w:left w:val="nil"/>
                <w:bottom w:val="nil"/>
                <w:right w:val="nil"/>
                <w:between w:val="nil"/>
              </w:pBdr>
              <w:spacing w:after="80" w:line="264" w:lineRule="auto"/>
              <w:jc w:val="both"/>
              <w:rPr>
                <w:rFonts w:cstheme="minorHAnsi"/>
                <w:color w:val="000000"/>
              </w:rPr>
            </w:pPr>
            <w:r w:rsidRPr="007D3B14">
              <w:rPr>
                <w:rFonts w:cstheme="minorHAnsi"/>
                <w:color w:val="000000"/>
              </w:rPr>
              <w:t>The implementation of health surveys aims to complement the effort to monitor Population based health indicators and support more robust evidence based planning and decision-making. So, the Malaria program intends to complete the study already started on Malaria indicators.</w:t>
            </w:r>
          </w:p>
        </w:tc>
      </w:tr>
      <w:tr w:rsidR="00FE5653" w:rsidRPr="002C2C75" w14:paraId="4E3340FF" w14:textId="77777777" w:rsidTr="007D3B14">
        <w:trPr>
          <w:cantSplit/>
        </w:trPr>
        <w:tc>
          <w:tcPr>
            <w:tcW w:w="2605" w:type="dxa"/>
          </w:tcPr>
          <w:p w14:paraId="0B83A812" w14:textId="54BC26A8" w:rsidR="00FE5653" w:rsidRPr="00365D5A" w:rsidRDefault="00FE5653" w:rsidP="00FE5653">
            <w:pPr>
              <w:pBdr>
                <w:top w:val="nil"/>
                <w:left w:val="nil"/>
                <w:bottom w:val="nil"/>
                <w:right w:val="nil"/>
                <w:between w:val="nil"/>
              </w:pBdr>
              <w:spacing w:line="264" w:lineRule="auto"/>
              <w:rPr>
                <w:rFonts w:cstheme="minorHAnsi"/>
                <w:b/>
                <w:bCs/>
                <w:color w:val="000000"/>
              </w:rPr>
            </w:pPr>
          </w:p>
        </w:tc>
        <w:tc>
          <w:tcPr>
            <w:tcW w:w="12600" w:type="dxa"/>
          </w:tcPr>
          <w:p w14:paraId="54D36E17" w14:textId="4300249B" w:rsidR="00FE5653" w:rsidRPr="002C2C75" w:rsidRDefault="007D3B14" w:rsidP="007D3B14">
            <w:pPr>
              <w:pBdr>
                <w:top w:val="nil"/>
                <w:left w:val="nil"/>
                <w:bottom w:val="nil"/>
                <w:right w:val="nil"/>
                <w:between w:val="nil"/>
              </w:pBdr>
              <w:spacing w:after="80" w:line="264" w:lineRule="auto"/>
              <w:jc w:val="both"/>
              <w:rPr>
                <w:rFonts w:cstheme="minorHAnsi"/>
                <w:color w:val="000000"/>
              </w:rPr>
            </w:pPr>
            <w:r w:rsidRPr="007D3B14">
              <w:rPr>
                <w:rFonts w:cstheme="minorHAnsi"/>
                <w:color w:val="000000"/>
              </w:rPr>
              <w:t>As Mozambique becomes closer to reaching epidemic control and the 95-95-95 HIV strategic targets, understanding the characteristics and needs of key and priority populations, including their knowledge of HIV status, ARV treatment status, and viral load suppression, becomes more and more critical to achieving epidemic control. Therefore, INS, DNSP and partners are developing the National Strategic Plan for HIV Surveillance population groups for describing priority research activities and routine through a Bio-Behavioral Survey (BBS) during the next 10 years in order to generate the data needed to inform program planning and service delivery to key and priority populations to achieve and maintain HIV epidemic control Mozambique.</w:t>
            </w:r>
          </w:p>
        </w:tc>
      </w:tr>
      <w:tr w:rsidR="00FE5653" w:rsidRPr="002C2C75" w14:paraId="1B559356" w14:textId="77777777" w:rsidTr="007D3B14">
        <w:trPr>
          <w:cantSplit/>
        </w:trPr>
        <w:tc>
          <w:tcPr>
            <w:tcW w:w="2605" w:type="dxa"/>
          </w:tcPr>
          <w:p w14:paraId="1F514BE8" w14:textId="10292B01" w:rsidR="00FE5653" w:rsidRPr="00365D5A" w:rsidRDefault="00365D5A" w:rsidP="00FE5653">
            <w:pPr>
              <w:pBdr>
                <w:top w:val="nil"/>
                <w:left w:val="nil"/>
                <w:bottom w:val="nil"/>
                <w:right w:val="nil"/>
                <w:between w:val="nil"/>
              </w:pBdr>
              <w:spacing w:line="264" w:lineRule="auto"/>
              <w:rPr>
                <w:rFonts w:cstheme="minorHAnsi"/>
                <w:b/>
                <w:bCs/>
                <w:color w:val="000000"/>
              </w:rPr>
            </w:pPr>
            <w:r w:rsidRPr="00365D5A">
              <w:rPr>
                <w:rFonts w:cstheme="minorHAnsi"/>
                <w:b/>
                <w:bCs/>
                <w:color w:val="000000"/>
              </w:rPr>
              <w:t>List of activities</w:t>
            </w:r>
          </w:p>
        </w:tc>
        <w:tc>
          <w:tcPr>
            <w:tcW w:w="12600" w:type="dxa"/>
          </w:tcPr>
          <w:p w14:paraId="469623FE" w14:textId="77777777" w:rsidR="00365D5A" w:rsidRDefault="00365D5A" w:rsidP="00365D5A">
            <w:pPr>
              <w:pStyle w:val="ListParagraph"/>
              <w:numPr>
                <w:ilvl w:val="0"/>
                <w:numId w:val="78"/>
              </w:numPr>
              <w:pBdr>
                <w:top w:val="nil"/>
                <w:left w:val="nil"/>
                <w:bottom w:val="nil"/>
                <w:right w:val="nil"/>
                <w:between w:val="nil"/>
              </w:pBdr>
              <w:spacing w:line="264" w:lineRule="auto"/>
              <w:rPr>
                <w:rFonts w:cstheme="minorHAnsi"/>
                <w:color w:val="000000"/>
              </w:rPr>
            </w:pPr>
            <w:r w:rsidRPr="002C2C75">
              <w:rPr>
                <w:rFonts w:cstheme="minorHAnsi"/>
                <w:color w:val="000000"/>
              </w:rPr>
              <w:t>Complete the survey of malaria indicators in the southern region (IIMRS 2024 PHASE II)</w:t>
            </w:r>
          </w:p>
          <w:p w14:paraId="0CD9D1E2" w14:textId="08EFB32D" w:rsidR="00FE5653" w:rsidRPr="002C2C75" w:rsidRDefault="00365D5A" w:rsidP="00365D5A">
            <w:pPr>
              <w:pBdr>
                <w:top w:val="nil"/>
                <w:left w:val="nil"/>
                <w:bottom w:val="nil"/>
                <w:right w:val="nil"/>
                <w:between w:val="nil"/>
              </w:pBdr>
              <w:spacing w:after="0" w:line="264" w:lineRule="auto"/>
              <w:ind w:left="360"/>
              <w:rPr>
                <w:rFonts w:cstheme="minorHAnsi"/>
                <w:color w:val="000000"/>
              </w:rPr>
            </w:pPr>
            <w:r>
              <w:rPr>
                <w:rFonts w:cstheme="minorHAnsi"/>
                <w:b/>
                <w:bCs/>
                <w:color w:val="000000"/>
              </w:rPr>
              <w:t xml:space="preserve">PAAR: </w:t>
            </w:r>
            <w:r w:rsidRPr="00AB709E">
              <w:rPr>
                <w:rFonts w:cstheme="minorHAnsi"/>
                <w:color w:val="000000"/>
              </w:rPr>
              <w:t>Implement BBS among specific groups in 7-9 provinces by 2024: Sex Workers (FSW and MSW) and their clients, non-paying sexual partners of FSW, and men who have sex with men (MSM) and transgender populations</w:t>
            </w:r>
          </w:p>
        </w:tc>
      </w:tr>
      <w:tr w:rsidR="00FE5653" w:rsidRPr="002C2C75" w14:paraId="7F4B1CA7" w14:textId="77777777" w:rsidTr="007D3B14">
        <w:trPr>
          <w:cantSplit/>
        </w:trPr>
        <w:tc>
          <w:tcPr>
            <w:tcW w:w="2605" w:type="dxa"/>
          </w:tcPr>
          <w:p w14:paraId="3D02019D" w14:textId="77777777" w:rsidR="00FE5653" w:rsidRPr="00365D5A" w:rsidRDefault="00FE5653" w:rsidP="00FE5653">
            <w:pPr>
              <w:pBdr>
                <w:top w:val="nil"/>
                <w:left w:val="nil"/>
                <w:bottom w:val="nil"/>
                <w:right w:val="nil"/>
                <w:between w:val="nil"/>
              </w:pBdr>
              <w:spacing w:line="264" w:lineRule="auto"/>
              <w:rPr>
                <w:rFonts w:cstheme="minorHAnsi"/>
                <w:b/>
                <w:bCs/>
                <w:color w:val="000000"/>
              </w:rPr>
            </w:pPr>
            <w:r w:rsidRPr="00365D5A">
              <w:rPr>
                <w:rFonts w:cstheme="minorHAnsi"/>
                <w:b/>
                <w:bCs/>
                <w:color w:val="000000"/>
              </w:rPr>
              <w:t>Amount requested</w:t>
            </w:r>
          </w:p>
        </w:tc>
        <w:tc>
          <w:tcPr>
            <w:tcW w:w="12600" w:type="dxa"/>
          </w:tcPr>
          <w:p w14:paraId="58913F86" w14:textId="77777777" w:rsidR="00FE5653" w:rsidRPr="00AB709E" w:rsidRDefault="00FE5653" w:rsidP="00FE5653">
            <w:pPr>
              <w:pBdr>
                <w:top w:val="nil"/>
                <w:left w:val="nil"/>
                <w:bottom w:val="nil"/>
                <w:right w:val="nil"/>
                <w:between w:val="nil"/>
              </w:pBdr>
              <w:spacing w:line="264" w:lineRule="auto"/>
              <w:rPr>
                <w:rFonts w:cstheme="minorHAnsi"/>
                <w:color w:val="000000"/>
              </w:rPr>
            </w:pPr>
            <w:r w:rsidRPr="002C2C75">
              <w:rPr>
                <w:rFonts w:cstheme="minorHAnsi"/>
                <w:b/>
                <w:bCs/>
                <w:color w:val="000000"/>
              </w:rPr>
              <w:t xml:space="preserve">Within </w:t>
            </w:r>
            <w:r w:rsidRPr="00B04DC7">
              <w:rPr>
                <w:rFonts w:cstheme="minorHAnsi"/>
                <w:b/>
                <w:bCs/>
                <w:color w:val="000000"/>
              </w:rPr>
              <w:t>allocation: $395,900</w:t>
            </w:r>
          </w:p>
          <w:p w14:paraId="1104C6CB" w14:textId="5D90D025" w:rsidR="00FE5653" w:rsidRPr="00AB709E" w:rsidRDefault="00FE5653" w:rsidP="00FE5653">
            <w:pPr>
              <w:pBdr>
                <w:top w:val="nil"/>
                <w:left w:val="nil"/>
                <w:bottom w:val="nil"/>
                <w:right w:val="nil"/>
                <w:between w:val="nil"/>
              </w:pBdr>
              <w:spacing w:line="264" w:lineRule="auto"/>
              <w:rPr>
                <w:rFonts w:cstheme="minorHAnsi"/>
                <w:color w:val="000000"/>
              </w:rPr>
            </w:pPr>
            <w:r w:rsidRPr="00AB709E">
              <w:rPr>
                <w:rFonts w:cstheme="minorHAnsi"/>
                <w:b/>
                <w:bCs/>
                <w:color w:val="000000"/>
              </w:rPr>
              <w:t xml:space="preserve">PAAR: </w:t>
            </w:r>
            <w:r>
              <w:rPr>
                <w:rFonts w:cstheme="minorHAnsi"/>
                <w:b/>
                <w:bCs/>
                <w:color w:val="000000"/>
              </w:rPr>
              <w:t>$5,108,586</w:t>
            </w:r>
          </w:p>
        </w:tc>
      </w:tr>
      <w:tr w:rsidR="00365D5A" w:rsidRPr="002C2C75" w14:paraId="120111C5" w14:textId="77777777" w:rsidTr="007D3B14">
        <w:trPr>
          <w:cantSplit/>
        </w:trPr>
        <w:tc>
          <w:tcPr>
            <w:tcW w:w="2605" w:type="dxa"/>
          </w:tcPr>
          <w:p w14:paraId="7AD10BA7" w14:textId="23D1C97B" w:rsidR="00365D5A" w:rsidRPr="00365D5A" w:rsidRDefault="00365D5A" w:rsidP="00365D5A">
            <w:pPr>
              <w:pBdr>
                <w:top w:val="nil"/>
                <w:left w:val="nil"/>
                <w:bottom w:val="nil"/>
                <w:right w:val="nil"/>
                <w:between w:val="nil"/>
              </w:pBdr>
              <w:spacing w:line="264" w:lineRule="auto"/>
              <w:rPr>
                <w:rFonts w:cstheme="minorHAnsi"/>
                <w:b/>
                <w:bCs/>
                <w:color w:val="000000"/>
              </w:rPr>
            </w:pPr>
            <w:r w:rsidRPr="00365D5A">
              <w:rPr>
                <w:rFonts w:cstheme="minorHAnsi"/>
                <w:b/>
                <w:bCs/>
                <w:color w:val="000000"/>
              </w:rPr>
              <w:t>Expected outcome</w:t>
            </w:r>
          </w:p>
        </w:tc>
        <w:tc>
          <w:tcPr>
            <w:tcW w:w="12600" w:type="dxa"/>
          </w:tcPr>
          <w:p w14:paraId="40B8F0F7" w14:textId="422B3A44" w:rsidR="00365D5A" w:rsidRPr="002C2C75" w:rsidRDefault="00365D5A" w:rsidP="00365D5A">
            <w:pPr>
              <w:pBdr>
                <w:top w:val="nil"/>
                <w:left w:val="nil"/>
                <w:bottom w:val="nil"/>
                <w:right w:val="nil"/>
                <w:between w:val="nil"/>
              </w:pBdr>
              <w:spacing w:line="264" w:lineRule="auto"/>
              <w:rPr>
                <w:rFonts w:cstheme="minorHAnsi"/>
                <w:b/>
                <w:bCs/>
                <w:color w:val="000000"/>
              </w:rPr>
            </w:pPr>
            <w:r w:rsidRPr="002C2C75">
              <w:rPr>
                <w:rFonts w:cstheme="minorHAnsi"/>
                <w:color w:val="000000"/>
              </w:rPr>
              <w:t>Ensured availability of population-based data and information for programmatic decision-making</w:t>
            </w:r>
          </w:p>
        </w:tc>
      </w:tr>
      <w:tr w:rsidR="00365D5A" w:rsidRPr="002C2C75" w14:paraId="6D8192D5" w14:textId="77777777" w:rsidTr="007D3B14">
        <w:trPr>
          <w:cantSplit/>
        </w:trPr>
        <w:tc>
          <w:tcPr>
            <w:tcW w:w="2605" w:type="dxa"/>
          </w:tcPr>
          <w:p w14:paraId="2FFC371E" w14:textId="1858AD79" w:rsidR="00365D5A" w:rsidRPr="00FE5653" w:rsidRDefault="00365D5A" w:rsidP="00365D5A">
            <w:pPr>
              <w:pBdr>
                <w:top w:val="nil"/>
                <w:left w:val="nil"/>
                <w:bottom w:val="nil"/>
                <w:right w:val="nil"/>
                <w:between w:val="nil"/>
              </w:pBdr>
              <w:spacing w:line="264" w:lineRule="auto"/>
              <w:rPr>
                <w:rFonts w:cstheme="minorHAnsi"/>
                <w:b/>
                <w:bCs/>
                <w:color w:val="000000"/>
              </w:rPr>
            </w:pPr>
            <w:r w:rsidRPr="00FE5653">
              <w:rPr>
                <w:rFonts w:cstheme="minorHAnsi"/>
                <w:b/>
                <w:bCs/>
                <w:color w:val="000000"/>
              </w:rPr>
              <w:t xml:space="preserve">Intervention(s) </w:t>
            </w:r>
          </w:p>
        </w:tc>
        <w:tc>
          <w:tcPr>
            <w:tcW w:w="12600" w:type="dxa"/>
          </w:tcPr>
          <w:p w14:paraId="574AA562" w14:textId="37A81E4F" w:rsidR="00365D5A" w:rsidRPr="00FE5653" w:rsidRDefault="00365D5A" w:rsidP="00365D5A">
            <w:pPr>
              <w:pBdr>
                <w:top w:val="nil"/>
                <w:left w:val="nil"/>
                <w:bottom w:val="nil"/>
                <w:right w:val="nil"/>
                <w:between w:val="nil"/>
              </w:pBdr>
              <w:spacing w:line="264" w:lineRule="auto"/>
              <w:rPr>
                <w:rFonts w:cstheme="minorHAnsi"/>
                <w:color w:val="000000"/>
              </w:rPr>
            </w:pPr>
            <w:r>
              <w:rPr>
                <w:rFonts w:cstheme="minorHAnsi"/>
                <w:b/>
                <w:bCs/>
                <w:color w:val="000000"/>
              </w:rPr>
              <w:t xml:space="preserve">Intervention: </w:t>
            </w:r>
            <w:r w:rsidRPr="00FE5653">
              <w:rPr>
                <w:rFonts w:cstheme="minorHAnsi"/>
                <w:color w:val="000000"/>
              </w:rPr>
              <w:t>Data quality</w:t>
            </w:r>
          </w:p>
          <w:p w14:paraId="79DB4F63" w14:textId="105D3C4C" w:rsidR="00365D5A" w:rsidRPr="002C2C75" w:rsidRDefault="00365D5A" w:rsidP="00365D5A">
            <w:pPr>
              <w:pBdr>
                <w:top w:val="nil"/>
                <w:left w:val="nil"/>
                <w:bottom w:val="nil"/>
                <w:right w:val="nil"/>
                <w:between w:val="nil"/>
              </w:pBdr>
              <w:spacing w:line="264" w:lineRule="auto"/>
              <w:rPr>
                <w:rFonts w:cstheme="minorHAnsi"/>
                <w:color w:val="000000"/>
              </w:rPr>
            </w:pPr>
            <w:r w:rsidRPr="00FE5653">
              <w:rPr>
                <w:rFonts w:cstheme="minorHAnsi"/>
                <w:color w:val="000000"/>
              </w:rPr>
              <w:t>Change in Pro</w:t>
            </w:r>
            <w:r w:rsidRPr="002C2C75">
              <w:rPr>
                <w:rFonts w:cstheme="minorHAnsi"/>
                <w:color w:val="000000"/>
              </w:rPr>
              <w:t xml:space="preserve">gramming from current grant: </w:t>
            </w:r>
            <w:sdt>
              <w:sdtPr>
                <w:rPr>
                  <w:rFonts w:cstheme="minorHAnsi"/>
                </w:rPr>
                <w:tag w:val="goog_rdk_353"/>
                <w:id w:val="-1007832984"/>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New, </w:t>
            </w:r>
            <w:sdt>
              <w:sdtPr>
                <w:rPr>
                  <w:rFonts w:cstheme="minorHAnsi"/>
                </w:rPr>
                <w:tag w:val="goog_rdk_354"/>
                <w:id w:val="-456567406"/>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Scale-up,</w:t>
            </w:r>
            <w:r>
              <w:rPr>
                <w:rFonts w:cstheme="minorHAnsi"/>
              </w:rPr>
              <w:t xml:space="preserve"> </w:t>
            </w:r>
            <w:sdt>
              <w:sdtPr>
                <w:rPr>
                  <w:rFonts w:cstheme="minorHAnsi"/>
                </w:rPr>
                <w:tag w:val="goog_rdk_352"/>
                <w:id w:val="-1988697108"/>
              </w:sdtPr>
              <w:sdtContent>
                <w:sdt>
                  <w:sdtPr>
                    <w:rPr>
                      <w:rFonts w:cstheme="minorHAnsi"/>
                    </w:rPr>
                    <w:tag w:val="goog_rdk_238"/>
                    <w:id w:val="-1239485598"/>
                  </w:sdtPr>
                  <w:sdtContent>
                    <w:r w:rsidRPr="002C2C75">
                      <w:rPr>
                        <w:rFonts w:ascii="Segoe UI Symbol" w:eastAsia="Arial Unicode MS" w:hAnsi="Segoe UI Symbol" w:cs="Segoe UI Symbol"/>
                        <w:color w:val="000000"/>
                      </w:rPr>
                      <w:t>☒</w:t>
                    </w:r>
                  </w:sdtContent>
                </w:sdt>
              </w:sdtContent>
            </w:sdt>
            <w:r w:rsidRPr="002C2C75">
              <w:rPr>
                <w:rFonts w:cstheme="minorHAnsi"/>
                <w:color w:val="000000"/>
              </w:rPr>
              <w:t xml:space="preserve"> Continuation, or </w:t>
            </w:r>
            <w:sdt>
              <w:sdtPr>
                <w:rPr>
                  <w:rFonts w:cstheme="minorHAnsi"/>
                </w:rPr>
                <w:tag w:val="goog_rdk_356"/>
                <w:id w:val="869878800"/>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Scale-down</w:t>
            </w:r>
          </w:p>
        </w:tc>
      </w:tr>
      <w:tr w:rsidR="00BA6C77" w:rsidRPr="002C2C75" w14:paraId="508BCABA" w14:textId="77777777" w:rsidTr="007D3B14">
        <w:trPr>
          <w:cantSplit/>
        </w:trPr>
        <w:tc>
          <w:tcPr>
            <w:tcW w:w="2605" w:type="dxa"/>
          </w:tcPr>
          <w:p w14:paraId="41AF2300" w14:textId="0644A621" w:rsidR="00BA6C77" w:rsidRPr="00FE5653" w:rsidRDefault="00BA6C77" w:rsidP="00365D5A">
            <w:pPr>
              <w:pBdr>
                <w:top w:val="nil"/>
                <w:left w:val="nil"/>
                <w:bottom w:val="nil"/>
                <w:right w:val="nil"/>
                <w:between w:val="nil"/>
              </w:pBdr>
              <w:spacing w:line="264" w:lineRule="auto"/>
              <w:rPr>
                <w:rFonts w:cstheme="minorHAnsi"/>
                <w:b/>
                <w:bCs/>
                <w:color w:val="000000"/>
              </w:rPr>
            </w:pPr>
            <w:r w:rsidRPr="00FE5653">
              <w:rPr>
                <w:rFonts w:cstheme="minorHAnsi"/>
                <w:b/>
                <w:bCs/>
                <w:color w:val="000000"/>
              </w:rPr>
              <w:t>Population, geographies and/or barriers addressed</w:t>
            </w:r>
          </w:p>
        </w:tc>
        <w:tc>
          <w:tcPr>
            <w:tcW w:w="12600" w:type="dxa"/>
          </w:tcPr>
          <w:p w14:paraId="1F78CDFF" w14:textId="77777777" w:rsidR="00BA6C77" w:rsidRDefault="00BA6C77" w:rsidP="00BA6C77">
            <w:pPr>
              <w:pBdr>
                <w:top w:val="nil"/>
                <w:left w:val="nil"/>
                <w:bottom w:val="nil"/>
                <w:right w:val="nil"/>
                <w:between w:val="nil"/>
              </w:pBdr>
              <w:spacing w:line="264" w:lineRule="auto"/>
              <w:jc w:val="both"/>
              <w:rPr>
                <w:rFonts w:cstheme="minorHAnsi"/>
                <w:color w:val="000000"/>
              </w:rPr>
            </w:pPr>
            <w:r w:rsidRPr="007D3B14">
              <w:rPr>
                <w:rFonts w:cstheme="minorHAnsi"/>
                <w:color w:val="000000"/>
              </w:rPr>
              <w:t>Although there has not been a recent rigorous and nationally representative assessment of data quality (The 2023 National Data Quality Review - DQR is currently ongoing), most users of the Health Information System (SIS), including Malaria, HIV and TB programs highlighted poor data quality as a major challenge for effective evidence-based decision-making. Data quality issues identified include incomplete data (e.g., the private sector does not routinely provide data), inaccurate or highly inconsistent data (e.g., coverage vaccination rates greater than 100%), misalignment between the data necessary for decision-making (e.g., the registration of clinical data), as well as data reporting delays. Quality challenges are also due to the huge amount of data collected, duplication of data collection and entry, parallel manual and electronic data systems, inconsistent verification, issues with records and data collection instructions, underutilization of DHS2 validation, analysis, and quality functions. These systemic data quality issues pose a major challenge to inform policy making, strategic planning, monitor health service delivery performance, accurately estimate resource needs, and identify emerging health and service delivery issues.</w:t>
            </w:r>
          </w:p>
          <w:p w14:paraId="76DE7DC4" w14:textId="66B15C59" w:rsidR="00BA6C77" w:rsidRPr="00BA6C77" w:rsidRDefault="00BA6C77" w:rsidP="00BA6C77">
            <w:pPr>
              <w:pBdr>
                <w:top w:val="nil"/>
                <w:left w:val="nil"/>
                <w:bottom w:val="nil"/>
                <w:right w:val="nil"/>
                <w:between w:val="nil"/>
              </w:pBdr>
              <w:spacing w:line="264" w:lineRule="auto"/>
              <w:jc w:val="both"/>
              <w:rPr>
                <w:rFonts w:cstheme="minorHAnsi"/>
                <w:color w:val="000000"/>
              </w:rPr>
            </w:pPr>
            <w:r w:rsidRPr="007D3B14">
              <w:rPr>
                <w:rFonts w:cstheme="minorHAnsi"/>
                <w:color w:val="000000"/>
              </w:rPr>
              <w:t>Several isolated and largely vertical initiatives aimed at improving data quality have been implemented in the various health information subsystems, but a comprehensive and systemic approach to the root causes of poor data quality is needed, which will be based on various studies and data quality assessments that have been conducted and results from the ongoing National Data Quality Review (DQR).</w:t>
            </w:r>
          </w:p>
        </w:tc>
      </w:tr>
      <w:tr w:rsidR="00365D5A" w:rsidRPr="002C2C75" w14:paraId="04118CF3" w14:textId="77777777" w:rsidTr="007D3B14">
        <w:trPr>
          <w:cantSplit/>
        </w:trPr>
        <w:tc>
          <w:tcPr>
            <w:tcW w:w="2605" w:type="dxa"/>
          </w:tcPr>
          <w:p w14:paraId="1EEAD79D" w14:textId="75277872" w:rsidR="00365D5A" w:rsidRPr="00FE5653" w:rsidRDefault="00365D5A" w:rsidP="00365D5A">
            <w:pPr>
              <w:pBdr>
                <w:top w:val="nil"/>
                <w:left w:val="nil"/>
                <w:bottom w:val="nil"/>
                <w:right w:val="nil"/>
                <w:between w:val="nil"/>
              </w:pBdr>
              <w:spacing w:line="264" w:lineRule="auto"/>
              <w:rPr>
                <w:rFonts w:cstheme="minorHAnsi"/>
                <w:b/>
                <w:bCs/>
                <w:color w:val="000000"/>
              </w:rPr>
            </w:pPr>
          </w:p>
        </w:tc>
        <w:tc>
          <w:tcPr>
            <w:tcW w:w="12600" w:type="dxa"/>
          </w:tcPr>
          <w:p w14:paraId="2D78884C" w14:textId="068FB586" w:rsidR="00365D5A" w:rsidRPr="002C2C75" w:rsidRDefault="007D3B14" w:rsidP="007D3B14">
            <w:pPr>
              <w:pBdr>
                <w:top w:val="nil"/>
                <w:left w:val="nil"/>
                <w:bottom w:val="nil"/>
                <w:right w:val="nil"/>
                <w:between w:val="nil"/>
              </w:pBdr>
              <w:spacing w:line="264" w:lineRule="auto"/>
              <w:jc w:val="both"/>
              <w:rPr>
                <w:rFonts w:cstheme="minorHAnsi"/>
                <w:color w:val="000000"/>
              </w:rPr>
            </w:pPr>
            <w:r w:rsidRPr="007D3B14">
              <w:rPr>
                <w:rFonts w:cstheme="minorHAnsi"/>
                <w:color w:val="000000"/>
              </w:rPr>
              <w:t>MoH has held longstanding technical collaboration (under memoranda of understanding) with the Faculty of Medicine and the Faculty of Sciences at Eduardo Mondlane University (UEM), University of Oslo, National Agency for Geospatial Development (ADE), and Zenysis; under that collaboration, three areas have been covered: i) technical capacity building, both formal (through training of MOH staff in Masters degree courses in M&amp;E, health information management and leadership; ii) informal professional development (through short-term trainings on professional topics such as data analytics - via PERSUADE, program evaluation and statistics; iii) technical consultancy mostly focused on guidelines, policy and strategy development and maintenance of SISMA (DHIS2)</w:t>
            </w:r>
          </w:p>
        </w:tc>
      </w:tr>
      <w:tr w:rsidR="00365D5A" w:rsidRPr="002C2C75" w14:paraId="43218824" w14:textId="77777777" w:rsidTr="007D3B14">
        <w:trPr>
          <w:cantSplit/>
        </w:trPr>
        <w:tc>
          <w:tcPr>
            <w:tcW w:w="2605" w:type="dxa"/>
          </w:tcPr>
          <w:p w14:paraId="305908BD" w14:textId="1E0FB274" w:rsidR="00365D5A" w:rsidRPr="00FE5653" w:rsidRDefault="00365D5A" w:rsidP="00365D5A">
            <w:pPr>
              <w:pBdr>
                <w:top w:val="nil"/>
                <w:left w:val="nil"/>
                <w:bottom w:val="nil"/>
                <w:right w:val="nil"/>
                <w:between w:val="nil"/>
              </w:pBdr>
              <w:spacing w:line="264" w:lineRule="auto"/>
              <w:rPr>
                <w:rFonts w:cstheme="minorHAnsi"/>
                <w:b/>
                <w:bCs/>
                <w:color w:val="000000"/>
              </w:rPr>
            </w:pPr>
            <w:r w:rsidRPr="00FE5653">
              <w:rPr>
                <w:rFonts w:cstheme="minorHAnsi"/>
                <w:b/>
                <w:bCs/>
                <w:color w:val="000000"/>
              </w:rPr>
              <w:t>List of activities</w:t>
            </w:r>
          </w:p>
        </w:tc>
        <w:tc>
          <w:tcPr>
            <w:tcW w:w="12600" w:type="dxa"/>
          </w:tcPr>
          <w:p w14:paraId="286F0413" w14:textId="77777777" w:rsidR="007D3B14" w:rsidRPr="007D3B14" w:rsidRDefault="007D3B14" w:rsidP="007D3B14">
            <w:pPr>
              <w:numPr>
                <w:ilvl w:val="0"/>
                <w:numId w:val="61"/>
              </w:numPr>
              <w:pBdr>
                <w:top w:val="nil"/>
                <w:left w:val="nil"/>
                <w:bottom w:val="nil"/>
                <w:right w:val="nil"/>
                <w:between w:val="nil"/>
              </w:pBdr>
              <w:spacing w:after="0" w:line="264" w:lineRule="auto"/>
              <w:rPr>
                <w:rFonts w:cstheme="minorHAnsi"/>
                <w:color w:val="000000"/>
              </w:rPr>
            </w:pPr>
            <w:r w:rsidRPr="007D3B14">
              <w:rPr>
                <w:rFonts w:cstheme="minorHAnsi"/>
                <w:color w:val="000000"/>
              </w:rPr>
              <w:t>Develop and implement a National Strategy to Improve Data Quality at all levels of the SNS</w:t>
            </w:r>
          </w:p>
          <w:p w14:paraId="45FC04B9" w14:textId="77777777" w:rsidR="007D3B14" w:rsidRPr="007D3B14" w:rsidRDefault="007D3B14" w:rsidP="007D3B14">
            <w:pPr>
              <w:numPr>
                <w:ilvl w:val="0"/>
                <w:numId w:val="61"/>
              </w:numPr>
              <w:pBdr>
                <w:top w:val="nil"/>
                <w:left w:val="nil"/>
                <w:bottom w:val="nil"/>
                <w:right w:val="nil"/>
                <w:between w:val="nil"/>
              </w:pBdr>
              <w:spacing w:after="0" w:line="264" w:lineRule="auto"/>
              <w:rPr>
                <w:rFonts w:cstheme="minorHAnsi"/>
                <w:color w:val="000000"/>
              </w:rPr>
            </w:pPr>
            <w:r w:rsidRPr="007D3B14">
              <w:rPr>
                <w:rFonts w:cstheme="minorHAnsi"/>
                <w:color w:val="000000"/>
              </w:rPr>
              <w:t>Review and reduce the amount of routine data collected to essentials M&amp;E and strategic decision making needs</w:t>
            </w:r>
          </w:p>
          <w:p w14:paraId="704E1368" w14:textId="77777777" w:rsidR="007D3B14" w:rsidRPr="007D3B14" w:rsidRDefault="007D3B14" w:rsidP="007D3B14">
            <w:pPr>
              <w:numPr>
                <w:ilvl w:val="0"/>
                <w:numId w:val="61"/>
              </w:numPr>
              <w:pBdr>
                <w:top w:val="nil"/>
                <w:left w:val="nil"/>
                <w:bottom w:val="nil"/>
                <w:right w:val="nil"/>
                <w:between w:val="nil"/>
              </w:pBdr>
              <w:spacing w:after="0" w:line="264" w:lineRule="auto"/>
              <w:rPr>
                <w:rFonts w:cstheme="minorHAnsi"/>
                <w:color w:val="000000"/>
              </w:rPr>
            </w:pPr>
            <w:r w:rsidRPr="007D3B14">
              <w:rPr>
                <w:rFonts w:cstheme="minorHAnsi"/>
                <w:color w:val="000000"/>
              </w:rPr>
              <w:t>Review registration forms, reports and other data collection tools and leverage the existing case-based surveillance and case management platform to further strengthen the current SISMA.</w:t>
            </w:r>
          </w:p>
          <w:p w14:paraId="7E4B73B0" w14:textId="77777777" w:rsidR="007D3B14" w:rsidRPr="007D3B14" w:rsidRDefault="007D3B14" w:rsidP="007D3B14">
            <w:pPr>
              <w:numPr>
                <w:ilvl w:val="0"/>
                <w:numId w:val="61"/>
              </w:numPr>
              <w:pBdr>
                <w:top w:val="nil"/>
                <w:left w:val="nil"/>
                <w:bottom w:val="nil"/>
                <w:right w:val="nil"/>
                <w:between w:val="nil"/>
              </w:pBdr>
              <w:spacing w:after="0" w:line="264" w:lineRule="auto"/>
              <w:rPr>
                <w:rFonts w:cstheme="minorHAnsi"/>
                <w:color w:val="000000"/>
              </w:rPr>
            </w:pPr>
            <w:r w:rsidRPr="007D3B14">
              <w:rPr>
                <w:rFonts w:cstheme="minorHAnsi"/>
                <w:color w:val="000000"/>
              </w:rPr>
              <w:t>Develop Standard Operating Procedures (SOPs) for collecting, compiling, verifying and digitizing data</w:t>
            </w:r>
          </w:p>
          <w:p w14:paraId="2FA23155" w14:textId="77777777" w:rsidR="007D3B14" w:rsidRPr="007D3B14" w:rsidRDefault="007D3B14" w:rsidP="007D3B14">
            <w:pPr>
              <w:numPr>
                <w:ilvl w:val="0"/>
                <w:numId w:val="61"/>
              </w:numPr>
              <w:pBdr>
                <w:top w:val="nil"/>
                <w:left w:val="nil"/>
                <w:bottom w:val="nil"/>
                <w:right w:val="nil"/>
                <w:between w:val="nil"/>
              </w:pBdr>
              <w:spacing w:after="0" w:line="264" w:lineRule="auto"/>
              <w:rPr>
                <w:rFonts w:cstheme="minorHAnsi"/>
                <w:color w:val="000000"/>
              </w:rPr>
            </w:pPr>
            <w:r w:rsidRPr="007D3B14">
              <w:rPr>
                <w:rFonts w:cstheme="minorHAnsi"/>
                <w:color w:val="000000"/>
              </w:rPr>
              <w:t>Update provincial and district HIS managers on the use of the SISMA data quality tool (App Data Quality tool)</w:t>
            </w:r>
          </w:p>
          <w:p w14:paraId="7C4B503C" w14:textId="77777777" w:rsidR="007D3B14" w:rsidRPr="007D3B14" w:rsidRDefault="007D3B14" w:rsidP="007D3B14">
            <w:pPr>
              <w:numPr>
                <w:ilvl w:val="0"/>
                <w:numId w:val="61"/>
              </w:numPr>
              <w:pBdr>
                <w:top w:val="nil"/>
                <w:left w:val="nil"/>
                <w:bottom w:val="nil"/>
                <w:right w:val="nil"/>
                <w:between w:val="nil"/>
              </w:pBdr>
              <w:spacing w:after="0" w:line="264" w:lineRule="auto"/>
              <w:rPr>
                <w:rFonts w:cstheme="minorHAnsi"/>
                <w:color w:val="000000"/>
              </w:rPr>
            </w:pPr>
            <w:r w:rsidRPr="007D3B14">
              <w:rPr>
                <w:rFonts w:cstheme="minorHAnsi"/>
                <w:color w:val="000000"/>
              </w:rPr>
              <w:t>Develop an interoperability architecture and ICT framework leveraging the FHIR standard based on WHO SMART guidelines to bring in data from multiple sources and programs such as Surveillance Systems (HIV, TB, Malaria), LIS (including GeneXpert) , CLM data, etc., under an integrated and centralized data storage system, including the internet network.</w:t>
            </w:r>
          </w:p>
          <w:p w14:paraId="7051FD23" w14:textId="77777777" w:rsidR="007D3B14" w:rsidRPr="007D3B14" w:rsidRDefault="007D3B14" w:rsidP="007D3B14">
            <w:pPr>
              <w:numPr>
                <w:ilvl w:val="0"/>
                <w:numId w:val="61"/>
              </w:numPr>
              <w:pBdr>
                <w:top w:val="nil"/>
                <w:left w:val="nil"/>
                <w:bottom w:val="nil"/>
                <w:right w:val="nil"/>
                <w:between w:val="nil"/>
              </w:pBdr>
              <w:spacing w:after="0" w:line="264" w:lineRule="auto"/>
              <w:rPr>
                <w:rFonts w:cstheme="minorHAnsi"/>
                <w:color w:val="000000"/>
              </w:rPr>
            </w:pPr>
            <w:r w:rsidRPr="007D3B14">
              <w:rPr>
                <w:rFonts w:cstheme="minorHAnsi"/>
                <w:color w:val="000000"/>
              </w:rPr>
              <w:t>Develop a comprehensive data analysis and use strategy for national, subnational and US levels, including dashboards, visualizations and reports, designing and building queries, and creating algorithms and models to reveal the resulting information from collected data .</w:t>
            </w:r>
          </w:p>
          <w:p w14:paraId="146924EC" w14:textId="77777777" w:rsidR="007D3B14" w:rsidRPr="007D3B14" w:rsidRDefault="007D3B14" w:rsidP="007D3B14">
            <w:pPr>
              <w:numPr>
                <w:ilvl w:val="0"/>
                <w:numId w:val="61"/>
              </w:numPr>
              <w:pBdr>
                <w:top w:val="nil"/>
                <w:left w:val="nil"/>
                <w:bottom w:val="nil"/>
                <w:right w:val="nil"/>
                <w:between w:val="nil"/>
              </w:pBdr>
              <w:spacing w:after="0" w:line="264" w:lineRule="auto"/>
              <w:rPr>
                <w:rFonts w:cstheme="minorHAnsi"/>
                <w:color w:val="000000"/>
              </w:rPr>
            </w:pPr>
            <w:r w:rsidRPr="007D3B14">
              <w:rPr>
                <w:rFonts w:cstheme="minorHAnsi"/>
                <w:color w:val="000000"/>
              </w:rPr>
              <w:t>Carry out the National Data Quality Assessment in 2026</w:t>
            </w:r>
          </w:p>
          <w:p w14:paraId="20BA394B" w14:textId="77777777" w:rsidR="007D3B14" w:rsidRPr="007D3B14" w:rsidRDefault="007D3B14" w:rsidP="007D3B14">
            <w:pPr>
              <w:numPr>
                <w:ilvl w:val="0"/>
                <w:numId w:val="61"/>
              </w:numPr>
              <w:pBdr>
                <w:top w:val="nil"/>
                <w:left w:val="nil"/>
                <w:bottom w:val="nil"/>
                <w:right w:val="nil"/>
                <w:between w:val="nil"/>
              </w:pBdr>
              <w:spacing w:after="0" w:line="264" w:lineRule="auto"/>
              <w:rPr>
                <w:rFonts w:cstheme="minorHAnsi"/>
                <w:color w:val="000000"/>
              </w:rPr>
            </w:pPr>
            <w:r w:rsidRPr="007D3B14">
              <w:rPr>
                <w:rFonts w:cstheme="minorHAnsi"/>
                <w:color w:val="000000"/>
              </w:rPr>
              <w:t>Regulate all HIS revisions, including the introduction of new tools, data elements or additional systems.</w:t>
            </w:r>
          </w:p>
          <w:p w14:paraId="2334B7A2" w14:textId="77777777" w:rsidR="007D3B14" w:rsidRPr="007D3B14" w:rsidRDefault="007D3B14" w:rsidP="007D3B14">
            <w:pPr>
              <w:numPr>
                <w:ilvl w:val="0"/>
                <w:numId w:val="61"/>
              </w:numPr>
              <w:pBdr>
                <w:top w:val="nil"/>
                <w:left w:val="nil"/>
                <w:bottom w:val="nil"/>
                <w:right w:val="nil"/>
                <w:between w:val="nil"/>
              </w:pBdr>
              <w:spacing w:after="0" w:line="264" w:lineRule="auto"/>
              <w:rPr>
                <w:rFonts w:cstheme="minorHAnsi"/>
                <w:color w:val="000000"/>
              </w:rPr>
            </w:pPr>
            <w:r w:rsidRPr="007D3B14">
              <w:rPr>
                <w:rFonts w:cstheme="minorHAnsi"/>
                <w:color w:val="000000"/>
              </w:rPr>
              <w:t>Expand the implementation of the TR-BED PLUS module (Real Time - Daily Epidemiological Bulletin) to all HFs</w:t>
            </w:r>
          </w:p>
          <w:p w14:paraId="38757CF9" w14:textId="77777777" w:rsidR="007D3B14" w:rsidRPr="007D3B14" w:rsidRDefault="007D3B14" w:rsidP="007D3B14">
            <w:pPr>
              <w:numPr>
                <w:ilvl w:val="0"/>
                <w:numId w:val="61"/>
              </w:numPr>
              <w:pBdr>
                <w:top w:val="nil"/>
                <w:left w:val="nil"/>
                <w:bottom w:val="nil"/>
                <w:right w:val="nil"/>
                <w:between w:val="nil"/>
              </w:pBdr>
              <w:spacing w:after="0" w:line="264" w:lineRule="auto"/>
              <w:rPr>
                <w:rFonts w:cstheme="minorHAnsi"/>
                <w:color w:val="000000"/>
              </w:rPr>
            </w:pPr>
            <w:r w:rsidRPr="007D3B14">
              <w:rPr>
                <w:rFonts w:cstheme="minorHAnsi"/>
                <w:color w:val="000000"/>
              </w:rPr>
              <w:t xml:space="preserve">Expand gradually the computerization of HIS from hospitals and high-volume primary HFs, as part of a structured project to integrate the Hospital Management System and Monitoring of Chronic Patients </w:t>
            </w:r>
          </w:p>
          <w:p w14:paraId="0E481C00" w14:textId="77777777" w:rsidR="007D3B14" w:rsidRPr="007D3B14" w:rsidRDefault="007D3B14" w:rsidP="007D3B14">
            <w:pPr>
              <w:numPr>
                <w:ilvl w:val="0"/>
                <w:numId w:val="61"/>
              </w:numPr>
              <w:pBdr>
                <w:top w:val="nil"/>
                <w:left w:val="nil"/>
                <w:bottom w:val="nil"/>
                <w:right w:val="nil"/>
                <w:between w:val="nil"/>
              </w:pBdr>
              <w:spacing w:after="0" w:line="264" w:lineRule="auto"/>
              <w:rPr>
                <w:rFonts w:cstheme="minorHAnsi"/>
                <w:color w:val="000000"/>
              </w:rPr>
            </w:pPr>
            <w:r w:rsidRPr="007D3B14">
              <w:rPr>
                <w:rFonts w:cstheme="minorHAnsi"/>
                <w:color w:val="000000"/>
              </w:rPr>
              <w:t>Expand gradually the computerization of the Laboratory and Pharmacy information systems</w:t>
            </w:r>
          </w:p>
          <w:p w14:paraId="61D4FE02" w14:textId="7F66E0AC" w:rsidR="00365D5A" w:rsidRPr="00FE5653" w:rsidRDefault="007D3B14" w:rsidP="007D3B14">
            <w:pPr>
              <w:numPr>
                <w:ilvl w:val="0"/>
                <w:numId w:val="61"/>
              </w:numPr>
              <w:pBdr>
                <w:top w:val="nil"/>
                <w:left w:val="nil"/>
                <w:bottom w:val="nil"/>
                <w:right w:val="nil"/>
                <w:between w:val="nil"/>
              </w:pBdr>
              <w:spacing w:after="0" w:line="264" w:lineRule="auto"/>
              <w:rPr>
                <w:rFonts w:cstheme="minorHAnsi"/>
                <w:color w:val="000000"/>
              </w:rPr>
            </w:pPr>
            <w:r w:rsidRPr="007D3B14">
              <w:rPr>
                <w:rFonts w:cstheme="minorHAnsi"/>
                <w:color w:val="000000"/>
              </w:rPr>
              <w:t>Introduce routine Community Health Information Subsystem (SIS-C) in all provinces.</w:t>
            </w:r>
          </w:p>
        </w:tc>
      </w:tr>
      <w:tr w:rsidR="00365D5A" w:rsidRPr="002C2C75" w14:paraId="47DBED20" w14:textId="77777777" w:rsidTr="007D3B14">
        <w:trPr>
          <w:cantSplit/>
        </w:trPr>
        <w:tc>
          <w:tcPr>
            <w:tcW w:w="2605" w:type="dxa"/>
          </w:tcPr>
          <w:p w14:paraId="787098C1" w14:textId="77777777" w:rsidR="00365D5A" w:rsidRPr="00FE5653" w:rsidRDefault="00365D5A" w:rsidP="00365D5A">
            <w:pPr>
              <w:pBdr>
                <w:top w:val="nil"/>
                <w:left w:val="nil"/>
                <w:bottom w:val="nil"/>
                <w:right w:val="nil"/>
                <w:between w:val="nil"/>
              </w:pBdr>
              <w:spacing w:line="264" w:lineRule="auto"/>
              <w:rPr>
                <w:rFonts w:cstheme="minorHAnsi"/>
                <w:b/>
                <w:bCs/>
                <w:color w:val="000000"/>
              </w:rPr>
            </w:pPr>
            <w:r w:rsidRPr="00FE5653">
              <w:rPr>
                <w:rFonts w:cstheme="minorHAnsi"/>
                <w:b/>
                <w:bCs/>
                <w:color w:val="000000"/>
              </w:rPr>
              <w:t>Amount requested</w:t>
            </w:r>
          </w:p>
        </w:tc>
        <w:tc>
          <w:tcPr>
            <w:tcW w:w="12600" w:type="dxa"/>
          </w:tcPr>
          <w:p w14:paraId="12A10F7D" w14:textId="1D6B1F0D" w:rsidR="00365D5A" w:rsidRPr="002C2C75" w:rsidRDefault="00365D5A" w:rsidP="00365D5A">
            <w:pPr>
              <w:pBdr>
                <w:top w:val="nil"/>
                <w:left w:val="nil"/>
                <w:bottom w:val="nil"/>
                <w:right w:val="nil"/>
                <w:between w:val="nil"/>
              </w:pBdr>
              <w:spacing w:line="264" w:lineRule="auto"/>
              <w:rPr>
                <w:rFonts w:cstheme="minorHAnsi"/>
                <w:b/>
                <w:bCs/>
                <w:color w:val="000000"/>
              </w:rPr>
            </w:pPr>
            <w:r w:rsidRPr="002C2C75">
              <w:rPr>
                <w:rFonts w:cstheme="minorHAnsi"/>
                <w:b/>
                <w:bCs/>
                <w:color w:val="000000"/>
              </w:rPr>
              <w:t>Within allocation: $5,500,000</w:t>
            </w:r>
          </w:p>
        </w:tc>
      </w:tr>
      <w:tr w:rsidR="00365D5A" w:rsidRPr="002C2C75" w14:paraId="6BAF1BD6" w14:textId="77777777" w:rsidTr="007D3B14">
        <w:trPr>
          <w:cantSplit/>
        </w:trPr>
        <w:tc>
          <w:tcPr>
            <w:tcW w:w="2605" w:type="dxa"/>
          </w:tcPr>
          <w:p w14:paraId="63CB306B" w14:textId="523382B7" w:rsidR="00D74F83" w:rsidRPr="00FE5653" w:rsidRDefault="00365D5A" w:rsidP="00365D5A">
            <w:pPr>
              <w:pBdr>
                <w:top w:val="nil"/>
                <w:left w:val="nil"/>
                <w:bottom w:val="nil"/>
                <w:right w:val="nil"/>
                <w:between w:val="nil"/>
              </w:pBdr>
              <w:spacing w:line="264" w:lineRule="auto"/>
              <w:rPr>
                <w:rFonts w:cstheme="minorHAnsi"/>
                <w:b/>
                <w:bCs/>
                <w:color w:val="000000"/>
              </w:rPr>
            </w:pPr>
            <w:r w:rsidRPr="00FE5653">
              <w:rPr>
                <w:rFonts w:cstheme="minorHAnsi"/>
                <w:b/>
                <w:bCs/>
                <w:color w:val="000000"/>
              </w:rPr>
              <w:t>Expected outcome</w:t>
            </w:r>
          </w:p>
        </w:tc>
        <w:tc>
          <w:tcPr>
            <w:tcW w:w="12600" w:type="dxa"/>
          </w:tcPr>
          <w:p w14:paraId="050D5629" w14:textId="242468B8" w:rsidR="00365D5A" w:rsidRPr="002C2C75" w:rsidRDefault="00365D5A" w:rsidP="00365D5A">
            <w:pPr>
              <w:pBdr>
                <w:top w:val="nil"/>
                <w:left w:val="nil"/>
                <w:bottom w:val="nil"/>
                <w:right w:val="nil"/>
                <w:between w:val="nil"/>
              </w:pBdr>
              <w:spacing w:line="264" w:lineRule="auto"/>
              <w:rPr>
                <w:rFonts w:cstheme="minorHAnsi"/>
                <w:b/>
                <w:bCs/>
                <w:color w:val="000000"/>
              </w:rPr>
            </w:pPr>
            <w:r w:rsidRPr="002C2C75">
              <w:rPr>
                <w:rFonts w:cstheme="minorHAnsi"/>
                <w:color w:val="000000"/>
              </w:rPr>
              <w:t>Improved access to, and use of accurate, complete, relevant, contemporary data NHS managers for evidence-based planning and decision-making</w:t>
            </w:r>
          </w:p>
        </w:tc>
      </w:tr>
      <w:tr w:rsidR="00365D5A" w:rsidRPr="002C2C75" w14:paraId="34EC1E95" w14:textId="77777777" w:rsidTr="007D3B14">
        <w:trPr>
          <w:cantSplit/>
        </w:trPr>
        <w:tc>
          <w:tcPr>
            <w:tcW w:w="2605" w:type="dxa"/>
          </w:tcPr>
          <w:p w14:paraId="1AD83F60" w14:textId="6CD81DD9" w:rsidR="00365D5A" w:rsidRPr="00FE5653" w:rsidRDefault="00365D5A" w:rsidP="00365D5A">
            <w:pPr>
              <w:pBdr>
                <w:top w:val="nil"/>
                <w:left w:val="nil"/>
                <w:bottom w:val="nil"/>
                <w:right w:val="nil"/>
                <w:between w:val="nil"/>
              </w:pBdr>
              <w:spacing w:line="264" w:lineRule="auto"/>
              <w:rPr>
                <w:rFonts w:cstheme="minorHAnsi"/>
                <w:b/>
                <w:bCs/>
                <w:color w:val="000000"/>
              </w:rPr>
            </w:pPr>
            <w:r w:rsidRPr="00FE5653">
              <w:rPr>
                <w:rFonts w:cstheme="minorHAnsi"/>
                <w:b/>
                <w:bCs/>
                <w:color w:val="000000"/>
              </w:rPr>
              <w:t xml:space="preserve">Intervention(s) </w:t>
            </w:r>
          </w:p>
        </w:tc>
        <w:tc>
          <w:tcPr>
            <w:tcW w:w="12600" w:type="dxa"/>
          </w:tcPr>
          <w:p w14:paraId="4398A422" w14:textId="20A09458" w:rsidR="00365D5A" w:rsidRPr="00FE5653" w:rsidRDefault="00365D5A" w:rsidP="00365D5A">
            <w:pPr>
              <w:pBdr>
                <w:top w:val="nil"/>
                <w:left w:val="nil"/>
                <w:bottom w:val="nil"/>
                <w:right w:val="nil"/>
                <w:between w:val="nil"/>
              </w:pBdr>
              <w:spacing w:line="264" w:lineRule="auto"/>
              <w:rPr>
                <w:rFonts w:cstheme="minorHAnsi"/>
                <w:color w:val="000000"/>
              </w:rPr>
            </w:pPr>
            <w:r>
              <w:rPr>
                <w:rFonts w:cstheme="minorHAnsi"/>
                <w:b/>
                <w:bCs/>
                <w:color w:val="000000"/>
              </w:rPr>
              <w:t xml:space="preserve">Intervention: </w:t>
            </w:r>
            <w:r w:rsidRPr="00FE5653">
              <w:rPr>
                <w:rFonts w:cstheme="minorHAnsi"/>
                <w:color w:val="000000"/>
              </w:rPr>
              <w:t>Civil registration and vital statistics</w:t>
            </w:r>
          </w:p>
          <w:p w14:paraId="7503FC1F" w14:textId="04A46380" w:rsidR="00365D5A" w:rsidRPr="002C2C75" w:rsidRDefault="00365D5A" w:rsidP="00365D5A">
            <w:pPr>
              <w:pBdr>
                <w:top w:val="nil"/>
                <w:left w:val="nil"/>
                <w:bottom w:val="nil"/>
                <w:right w:val="nil"/>
                <w:between w:val="nil"/>
              </w:pBdr>
              <w:spacing w:line="264" w:lineRule="auto"/>
              <w:rPr>
                <w:rFonts w:cstheme="minorHAnsi"/>
                <w:color w:val="000000"/>
              </w:rPr>
            </w:pPr>
            <w:r w:rsidRPr="00FE5653">
              <w:rPr>
                <w:rFonts w:cstheme="minorHAnsi"/>
                <w:color w:val="000000"/>
              </w:rPr>
              <w:t>Change in Pro</w:t>
            </w:r>
            <w:r w:rsidRPr="002C2C75">
              <w:rPr>
                <w:rFonts w:cstheme="minorHAnsi"/>
                <w:color w:val="000000"/>
              </w:rPr>
              <w:t xml:space="preserve">gramming from current grant: </w:t>
            </w:r>
            <w:r w:rsidRPr="002C2C75">
              <w:rPr>
                <w:rFonts w:ascii="Segoe UI Symbol" w:eastAsia="MS Gothic" w:hAnsi="Segoe UI Symbol" w:cs="Segoe UI Symbol"/>
                <w:color w:val="000000"/>
              </w:rPr>
              <w:t>☐</w:t>
            </w:r>
            <w:r w:rsidRPr="002C2C75">
              <w:rPr>
                <w:rFonts w:cstheme="minorHAnsi"/>
                <w:color w:val="000000"/>
              </w:rPr>
              <w:t xml:space="preserve"> New, </w:t>
            </w:r>
            <w:sdt>
              <w:sdtPr>
                <w:rPr>
                  <w:rFonts w:cstheme="minorHAnsi"/>
                </w:rPr>
                <w:tag w:val="goog_rdk_362"/>
                <w:id w:val="1716231469"/>
              </w:sdtPr>
              <w:sdtContent>
                <w:r w:rsidRPr="002C2C75">
                  <w:rPr>
                    <w:rFonts w:ascii="Segoe UI Symbol" w:eastAsia="Arial Unicode MS" w:hAnsi="Segoe UI Symbol" w:cs="Segoe UI Symbol"/>
                    <w:color w:val="000000"/>
                  </w:rPr>
                  <w:t>☒</w:t>
                </w:r>
              </w:sdtContent>
            </w:sdt>
            <w:r w:rsidRPr="002C2C75">
              <w:rPr>
                <w:rFonts w:cstheme="minorHAnsi"/>
                <w:color w:val="000000"/>
              </w:rPr>
              <w:t xml:space="preserve"> Scale-up, </w:t>
            </w:r>
            <w:r w:rsidRPr="002C2C75">
              <w:rPr>
                <w:rFonts w:ascii="Segoe UI Symbol" w:eastAsia="MS Gothic" w:hAnsi="Segoe UI Symbol" w:cs="Segoe UI Symbol"/>
                <w:color w:val="000000"/>
              </w:rPr>
              <w:t>☐</w:t>
            </w:r>
            <w:r w:rsidRPr="002C2C75">
              <w:rPr>
                <w:rFonts w:cstheme="minorHAnsi"/>
                <w:color w:val="000000"/>
              </w:rPr>
              <w:t xml:space="preserve"> Continuation, or </w:t>
            </w:r>
            <w:r w:rsidRPr="002C2C75">
              <w:rPr>
                <w:rFonts w:ascii="Segoe UI Symbol" w:eastAsia="MS Gothic" w:hAnsi="Segoe UI Symbol" w:cs="Segoe UI Symbol"/>
                <w:color w:val="000000"/>
              </w:rPr>
              <w:t>☐</w:t>
            </w:r>
            <w:r w:rsidRPr="002C2C75">
              <w:rPr>
                <w:rFonts w:cstheme="minorHAnsi"/>
                <w:color w:val="000000"/>
              </w:rPr>
              <w:t xml:space="preserve"> Scale-down</w:t>
            </w:r>
          </w:p>
        </w:tc>
      </w:tr>
      <w:tr w:rsidR="00365D5A" w:rsidRPr="002C2C75" w14:paraId="63825198" w14:textId="77777777" w:rsidTr="007D3B14">
        <w:trPr>
          <w:cantSplit/>
        </w:trPr>
        <w:tc>
          <w:tcPr>
            <w:tcW w:w="2605" w:type="dxa"/>
          </w:tcPr>
          <w:p w14:paraId="615E1491" w14:textId="77777777" w:rsidR="00365D5A" w:rsidRPr="00FE5653" w:rsidRDefault="00365D5A" w:rsidP="00365D5A">
            <w:pPr>
              <w:pBdr>
                <w:top w:val="nil"/>
                <w:left w:val="nil"/>
                <w:bottom w:val="nil"/>
                <w:right w:val="nil"/>
                <w:between w:val="nil"/>
              </w:pBdr>
              <w:spacing w:line="264" w:lineRule="auto"/>
              <w:rPr>
                <w:rFonts w:cstheme="minorHAnsi"/>
                <w:b/>
                <w:bCs/>
                <w:color w:val="000000"/>
              </w:rPr>
            </w:pPr>
            <w:r w:rsidRPr="00FE5653">
              <w:rPr>
                <w:rFonts w:cstheme="minorHAnsi"/>
                <w:b/>
                <w:bCs/>
                <w:color w:val="000000"/>
              </w:rPr>
              <w:t>Population, geographies and/or barriers addressed</w:t>
            </w:r>
          </w:p>
        </w:tc>
        <w:tc>
          <w:tcPr>
            <w:tcW w:w="12600" w:type="dxa"/>
          </w:tcPr>
          <w:p w14:paraId="7147E1BA" w14:textId="77777777" w:rsidR="00365D5A" w:rsidRPr="002C2C75" w:rsidRDefault="00365D5A" w:rsidP="00365D5A">
            <w:pPr>
              <w:pBdr>
                <w:top w:val="nil"/>
                <w:left w:val="nil"/>
                <w:bottom w:val="nil"/>
                <w:right w:val="nil"/>
                <w:between w:val="nil"/>
              </w:pBdr>
              <w:spacing w:line="264" w:lineRule="auto"/>
              <w:jc w:val="both"/>
              <w:rPr>
                <w:rFonts w:cstheme="minorHAnsi"/>
                <w:color w:val="000000"/>
              </w:rPr>
            </w:pPr>
            <w:r w:rsidRPr="002C2C75">
              <w:rPr>
                <w:rFonts w:cstheme="minorHAnsi"/>
                <w:color w:val="000000"/>
              </w:rPr>
              <w:t>Maintaining accurate and up-to-date civil records of vital events remains a huge challenge in Mozambique due to limited infrastructure, a highly dispersed rural population, frequent national disasters and an ongoing conflict in the north of the country. According to the 2017 national census, only about 32% of births and 15.1% of deaths were registered in the civil registry system, which data was substantiated COMSA 2019 Survey results.</w:t>
            </w:r>
          </w:p>
          <w:p w14:paraId="6DABA1B7" w14:textId="77777777" w:rsidR="00365D5A" w:rsidRPr="002C2C75" w:rsidRDefault="00365D5A" w:rsidP="00365D5A">
            <w:pPr>
              <w:pBdr>
                <w:top w:val="nil"/>
                <w:left w:val="nil"/>
                <w:bottom w:val="nil"/>
                <w:right w:val="nil"/>
                <w:between w:val="nil"/>
              </w:pBdr>
              <w:spacing w:line="264" w:lineRule="auto"/>
              <w:jc w:val="both"/>
              <w:rPr>
                <w:rFonts w:cstheme="minorHAnsi"/>
                <w:color w:val="000000"/>
              </w:rPr>
            </w:pPr>
            <w:r w:rsidRPr="002C2C75">
              <w:rPr>
                <w:rFonts w:cstheme="minorHAnsi"/>
                <w:color w:val="000000"/>
              </w:rPr>
              <w:t>Given the importance of vital statistics in obtaining essential demographic and epidemiological data needed in national health and other sector planning, as well as in measuring the demographic impact of health interventions, it is essential that the National Health System contributes for increasing the reporting of vital events across the public, private and community health subsystems, support data quality monitoring and improvements, and use vital statistics in planning and monitoring of health services performance.</w:t>
            </w:r>
          </w:p>
          <w:p w14:paraId="6C67E123" w14:textId="77777777" w:rsidR="00365D5A" w:rsidRPr="002C2C75" w:rsidRDefault="00365D5A" w:rsidP="00365D5A">
            <w:pPr>
              <w:pBdr>
                <w:top w:val="nil"/>
                <w:left w:val="nil"/>
                <w:bottom w:val="nil"/>
                <w:right w:val="nil"/>
                <w:between w:val="nil"/>
              </w:pBdr>
              <w:spacing w:line="264" w:lineRule="auto"/>
              <w:jc w:val="both"/>
              <w:rPr>
                <w:rFonts w:cstheme="minorHAnsi"/>
                <w:color w:val="000000"/>
              </w:rPr>
            </w:pPr>
            <w:r w:rsidRPr="002C2C75">
              <w:rPr>
                <w:rFonts w:cstheme="minorHAnsi"/>
                <w:color w:val="000000"/>
              </w:rPr>
              <w:t>SIS-COVE (previously COMSA) is a community-based platform that allows annual estimates on mortality and causes of death at a national and provincial level and also estimates other vital statistics and health indicators. SIS-COVE clusters are randomly distributed in 700 areas in all 11 provinces of the country where around 800,000 inhabitants have been enrolled since 2018.</w:t>
            </w:r>
          </w:p>
          <w:p w14:paraId="6834FF10" w14:textId="77777777" w:rsidR="00365D5A" w:rsidRPr="002C2C75" w:rsidRDefault="00365D5A" w:rsidP="00365D5A">
            <w:pPr>
              <w:pBdr>
                <w:top w:val="nil"/>
                <w:left w:val="nil"/>
                <w:bottom w:val="nil"/>
                <w:right w:val="nil"/>
                <w:between w:val="nil"/>
              </w:pBdr>
              <w:spacing w:line="264" w:lineRule="auto"/>
              <w:jc w:val="both"/>
              <w:rPr>
                <w:rFonts w:cstheme="minorHAnsi"/>
                <w:color w:val="000000"/>
              </w:rPr>
            </w:pPr>
            <w:r w:rsidRPr="002C2C75">
              <w:rPr>
                <w:rFonts w:cstheme="minorHAnsi"/>
                <w:color w:val="000000"/>
              </w:rPr>
              <w:t xml:space="preserve">The transition process from COMSA to SIS-COVE brought administrative challenges that delayed field work activities and consequently availability of data. </w:t>
            </w:r>
          </w:p>
          <w:p w14:paraId="5429F2AF" w14:textId="77777777" w:rsidR="00365D5A" w:rsidRPr="002C2C75" w:rsidRDefault="00365D5A" w:rsidP="00365D5A">
            <w:pPr>
              <w:pBdr>
                <w:top w:val="nil"/>
                <w:left w:val="nil"/>
                <w:bottom w:val="nil"/>
                <w:right w:val="nil"/>
                <w:between w:val="nil"/>
              </w:pBdr>
              <w:spacing w:line="264" w:lineRule="auto"/>
              <w:jc w:val="both"/>
              <w:rPr>
                <w:rFonts w:cstheme="minorHAnsi"/>
                <w:color w:val="000000"/>
              </w:rPr>
            </w:pPr>
            <w:r w:rsidRPr="002C2C75">
              <w:rPr>
                <w:rFonts w:cstheme="minorHAnsi"/>
                <w:color w:val="000000"/>
              </w:rPr>
              <w:t>Transitioning of SIS-COVE community workers (CSAs) to APEs was also a challenge given the innovative approach of MoH to establish the community sub-system. Ensuring that SIS-COVE is also part of the community sub-system might guarantee the inclusion of CSAs as part of the community sub-system workforce and interaction between CSAs and other community workers for better coordination of community surveillance activities.</w:t>
            </w:r>
          </w:p>
          <w:p w14:paraId="685016A9" w14:textId="4D608704" w:rsidR="00365D5A" w:rsidRPr="002C2C75" w:rsidRDefault="00365D5A" w:rsidP="00365D5A">
            <w:pPr>
              <w:pBdr>
                <w:top w:val="nil"/>
                <w:left w:val="nil"/>
                <w:bottom w:val="nil"/>
                <w:right w:val="nil"/>
                <w:between w:val="nil"/>
              </w:pBdr>
              <w:spacing w:line="264" w:lineRule="auto"/>
              <w:jc w:val="both"/>
              <w:rPr>
                <w:rFonts w:cstheme="minorHAnsi"/>
                <w:color w:val="000000"/>
              </w:rPr>
            </w:pPr>
            <w:r w:rsidRPr="002C2C75">
              <w:rPr>
                <w:rFonts w:cstheme="minorHAnsi"/>
                <w:color w:val="000000"/>
              </w:rPr>
              <w:t xml:space="preserve">Interoperability between SIS-COVE and e-SIRCEV has been successfully piloted in Inhambane province and expansion to other provinces is expected for the improvement of CRVS coverage for births and deaths. Meanwhile, although a SIS-COVE module within the </w:t>
            </w:r>
            <w:r w:rsidR="007D3B14">
              <w:rPr>
                <w:rFonts w:cstheme="minorHAnsi"/>
                <w:color w:val="000000"/>
              </w:rPr>
              <w:t>D</w:t>
            </w:r>
            <w:r w:rsidRPr="002C2C75">
              <w:rPr>
                <w:rFonts w:cstheme="minorHAnsi"/>
                <w:color w:val="000000"/>
              </w:rPr>
              <w:t>HIS-2 has been developed, its deployment into SIS-MA has been delayed.</w:t>
            </w:r>
          </w:p>
        </w:tc>
      </w:tr>
      <w:tr w:rsidR="00365D5A" w:rsidRPr="002C2C75" w14:paraId="214840D6" w14:textId="77777777" w:rsidTr="007D3B14">
        <w:trPr>
          <w:cantSplit/>
        </w:trPr>
        <w:tc>
          <w:tcPr>
            <w:tcW w:w="2605" w:type="dxa"/>
          </w:tcPr>
          <w:p w14:paraId="19812C42" w14:textId="432F11EB" w:rsidR="00365D5A" w:rsidRPr="00FE5653" w:rsidRDefault="00365D5A" w:rsidP="00365D5A">
            <w:pPr>
              <w:pBdr>
                <w:top w:val="nil"/>
                <w:left w:val="nil"/>
                <w:bottom w:val="nil"/>
                <w:right w:val="nil"/>
                <w:between w:val="nil"/>
              </w:pBdr>
              <w:spacing w:line="264" w:lineRule="auto"/>
              <w:rPr>
                <w:rFonts w:cstheme="minorHAnsi"/>
                <w:b/>
                <w:bCs/>
                <w:color w:val="000000"/>
              </w:rPr>
            </w:pPr>
            <w:r w:rsidRPr="00FE5653">
              <w:rPr>
                <w:rFonts w:cstheme="minorHAnsi"/>
                <w:b/>
                <w:bCs/>
                <w:color w:val="000000"/>
              </w:rPr>
              <w:t>List of activities</w:t>
            </w:r>
          </w:p>
        </w:tc>
        <w:tc>
          <w:tcPr>
            <w:tcW w:w="12600" w:type="dxa"/>
          </w:tcPr>
          <w:p w14:paraId="3182854C" w14:textId="77777777" w:rsidR="00F868BF" w:rsidRPr="00F868BF" w:rsidRDefault="00F868BF" w:rsidP="00F868BF">
            <w:pPr>
              <w:numPr>
                <w:ilvl w:val="0"/>
                <w:numId w:val="61"/>
              </w:numPr>
              <w:pBdr>
                <w:top w:val="nil"/>
                <w:left w:val="nil"/>
                <w:bottom w:val="nil"/>
                <w:right w:val="nil"/>
                <w:between w:val="nil"/>
              </w:pBdr>
              <w:spacing w:after="0" w:line="264" w:lineRule="auto"/>
              <w:rPr>
                <w:rFonts w:cstheme="minorHAnsi"/>
                <w:color w:val="000000"/>
              </w:rPr>
            </w:pPr>
            <w:r w:rsidRPr="00F868BF">
              <w:rPr>
                <w:rFonts w:cstheme="minorHAnsi"/>
                <w:color w:val="000000"/>
              </w:rPr>
              <w:t>Expand HF-based civil registration (in e-SIRCEV) of vital events within HF with in-patient services (hospitals and large primary health care HFs)</w:t>
            </w:r>
          </w:p>
          <w:p w14:paraId="77407798" w14:textId="77777777" w:rsidR="00F868BF" w:rsidRPr="00F868BF" w:rsidRDefault="00F868BF" w:rsidP="00F868BF">
            <w:pPr>
              <w:numPr>
                <w:ilvl w:val="0"/>
                <w:numId w:val="61"/>
              </w:numPr>
              <w:pBdr>
                <w:top w:val="nil"/>
                <w:left w:val="nil"/>
                <w:bottom w:val="nil"/>
                <w:right w:val="nil"/>
                <w:between w:val="nil"/>
              </w:pBdr>
              <w:spacing w:after="0" w:line="264" w:lineRule="auto"/>
              <w:rPr>
                <w:rFonts w:cstheme="minorHAnsi"/>
                <w:color w:val="000000"/>
              </w:rPr>
            </w:pPr>
            <w:r w:rsidRPr="00F868BF">
              <w:rPr>
                <w:rFonts w:cstheme="minorHAnsi"/>
                <w:color w:val="000000"/>
              </w:rPr>
              <w:t>Maximize interoperability between SISMA and e-SIRCEV</w:t>
            </w:r>
          </w:p>
          <w:p w14:paraId="7F38EAE4" w14:textId="77777777" w:rsidR="00F868BF" w:rsidRPr="00F868BF" w:rsidRDefault="00F868BF" w:rsidP="00F868BF">
            <w:pPr>
              <w:numPr>
                <w:ilvl w:val="0"/>
                <w:numId w:val="61"/>
              </w:numPr>
              <w:pBdr>
                <w:top w:val="nil"/>
                <w:left w:val="nil"/>
                <w:bottom w:val="nil"/>
                <w:right w:val="nil"/>
                <w:between w:val="nil"/>
              </w:pBdr>
              <w:spacing w:after="0" w:line="264" w:lineRule="auto"/>
              <w:rPr>
                <w:rFonts w:cstheme="minorHAnsi"/>
                <w:color w:val="000000"/>
              </w:rPr>
            </w:pPr>
            <w:r w:rsidRPr="00F868BF">
              <w:rPr>
                <w:rFonts w:cstheme="minorHAnsi"/>
                <w:color w:val="000000"/>
              </w:rPr>
              <w:t>Expand community-based civil registration through the community health subsystem and the SIS-COVE to improve M&amp;E, quality and coverage of civil registration</w:t>
            </w:r>
          </w:p>
          <w:p w14:paraId="45982397" w14:textId="77777777" w:rsidR="00F868BF" w:rsidRPr="00F868BF" w:rsidRDefault="00F868BF" w:rsidP="00F868BF">
            <w:pPr>
              <w:numPr>
                <w:ilvl w:val="0"/>
                <w:numId w:val="61"/>
              </w:numPr>
              <w:pBdr>
                <w:top w:val="nil"/>
                <w:left w:val="nil"/>
                <w:bottom w:val="nil"/>
                <w:right w:val="nil"/>
                <w:between w:val="nil"/>
              </w:pBdr>
              <w:spacing w:after="0" w:line="264" w:lineRule="auto"/>
              <w:rPr>
                <w:rFonts w:cstheme="minorHAnsi"/>
                <w:color w:val="000000"/>
              </w:rPr>
            </w:pPr>
            <w:r w:rsidRPr="00F868BF">
              <w:rPr>
                <w:rFonts w:cstheme="minorHAnsi"/>
                <w:color w:val="000000"/>
              </w:rPr>
              <w:t>Improve in-country dissemination of Vital Statistics through national and international platforms</w:t>
            </w:r>
          </w:p>
          <w:p w14:paraId="789A2DF2" w14:textId="77777777" w:rsidR="00F868BF" w:rsidRPr="00F868BF" w:rsidRDefault="00F868BF" w:rsidP="00F868BF">
            <w:pPr>
              <w:numPr>
                <w:ilvl w:val="0"/>
                <w:numId w:val="61"/>
              </w:numPr>
              <w:pBdr>
                <w:top w:val="nil"/>
                <w:left w:val="nil"/>
                <w:bottom w:val="nil"/>
                <w:right w:val="nil"/>
                <w:between w:val="nil"/>
              </w:pBdr>
              <w:spacing w:after="0" w:line="264" w:lineRule="auto"/>
              <w:rPr>
                <w:rFonts w:cstheme="minorHAnsi"/>
                <w:color w:val="000000"/>
              </w:rPr>
            </w:pPr>
            <w:r w:rsidRPr="00F868BF">
              <w:rPr>
                <w:rFonts w:cstheme="minorHAnsi"/>
                <w:color w:val="000000"/>
              </w:rPr>
              <w:t>Train HIS personnel on data management, strategic information, and vital statistics</w:t>
            </w:r>
          </w:p>
          <w:p w14:paraId="4DE191CD" w14:textId="77777777" w:rsidR="00F868BF" w:rsidRPr="00F868BF" w:rsidRDefault="00F868BF" w:rsidP="00F868BF">
            <w:pPr>
              <w:numPr>
                <w:ilvl w:val="0"/>
                <w:numId w:val="61"/>
              </w:numPr>
              <w:pBdr>
                <w:top w:val="nil"/>
                <w:left w:val="nil"/>
                <w:bottom w:val="nil"/>
                <w:right w:val="nil"/>
                <w:between w:val="nil"/>
              </w:pBdr>
              <w:spacing w:after="0" w:line="264" w:lineRule="auto"/>
              <w:rPr>
                <w:rFonts w:cstheme="minorHAnsi"/>
                <w:color w:val="000000"/>
              </w:rPr>
            </w:pPr>
            <w:r w:rsidRPr="00F868BF">
              <w:rPr>
                <w:rFonts w:cstheme="minorHAnsi"/>
                <w:color w:val="000000"/>
              </w:rPr>
              <w:t>Train clinicians from HF with in-patient services and/or trainers of trainers on Death Certification based on ICD-10 or ICD-11 once adopted by the country;</w:t>
            </w:r>
          </w:p>
          <w:p w14:paraId="61A34D19" w14:textId="77777777" w:rsidR="00F868BF" w:rsidRPr="00F868BF" w:rsidRDefault="00F868BF" w:rsidP="00F868BF">
            <w:pPr>
              <w:numPr>
                <w:ilvl w:val="0"/>
                <w:numId w:val="61"/>
              </w:numPr>
              <w:pBdr>
                <w:top w:val="nil"/>
                <w:left w:val="nil"/>
                <w:bottom w:val="nil"/>
                <w:right w:val="nil"/>
                <w:between w:val="nil"/>
              </w:pBdr>
              <w:spacing w:after="0" w:line="264" w:lineRule="auto"/>
              <w:rPr>
                <w:rFonts w:cstheme="minorHAnsi"/>
                <w:color w:val="000000"/>
              </w:rPr>
            </w:pPr>
            <w:r w:rsidRPr="00F868BF">
              <w:rPr>
                <w:rFonts w:cstheme="minorHAnsi"/>
                <w:color w:val="000000"/>
              </w:rPr>
              <w:t>Hold coordination meetings with the Inter-ministerial Working Group on Vital Statistics and Causes of Death.</w:t>
            </w:r>
          </w:p>
          <w:p w14:paraId="50D199F0" w14:textId="77777777" w:rsidR="00F868BF" w:rsidRPr="00F868BF" w:rsidRDefault="00F868BF" w:rsidP="00F868BF">
            <w:pPr>
              <w:numPr>
                <w:ilvl w:val="0"/>
                <w:numId w:val="61"/>
              </w:numPr>
              <w:pBdr>
                <w:top w:val="nil"/>
                <w:left w:val="nil"/>
                <w:bottom w:val="nil"/>
                <w:right w:val="nil"/>
                <w:between w:val="nil"/>
              </w:pBdr>
              <w:spacing w:after="0" w:line="264" w:lineRule="auto"/>
              <w:rPr>
                <w:rFonts w:cstheme="minorHAnsi"/>
                <w:color w:val="000000"/>
              </w:rPr>
            </w:pPr>
            <w:r w:rsidRPr="00F868BF">
              <w:rPr>
                <w:rFonts w:cstheme="minorHAnsi"/>
                <w:color w:val="000000"/>
              </w:rPr>
              <w:t>Expand the surveillance system of the Community Health Observation System and Vital Events (SIS-COVE) to monitor health, mortality and causes of death (DIS) indicators.</w:t>
            </w:r>
          </w:p>
          <w:p w14:paraId="35AF4DCB" w14:textId="140B6E92" w:rsidR="00365D5A" w:rsidRPr="00FE5653" w:rsidRDefault="00F868BF" w:rsidP="00F868BF">
            <w:pPr>
              <w:numPr>
                <w:ilvl w:val="0"/>
                <w:numId w:val="61"/>
              </w:numPr>
              <w:pBdr>
                <w:top w:val="nil"/>
                <w:left w:val="nil"/>
                <w:bottom w:val="nil"/>
                <w:right w:val="nil"/>
                <w:between w:val="nil"/>
              </w:pBdr>
              <w:spacing w:after="0" w:line="264" w:lineRule="auto"/>
              <w:rPr>
                <w:rFonts w:cstheme="minorHAnsi"/>
                <w:color w:val="000000"/>
              </w:rPr>
            </w:pPr>
            <w:r w:rsidRPr="00F868BF">
              <w:rPr>
                <w:rFonts w:cstheme="minorHAnsi"/>
                <w:color w:val="000000"/>
              </w:rPr>
              <w:t>Leveraging SIS-COVE mortality surveillance platform to strengthen the community early warning system for health events at the community sub-system</w:t>
            </w:r>
          </w:p>
        </w:tc>
      </w:tr>
      <w:tr w:rsidR="00365D5A" w:rsidRPr="002C2C75" w14:paraId="6E0F0AAF" w14:textId="77777777" w:rsidTr="007D3B14">
        <w:trPr>
          <w:cantSplit/>
        </w:trPr>
        <w:tc>
          <w:tcPr>
            <w:tcW w:w="2605" w:type="dxa"/>
          </w:tcPr>
          <w:p w14:paraId="6BEC0E48" w14:textId="77777777" w:rsidR="00365D5A" w:rsidRPr="00FE5653" w:rsidRDefault="00365D5A" w:rsidP="00365D5A">
            <w:pPr>
              <w:pBdr>
                <w:top w:val="nil"/>
                <w:left w:val="nil"/>
                <w:bottom w:val="nil"/>
                <w:right w:val="nil"/>
                <w:between w:val="nil"/>
              </w:pBdr>
              <w:spacing w:line="264" w:lineRule="auto"/>
              <w:rPr>
                <w:rFonts w:cstheme="minorHAnsi"/>
                <w:b/>
                <w:bCs/>
                <w:color w:val="000000"/>
              </w:rPr>
            </w:pPr>
            <w:r w:rsidRPr="00FE5653">
              <w:rPr>
                <w:rFonts w:cstheme="minorHAnsi"/>
                <w:b/>
                <w:bCs/>
                <w:color w:val="000000"/>
              </w:rPr>
              <w:t>Amount requested</w:t>
            </w:r>
          </w:p>
        </w:tc>
        <w:tc>
          <w:tcPr>
            <w:tcW w:w="12600" w:type="dxa"/>
          </w:tcPr>
          <w:p w14:paraId="3D215028" w14:textId="77777777" w:rsidR="00365D5A" w:rsidRDefault="00365D5A" w:rsidP="00365D5A">
            <w:pPr>
              <w:pBdr>
                <w:top w:val="nil"/>
                <w:left w:val="nil"/>
                <w:bottom w:val="nil"/>
                <w:right w:val="nil"/>
                <w:between w:val="nil"/>
              </w:pBdr>
              <w:spacing w:line="264" w:lineRule="auto"/>
              <w:rPr>
                <w:rFonts w:cstheme="minorHAnsi"/>
                <w:b/>
                <w:bCs/>
                <w:color w:val="000000"/>
              </w:rPr>
            </w:pPr>
            <w:r w:rsidRPr="002C2C75">
              <w:rPr>
                <w:rFonts w:cstheme="minorHAnsi"/>
                <w:b/>
                <w:bCs/>
                <w:color w:val="000000"/>
              </w:rPr>
              <w:t>Within allocation: $2,954,100</w:t>
            </w:r>
          </w:p>
          <w:p w14:paraId="59ECD75E" w14:textId="32330E03" w:rsidR="00365D5A" w:rsidRPr="00AB709E" w:rsidRDefault="00365D5A" w:rsidP="00365D5A">
            <w:pPr>
              <w:pBdr>
                <w:top w:val="nil"/>
                <w:left w:val="nil"/>
                <w:bottom w:val="nil"/>
                <w:right w:val="nil"/>
                <w:between w:val="nil"/>
              </w:pBdr>
              <w:spacing w:line="264" w:lineRule="auto"/>
              <w:rPr>
                <w:rFonts w:cstheme="minorHAnsi"/>
                <w:b/>
                <w:bCs/>
                <w:color w:val="000000"/>
              </w:rPr>
            </w:pPr>
            <w:r>
              <w:rPr>
                <w:rFonts w:cstheme="minorHAnsi"/>
                <w:b/>
                <w:bCs/>
                <w:color w:val="000000"/>
              </w:rPr>
              <w:t>PAAR: $1,840,000</w:t>
            </w:r>
          </w:p>
        </w:tc>
      </w:tr>
      <w:tr w:rsidR="00365D5A" w:rsidRPr="002C2C75" w14:paraId="5EEB0E9F" w14:textId="77777777" w:rsidTr="007D3B14">
        <w:trPr>
          <w:cantSplit/>
        </w:trPr>
        <w:tc>
          <w:tcPr>
            <w:tcW w:w="2605" w:type="dxa"/>
          </w:tcPr>
          <w:p w14:paraId="4C083520" w14:textId="574B8CB4" w:rsidR="00365D5A" w:rsidRPr="00FE5653" w:rsidRDefault="00365D5A" w:rsidP="00365D5A">
            <w:pPr>
              <w:pBdr>
                <w:top w:val="nil"/>
                <w:left w:val="nil"/>
                <w:bottom w:val="nil"/>
                <w:right w:val="nil"/>
                <w:between w:val="nil"/>
              </w:pBdr>
              <w:spacing w:line="264" w:lineRule="auto"/>
              <w:rPr>
                <w:rFonts w:cstheme="minorHAnsi"/>
                <w:b/>
                <w:bCs/>
                <w:color w:val="000000"/>
              </w:rPr>
            </w:pPr>
            <w:r w:rsidRPr="00FE5653">
              <w:rPr>
                <w:rFonts w:cstheme="minorHAnsi"/>
                <w:b/>
                <w:bCs/>
                <w:color w:val="000000"/>
              </w:rPr>
              <w:t>Expected outcome</w:t>
            </w:r>
          </w:p>
        </w:tc>
        <w:tc>
          <w:tcPr>
            <w:tcW w:w="12600" w:type="dxa"/>
          </w:tcPr>
          <w:p w14:paraId="0861C051" w14:textId="77777777" w:rsidR="00365D5A" w:rsidRPr="002C2C75" w:rsidRDefault="00365D5A" w:rsidP="00365D5A">
            <w:pPr>
              <w:numPr>
                <w:ilvl w:val="0"/>
                <w:numId w:val="61"/>
              </w:numPr>
              <w:pBdr>
                <w:top w:val="nil"/>
                <w:left w:val="nil"/>
                <w:bottom w:val="nil"/>
                <w:right w:val="nil"/>
                <w:between w:val="nil"/>
              </w:pBdr>
              <w:spacing w:after="0" w:line="264" w:lineRule="auto"/>
              <w:rPr>
                <w:rFonts w:cstheme="minorHAnsi"/>
                <w:color w:val="000000"/>
              </w:rPr>
            </w:pPr>
            <w:r w:rsidRPr="002C2C75">
              <w:rPr>
                <w:rFonts w:cstheme="minorHAnsi"/>
                <w:color w:val="000000"/>
              </w:rPr>
              <w:t>Improved quality (completeness, accuracy, timeliness, and reliability/consistency) of vital event registration and reporting</w:t>
            </w:r>
          </w:p>
          <w:p w14:paraId="5D904027" w14:textId="77777777" w:rsidR="00365D5A" w:rsidRDefault="00365D5A" w:rsidP="00365D5A">
            <w:pPr>
              <w:numPr>
                <w:ilvl w:val="0"/>
                <w:numId w:val="61"/>
              </w:numPr>
              <w:pBdr>
                <w:top w:val="nil"/>
                <w:left w:val="nil"/>
                <w:bottom w:val="nil"/>
                <w:right w:val="nil"/>
                <w:between w:val="nil"/>
              </w:pBdr>
              <w:spacing w:after="0" w:line="264" w:lineRule="auto"/>
              <w:rPr>
                <w:rFonts w:cstheme="minorHAnsi"/>
                <w:color w:val="000000"/>
              </w:rPr>
            </w:pPr>
            <w:r w:rsidRPr="002C2C75">
              <w:rPr>
                <w:rFonts w:cstheme="minorHAnsi"/>
                <w:color w:val="000000"/>
              </w:rPr>
              <w:t>Improved monitoring of population health impacts of health service provision</w:t>
            </w:r>
          </w:p>
          <w:p w14:paraId="71EAFCA4" w14:textId="77178D2F" w:rsidR="00365D5A" w:rsidRPr="00FE5653" w:rsidRDefault="00365D5A" w:rsidP="00365D5A">
            <w:pPr>
              <w:numPr>
                <w:ilvl w:val="0"/>
                <w:numId w:val="61"/>
              </w:numPr>
              <w:pBdr>
                <w:top w:val="nil"/>
                <w:left w:val="nil"/>
                <w:bottom w:val="nil"/>
                <w:right w:val="nil"/>
                <w:between w:val="nil"/>
              </w:pBdr>
              <w:spacing w:after="0" w:line="264" w:lineRule="auto"/>
              <w:rPr>
                <w:rFonts w:cstheme="minorHAnsi"/>
                <w:color w:val="000000"/>
              </w:rPr>
            </w:pPr>
            <w:r w:rsidRPr="00FE5653">
              <w:rPr>
                <w:rFonts w:cstheme="minorHAnsi"/>
                <w:color w:val="000000"/>
              </w:rPr>
              <w:t>Improved and more granular monitoring of health, mortality and cause of death indicators a basis for early warning of health events, outbreak investigation and emergency response preparedness</w:t>
            </w:r>
          </w:p>
        </w:tc>
      </w:tr>
      <w:tr w:rsidR="00365D5A" w:rsidRPr="002C2C75" w14:paraId="0FFC9966" w14:textId="77777777" w:rsidTr="007D3B14">
        <w:trPr>
          <w:cantSplit/>
        </w:trPr>
        <w:tc>
          <w:tcPr>
            <w:tcW w:w="2605" w:type="dxa"/>
          </w:tcPr>
          <w:p w14:paraId="57406DD7" w14:textId="2B2DEA00" w:rsidR="00365D5A" w:rsidRPr="00281AB7" w:rsidRDefault="00365D5A" w:rsidP="00365D5A">
            <w:pPr>
              <w:pBdr>
                <w:top w:val="nil"/>
                <w:left w:val="nil"/>
                <w:bottom w:val="nil"/>
                <w:right w:val="nil"/>
                <w:between w:val="nil"/>
              </w:pBdr>
              <w:spacing w:line="264" w:lineRule="auto"/>
              <w:rPr>
                <w:rFonts w:cstheme="minorHAnsi"/>
                <w:b/>
                <w:bCs/>
                <w:color w:val="000000"/>
              </w:rPr>
            </w:pPr>
            <w:r w:rsidRPr="00281AB7">
              <w:rPr>
                <w:b/>
                <w:bCs/>
                <w:color w:val="000000"/>
              </w:rPr>
              <w:t xml:space="preserve">Intervention(s) </w:t>
            </w:r>
          </w:p>
        </w:tc>
        <w:tc>
          <w:tcPr>
            <w:tcW w:w="12600" w:type="dxa"/>
          </w:tcPr>
          <w:p w14:paraId="0A31AC61" w14:textId="0208EB0C" w:rsidR="00365D5A" w:rsidRPr="00FE5653" w:rsidRDefault="00365D5A" w:rsidP="00365D5A">
            <w:pPr>
              <w:pBdr>
                <w:top w:val="nil"/>
                <w:left w:val="nil"/>
                <w:bottom w:val="nil"/>
                <w:right w:val="nil"/>
                <w:between w:val="nil"/>
              </w:pBdr>
              <w:spacing w:line="264" w:lineRule="auto"/>
              <w:rPr>
                <w:bCs/>
                <w:color w:val="000000"/>
              </w:rPr>
            </w:pPr>
            <w:r>
              <w:rPr>
                <w:b/>
                <w:color w:val="000000"/>
              </w:rPr>
              <w:t xml:space="preserve">Intervention: </w:t>
            </w:r>
            <w:r w:rsidRPr="00FE5653">
              <w:rPr>
                <w:bCs/>
                <w:color w:val="000000"/>
              </w:rPr>
              <w:t xml:space="preserve">Analysis, Evaluations, Reviews, and Data Use </w:t>
            </w:r>
          </w:p>
          <w:p w14:paraId="5DC2A9E5" w14:textId="31E1EBBB" w:rsidR="00365D5A" w:rsidRPr="00281AB7" w:rsidRDefault="00365D5A" w:rsidP="00365D5A">
            <w:pPr>
              <w:pBdr>
                <w:top w:val="nil"/>
                <w:left w:val="nil"/>
                <w:bottom w:val="nil"/>
                <w:right w:val="nil"/>
                <w:between w:val="nil"/>
              </w:pBdr>
              <w:spacing w:line="264" w:lineRule="auto"/>
              <w:rPr>
                <w:color w:val="000000"/>
              </w:rPr>
            </w:pPr>
            <w:r w:rsidRPr="00FE5653">
              <w:rPr>
                <w:bCs/>
                <w:color w:val="000000"/>
              </w:rPr>
              <w:t>Change in Pro</w:t>
            </w:r>
            <w:r w:rsidRPr="002C2C75">
              <w:rPr>
                <w:color w:val="000000"/>
              </w:rPr>
              <w:t xml:space="preserve">gramming from current grant: </w:t>
            </w:r>
            <w:sdt>
              <w:sdtPr>
                <w:tag w:val="goog_rdk_612"/>
                <w:id w:val="-570274835"/>
              </w:sdtPr>
              <w:sdtContent>
                <w:sdt>
                  <w:sdtPr>
                    <w:rPr>
                      <w:rFonts w:cstheme="minorHAnsi"/>
                    </w:rPr>
                    <w:tag w:val="goog_rdk_362"/>
                    <w:id w:val="-424035453"/>
                  </w:sdtPr>
                  <w:sdtContent>
                    <w:r w:rsidRPr="002C2C75">
                      <w:rPr>
                        <w:rFonts w:ascii="Segoe UI Symbol" w:eastAsia="Arial Unicode MS" w:hAnsi="Segoe UI Symbol" w:cs="Segoe UI Symbol"/>
                        <w:color w:val="000000"/>
                      </w:rPr>
                      <w:t>☒</w:t>
                    </w:r>
                  </w:sdtContent>
                </w:sdt>
              </w:sdtContent>
            </w:sdt>
            <w:r w:rsidRPr="002C2C75">
              <w:rPr>
                <w:color w:val="000000"/>
              </w:rPr>
              <w:t xml:space="preserve"> New, </w:t>
            </w:r>
            <w:sdt>
              <w:sdtPr>
                <w:tag w:val="goog_rdk_613"/>
                <w:id w:val="343136676"/>
              </w:sdtPr>
              <w:sdtContent>
                <w:r w:rsidRPr="002C2C75">
                  <w:rPr>
                    <w:rFonts w:ascii="Arial Unicode MS" w:eastAsia="Arial Unicode MS" w:hAnsi="Arial Unicode MS" w:cs="Arial Unicode MS"/>
                    <w:color w:val="000000"/>
                  </w:rPr>
                  <w:t>☐</w:t>
                </w:r>
              </w:sdtContent>
            </w:sdt>
            <w:r w:rsidRPr="002C2C75">
              <w:rPr>
                <w:color w:val="000000"/>
              </w:rPr>
              <w:t xml:space="preserve"> Scale-up, </w:t>
            </w:r>
            <w:sdt>
              <w:sdtPr>
                <w:tag w:val="goog_rdk_614"/>
                <w:id w:val="-941991967"/>
              </w:sdtPr>
              <w:sdtContent>
                <w:r w:rsidRPr="002C2C75">
                  <w:rPr>
                    <w:rFonts w:ascii="Arial Unicode MS" w:eastAsia="Arial Unicode MS" w:hAnsi="Arial Unicode MS" w:cs="Arial Unicode MS"/>
                    <w:color w:val="000000"/>
                  </w:rPr>
                  <w:t>☐</w:t>
                </w:r>
              </w:sdtContent>
            </w:sdt>
            <w:r w:rsidRPr="002C2C75">
              <w:rPr>
                <w:color w:val="000000"/>
              </w:rPr>
              <w:t xml:space="preserve"> Continuation, or </w:t>
            </w:r>
            <w:sdt>
              <w:sdtPr>
                <w:tag w:val="goog_rdk_615"/>
                <w:id w:val="-1500567038"/>
              </w:sdtPr>
              <w:sdtContent>
                <w:r w:rsidRPr="002C2C75">
                  <w:rPr>
                    <w:rFonts w:ascii="Arial Unicode MS" w:eastAsia="Arial Unicode MS" w:hAnsi="Arial Unicode MS" w:cs="Arial Unicode MS"/>
                    <w:color w:val="000000"/>
                  </w:rPr>
                  <w:t>☐</w:t>
                </w:r>
              </w:sdtContent>
            </w:sdt>
            <w:r w:rsidRPr="002C2C75">
              <w:rPr>
                <w:color w:val="000000"/>
              </w:rPr>
              <w:t xml:space="preserve"> Scale-down</w:t>
            </w:r>
          </w:p>
        </w:tc>
      </w:tr>
      <w:tr w:rsidR="00365D5A" w:rsidRPr="002C2C75" w14:paraId="6B51D7B7" w14:textId="77777777" w:rsidTr="007D3B14">
        <w:trPr>
          <w:cantSplit/>
        </w:trPr>
        <w:tc>
          <w:tcPr>
            <w:tcW w:w="2605" w:type="dxa"/>
          </w:tcPr>
          <w:p w14:paraId="297D751B" w14:textId="32D4F3D5" w:rsidR="00365D5A" w:rsidRPr="00281AB7" w:rsidRDefault="00365D5A" w:rsidP="00365D5A">
            <w:pPr>
              <w:pBdr>
                <w:top w:val="nil"/>
                <w:left w:val="nil"/>
                <w:bottom w:val="nil"/>
                <w:right w:val="nil"/>
                <w:between w:val="nil"/>
              </w:pBdr>
              <w:spacing w:line="264" w:lineRule="auto"/>
              <w:rPr>
                <w:rFonts w:cstheme="minorHAnsi"/>
                <w:b/>
                <w:bCs/>
                <w:color w:val="000000"/>
              </w:rPr>
            </w:pPr>
            <w:r w:rsidRPr="00281AB7">
              <w:rPr>
                <w:b/>
                <w:bCs/>
                <w:color w:val="000000"/>
              </w:rPr>
              <w:t>Population, geographies and/or barriers addressed</w:t>
            </w:r>
          </w:p>
        </w:tc>
        <w:tc>
          <w:tcPr>
            <w:tcW w:w="12600" w:type="dxa"/>
          </w:tcPr>
          <w:p w14:paraId="08D26454" w14:textId="77777777" w:rsidR="00365D5A" w:rsidRPr="002C2C75" w:rsidRDefault="00365D5A" w:rsidP="00365D5A">
            <w:pPr>
              <w:keepNext/>
              <w:numPr>
                <w:ilvl w:val="0"/>
                <w:numId w:val="81"/>
              </w:numPr>
              <w:spacing w:after="0"/>
              <w:ind w:right="58"/>
            </w:pPr>
            <w:r w:rsidRPr="002C2C75">
              <w:t>Lack of a functioning community surveillance system</w:t>
            </w:r>
          </w:p>
          <w:p w14:paraId="0A5F9561" w14:textId="77777777" w:rsidR="00365D5A" w:rsidRPr="002C2C75" w:rsidRDefault="00365D5A" w:rsidP="00365D5A">
            <w:pPr>
              <w:keepNext/>
              <w:numPr>
                <w:ilvl w:val="0"/>
                <w:numId w:val="81"/>
              </w:numPr>
              <w:spacing w:after="0"/>
              <w:ind w:right="58"/>
            </w:pPr>
            <w:r w:rsidRPr="002C2C75">
              <w:t>Weak expansion and consolidation of the community health information system (UPSCALE or others)</w:t>
            </w:r>
          </w:p>
          <w:p w14:paraId="4D02465A" w14:textId="70C4A2A3" w:rsidR="00365D5A" w:rsidRPr="002C2C75" w:rsidRDefault="00365D5A" w:rsidP="00365D5A">
            <w:pPr>
              <w:keepNext/>
              <w:numPr>
                <w:ilvl w:val="0"/>
                <w:numId w:val="81"/>
              </w:numPr>
              <w:spacing w:after="0"/>
              <w:ind w:right="58"/>
            </w:pPr>
            <w:r w:rsidRPr="002C2C75">
              <w:t>Low data quality related to lack of interoperability among community health information systems.</w:t>
            </w:r>
          </w:p>
        </w:tc>
      </w:tr>
      <w:tr w:rsidR="00365D5A" w:rsidRPr="002C2C75" w14:paraId="63191D5D" w14:textId="77777777" w:rsidTr="007D3B14">
        <w:trPr>
          <w:cantSplit/>
        </w:trPr>
        <w:tc>
          <w:tcPr>
            <w:tcW w:w="2605" w:type="dxa"/>
          </w:tcPr>
          <w:p w14:paraId="6C4D24A4" w14:textId="3ADD7104" w:rsidR="00365D5A" w:rsidRPr="00281AB7" w:rsidRDefault="00365D5A" w:rsidP="00365D5A">
            <w:pPr>
              <w:pBdr>
                <w:top w:val="nil"/>
                <w:left w:val="nil"/>
                <w:bottom w:val="nil"/>
                <w:right w:val="nil"/>
                <w:between w:val="nil"/>
              </w:pBdr>
              <w:spacing w:line="264" w:lineRule="auto"/>
              <w:rPr>
                <w:b/>
                <w:bCs/>
                <w:color w:val="000000"/>
              </w:rPr>
            </w:pPr>
            <w:r w:rsidRPr="00281AB7">
              <w:rPr>
                <w:b/>
                <w:bCs/>
                <w:color w:val="000000"/>
              </w:rPr>
              <w:t>List of activities</w:t>
            </w:r>
          </w:p>
        </w:tc>
        <w:tc>
          <w:tcPr>
            <w:tcW w:w="12600" w:type="dxa"/>
          </w:tcPr>
          <w:p w14:paraId="431D3CF9" w14:textId="77777777" w:rsidR="00365D5A" w:rsidRPr="002C2C75" w:rsidRDefault="00365D5A" w:rsidP="00365D5A">
            <w:pPr>
              <w:numPr>
                <w:ilvl w:val="0"/>
                <w:numId w:val="79"/>
              </w:numPr>
              <w:pBdr>
                <w:top w:val="nil"/>
                <w:left w:val="nil"/>
                <w:bottom w:val="nil"/>
                <w:right w:val="nil"/>
                <w:between w:val="nil"/>
              </w:pBdr>
              <w:spacing w:after="0"/>
              <w:rPr>
                <w:color w:val="000000"/>
              </w:rPr>
            </w:pPr>
            <w:r w:rsidRPr="002C2C75">
              <w:rPr>
                <w:color w:val="000000"/>
              </w:rPr>
              <w:t xml:space="preserve">To conduct operational research, analysis and evaluation of the implementation of the community health system in order to inform the expansion process and the revision of the Community Health Subsystem strategy in 2025 </w:t>
            </w:r>
          </w:p>
          <w:p w14:paraId="53B906B4" w14:textId="77777777" w:rsidR="00365D5A" w:rsidRPr="002C2C75" w:rsidRDefault="00365D5A" w:rsidP="00365D5A">
            <w:pPr>
              <w:numPr>
                <w:ilvl w:val="0"/>
                <w:numId w:val="80"/>
              </w:numPr>
              <w:pBdr>
                <w:top w:val="nil"/>
                <w:left w:val="nil"/>
                <w:bottom w:val="nil"/>
                <w:right w:val="nil"/>
                <w:between w:val="nil"/>
              </w:pBdr>
              <w:spacing w:after="0"/>
              <w:rPr>
                <w:color w:val="000000"/>
              </w:rPr>
            </w:pPr>
            <w:r w:rsidRPr="002C2C75">
              <w:rPr>
                <w:color w:val="000000"/>
              </w:rPr>
              <w:t xml:space="preserve">The operational research will include an evaluation of CHW sensitivity to PLHIV, key and vulnerable populations to HIV, TB, malaria, NCDs, mental health, GBV, and to other human rights gender issues </w:t>
            </w:r>
          </w:p>
          <w:p w14:paraId="7C4316F5" w14:textId="77777777" w:rsidR="00365D5A" w:rsidRPr="002C2C75" w:rsidRDefault="00365D5A" w:rsidP="00365D5A">
            <w:pPr>
              <w:numPr>
                <w:ilvl w:val="0"/>
                <w:numId w:val="80"/>
              </w:numPr>
              <w:pBdr>
                <w:top w:val="nil"/>
                <w:left w:val="nil"/>
                <w:bottom w:val="nil"/>
                <w:right w:val="nil"/>
                <w:between w:val="nil"/>
              </w:pBdr>
              <w:spacing w:after="0"/>
              <w:rPr>
                <w:color w:val="000000"/>
              </w:rPr>
            </w:pPr>
            <w:r w:rsidRPr="002C2C75">
              <w:rPr>
                <w:color w:val="000000"/>
              </w:rPr>
              <w:t>This operational research will also include evaluations of supervision and technical support practices, to inform its improvements and ensure quality of the services provided by CHWs.</w:t>
            </w:r>
          </w:p>
          <w:p w14:paraId="6683A335" w14:textId="51126005" w:rsidR="00365D5A" w:rsidRPr="00281AB7" w:rsidRDefault="00365D5A" w:rsidP="00365D5A">
            <w:pPr>
              <w:numPr>
                <w:ilvl w:val="0"/>
                <w:numId w:val="80"/>
              </w:numPr>
              <w:pBdr>
                <w:top w:val="nil"/>
                <w:left w:val="nil"/>
                <w:bottom w:val="nil"/>
                <w:right w:val="nil"/>
                <w:between w:val="nil"/>
              </w:pBdr>
              <w:spacing w:after="0"/>
              <w:rPr>
                <w:color w:val="000000"/>
              </w:rPr>
            </w:pPr>
            <w:r w:rsidRPr="002C2C75">
              <w:rPr>
                <w:color w:val="000000"/>
              </w:rPr>
              <w:t>This operational research will also include an evaluation of the contribution of traditional medical practitioners in achieving UHC targets.</w:t>
            </w:r>
          </w:p>
        </w:tc>
      </w:tr>
      <w:tr w:rsidR="00365D5A" w:rsidRPr="002C2C75" w14:paraId="0F5D0C4B" w14:textId="77777777" w:rsidTr="007D3B14">
        <w:trPr>
          <w:cantSplit/>
        </w:trPr>
        <w:tc>
          <w:tcPr>
            <w:tcW w:w="2605" w:type="dxa"/>
          </w:tcPr>
          <w:p w14:paraId="05920DEE" w14:textId="5F6C8DE0" w:rsidR="00365D5A" w:rsidRPr="00281AB7" w:rsidRDefault="00365D5A" w:rsidP="00365D5A">
            <w:pPr>
              <w:pBdr>
                <w:top w:val="nil"/>
                <w:left w:val="nil"/>
                <w:bottom w:val="nil"/>
                <w:right w:val="nil"/>
                <w:between w:val="nil"/>
              </w:pBdr>
              <w:spacing w:line="264" w:lineRule="auto"/>
              <w:rPr>
                <w:rFonts w:cstheme="minorHAnsi"/>
                <w:b/>
                <w:bCs/>
                <w:color w:val="000000"/>
              </w:rPr>
            </w:pPr>
            <w:r w:rsidRPr="00281AB7">
              <w:rPr>
                <w:b/>
                <w:bCs/>
                <w:color w:val="000000"/>
              </w:rPr>
              <w:t>Amount requested</w:t>
            </w:r>
          </w:p>
        </w:tc>
        <w:tc>
          <w:tcPr>
            <w:tcW w:w="12600" w:type="dxa"/>
          </w:tcPr>
          <w:p w14:paraId="718046C2" w14:textId="77777777" w:rsidR="00365D5A" w:rsidRDefault="00365D5A" w:rsidP="00365D5A">
            <w:pPr>
              <w:pBdr>
                <w:top w:val="nil"/>
                <w:left w:val="nil"/>
                <w:bottom w:val="nil"/>
                <w:right w:val="nil"/>
                <w:between w:val="nil"/>
              </w:pBdr>
              <w:spacing w:line="264" w:lineRule="auto"/>
              <w:rPr>
                <w:rFonts w:cstheme="minorHAnsi"/>
                <w:b/>
                <w:color w:val="000000"/>
              </w:rPr>
            </w:pPr>
            <w:r w:rsidRPr="002C2C75">
              <w:rPr>
                <w:rFonts w:cstheme="minorHAnsi"/>
                <w:b/>
                <w:color w:val="000000"/>
              </w:rPr>
              <w:t>Within allocation: $1,450,000</w:t>
            </w:r>
          </w:p>
          <w:p w14:paraId="4F2D13CA" w14:textId="39F1F248" w:rsidR="00365D5A" w:rsidRPr="002C2C75" w:rsidRDefault="00365D5A" w:rsidP="00365D5A">
            <w:pPr>
              <w:pBdr>
                <w:top w:val="nil"/>
                <w:left w:val="nil"/>
                <w:bottom w:val="nil"/>
                <w:right w:val="nil"/>
                <w:between w:val="nil"/>
              </w:pBdr>
              <w:spacing w:line="264" w:lineRule="auto"/>
              <w:rPr>
                <w:rFonts w:cstheme="minorHAnsi"/>
                <w:b/>
                <w:bCs/>
                <w:color w:val="000000"/>
              </w:rPr>
            </w:pPr>
            <w:r>
              <w:rPr>
                <w:rFonts w:cstheme="minorHAnsi"/>
                <w:b/>
                <w:color w:val="000000"/>
              </w:rPr>
              <w:t>PAAR: $530,000</w:t>
            </w:r>
          </w:p>
        </w:tc>
      </w:tr>
      <w:tr w:rsidR="00365D5A" w:rsidRPr="002C2C75" w14:paraId="1DD536E9" w14:textId="77777777" w:rsidTr="007D3B14">
        <w:trPr>
          <w:cantSplit/>
        </w:trPr>
        <w:tc>
          <w:tcPr>
            <w:tcW w:w="2605" w:type="dxa"/>
          </w:tcPr>
          <w:p w14:paraId="116ABFEC" w14:textId="1F22FC1A" w:rsidR="00365D5A" w:rsidRPr="00281AB7" w:rsidRDefault="00365D5A" w:rsidP="00365D5A">
            <w:pPr>
              <w:pBdr>
                <w:top w:val="nil"/>
                <w:left w:val="nil"/>
                <w:bottom w:val="nil"/>
                <w:right w:val="nil"/>
                <w:between w:val="nil"/>
              </w:pBdr>
              <w:spacing w:line="264" w:lineRule="auto"/>
              <w:rPr>
                <w:b/>
                <w:bCs/>
                <w:color w:val="000000"/>
              </w:rPr>
            </w:pPr>
            <w:r w:rsidRPr="00281AB7">
              <w:rPr>
                <w:b/>
                <w:bCs/>
                <w:color w:val="000000"/>
              </w:rPr>
              <w:t>Expected outcome</w:t>
            </w:r>
          </w:p>
        </w:tc>
        <w:tc>
          <w:tcPr>
            <w:tcW w:w="12600" w:type="dxa"/>
          </w:tcPr>
          <w:p w14:paraId="1C2E2B98" w14:textId="77777777" w:rsidR="00365D5A" w:rsidRPr="002C2C75" w:rsidRDefault="00365D5A" w:rsidP="00365D5A">
            <w:pPr>
              <w:keepNext/>
              <w:numPr>
                <w:ilvl w:val="0"/>
                <w:numId w:val="82"/>
              </w:numPr>
              <w:spacing w:before="60" w:after="0"/>
              <w:ind w:right="57"/>
            </w:pPr>
            <w:r w:rsidRPr="002C2C75">
              <w:t>A functional community health information system for surveillance and Monitoring &amp; Evaluation (UpSCALE) interoperable with the routine health information system for Monitoring &amp; Evaluation (SIS-MA)</w:t>
            </w:r>
          </w:p>
          <w:p w14:paraId="475187D8" w14:textId="419126EC" w:rsidR="00365D5A" w:rsidRPr="00281AB7" w:rsidRDefault="00365D5A" w:rsidP="00365D5A">
            <w:pPr>
              <w:keepNext/>
              <w:numPr>
                <w:ilvl w:val="0"/>
                <w:numId w:val="82"/>
              </w:numPr>
              <w:spacing w:before="60" w:after="0"/>
              <w:ind w:right="57"/>
            </w:pPr>
            <w:r w:rsidRPr="002C2C75">
              <w:t>Implementation of the community subsystem informed by evidence (lessons learned, challenges and facilitators) documented through operational research.</w:t>
            </w:r>
          </w:p>
        </w:tc>
      </w:tr>
      <w:tr w:rsidR="00365D5A" w:rsidRPr="002C2C75" w14:paraId="1E952F65" w14:textId="77777777" w:rsidTr="007D3B14">
        <w:trPr>
          <w:cantSplit/>
        </w:trPr>
        <w:tc>
          <w:tcPr>
            <w:tcW w:w="2605" w:type="dxa"/>
          </w:tcPr>
          <w:p w14:paraId="73F054A2" w14:textId="70FA6F1C" w:rsidR="00365D5A" w:rsidRPr="002C2C75" w:rsidRDefault="00365D5A" w:rsidP="00365D5A">
            <w:pPr>
              <w:pBdr>
                <w:top w:val="nil"/>
                <w:left w:val="nil"/>
                <w:bottom w:val="nil"/>
                <w:right w:val="nil"/>
                <w:between w:val="nil"/>
              </w:pBdr>
              <w:spacing w:line="264" w:lineRule="auto"/>
              <w:rPr>
                <w:b/>
                <w:bCs/>
                <w:i/>
                <w:iCs/>
                <w:color w:val="000000"/>
              </w:rPr>
            </w:pPr>
            <w:r w:rsidRPr="002C2C75">
              <w:rPr>
                <w:b/>
                <w:bCs/>
                <w:i/>
                <w:iCs/>
                <w:color w:val="000000"/>
              </w:rPr>
              <w:t>MODULE 12 TOTAL</w:t>
            </w:r>
          </w:p>
        </w:tc>
        <w:tc>
          <w:tcPr>
            <w:tcW w:w="12600" w:type="dxa"/>
          </w:tcPr>
          <w:p w14:paraId="7D7F5744" w14:textId="77777777" w:rsidR="00365D5A" w:rsidRPr="002C2C75" w:rsidRDefault="00365D5A" w:rsidP="00365D5A">
            <w:pPr>
              <w:pBdr>
                <w:top w:val="nil"/>
                <w:left w:val="nil"/>
                <w:bottom w:val="nil"/>
                <w:right w:val="nil"/>
                <w:between w:val="nil"/>
              </w:pBdr>
              <w:spacing w:line="264" w:lineRule="auto"/>
              <w:rPr>
                <w:rFonts w:cstheme="minorHAnsi"/>
                <w:bCs/>
                <w:i/>
                <w:iCs/>
                <w:color w:val="000000"/>
              </w:rPr>
            </w:pPr>
            <w:r w:rsidRPr="002C2C75">
              <w:rPr>
                <w:rFonts w:cstheme="minorHAnsi"/>
                <w:bCs/>
                <w:i/>
                <w:iCs/>
                <w:color w:val="000000"/>
              </w:rPr>
              <w:t>Within allocation: $15,950,000</w:t>
            </w:r>
          </w:p>
          <w:p w14:paraId="65EBB53F" w14:textId="74869CE2" w:rsidR="00365D5A" w:rsidRPr="002C2C75" w:rsidRDefault="00365D5A" w:rsidP="00365D5A">
            <w:pPr>
              <w:pBdr>
                <w:top w:val="nil"/>
                <w:left w:val="nil"/>
                <w:bottom w:val="nil"/>
                <w:right w:val="nil"/>
                <w:between w:val="nil"/>
              </w:pBdr>
              <w:spacing w:line="264" w:lineRule="auto"/>
              <w:rPr>
                <w:rFonts w:cstheme="minorHAnsi"/>
                <w:bCs/>
                <w:i/>
                <w:iCs/>
                <w:color w:val="000000"/>
              </w:rPr>
            </w:pPr>
            <w:r w:rsidRPr="002C2C75">
              <w:rPr>
                <w:rFonts w:cstheme="minorHAnsi"/>
                <w:bCs/>
                <w:i/>
                <w:iCs/>
                <w:color w:val="000000"/>
              </w:rPr>
              <w:t>PAAR: $</w:t>
            </w:r>
            <w:r w:rsidR="009B3388">
              <w:rPr>
                <w:rFonts w:cstheme="minorHAnsi"/>
                <w:bCs/>
                <w:i/>
                <w:iCs/>
                <w:color w:val="000000"/>
              </w:rPr>
              <w:t>8</w:t>
            </w:r>
            <w:r>
              <w:rPr>
                <w:rFonts w:cstheme="minorHAnsi"/>
                <w:bCs/>
                <w:i/>
                <w:iCs/>
                <w:color w:val="000000"/>
              </w:rPr>
              <w:t>,</w:t>
            </w:r>
            <w:r w:rsidR="00704839">
              <w:rPr>
                <w:rFonts w:cstheme="minorHAnsi"/>
                <w:bCs/>
                <w:i/>
                <w:iCs/>
                <w:color w:val="000000"/>
              </w:rPr>
              <w:t>80</w:t>
            </w:r>
            <w:r w:rsidR="009B3388">
              <w:rPr>
                <w:rFonts w:cstheme="minorHAnsi"/>
                <w:bCs/>
                <w:i/>
                <w:iCs/>
                <w:color w:val="000000"/>
              </w:rPr>
              <w:t>8</w:t>
            </w:r>
            <w:r>
              <w:rPr>
                <w:rFonts w:cstheme="minorHAnsi"/>
                <w:bCs/>
                <w:i/>
                <w:iCs/>
                <w:color w:val="000000"/>
              </w:rPr>
              <w:t>,586</w:t>
            </w:r>
            <w:r w:rsidRPr="002C2C75">
              <w:rPr>
                <w:rFonts w:cstheme="minorHAnsi"/>
                <w:bCs/>
                <w:i/>
                <w:iCs/>
                <w:color w:val="000000"/>
              </w:rPr>
              <w:t xml:space="preserve"> </w:t>
            </w:r>
          </w:p>
        </w:tc>
      </w:tr>
    </w:tbl>
    <w:p w14:paraId="02A8ECF3" w14:textId="77777777" w:rsidR="00A72913" w:rsidRPr="002C2C75" w:rsidRDefault="00A72913">
      <w:pPr>
        <w:spacing w:after="200"/>
        <w:rPr>
          <w:sz w:val="24"/>
        </w:rPr>
      </w:pPr>
    </w:p>
    <w:p w14:paraId="09A8F094" w14:textId="77777777" w:rsidR="00A72913" w:rsidRPr="002C2C75" w:rsidRDefault="00A72913">
      <w:pPr>
        <w:spacing w:after="200"/>
        <w:rPr>
          <w:sz w:val="24"/>
        </w:rPr>
      </w:pPr>
    </w:p>
    <w:p w14:paraId="27C4EBEF" w14:textId="77777777" w:rsidR="00A72913" w:rsidRPr="002C2C75" w:rsidRDefault="00A72913">
      <w:pPr>
        <w:spacing w:after="200"/>
        <w:rPr>
          <w:sz w:val="24"/>
          <w:lang w:val="en-GB"/>
        </w:rPr>
      </w:pPr>
      <w:r w:rsidRPr="002C2C75">
        <w:br w:type="page"/>
      </w:r>
    </w:p>
    <w:p w14:paraId="42CF00CB" w14:textId="2596DDBA" w:rsidR="00786920" w:rsidRPr="002C2C75" w:rsidRDefault="000700C2">
      <w:pPr>
        <w:pStyle w:val="BodyText"/>
        <w:numPr>
          <w:ilvl w:val="2"/>
          <w:numId w:val="14"/>
        </w:numPr>
      </w:pPr>
      <w:r w:rsidRPr="002C2C75">
        <w:t xml:space="preserve">If you are using a </w:t>
      </w:r>
      <w:r w:rsidR="002D0BA1" w:rsidRPr="002C2C75">
        <w:t>Payment for Results</w:t>
      </w:r>
      <w:r w:rsidRPr="002C2C75">
        <w:t xml:space="preserve"> modality</w:t>
      </w:r>
      <w:r w:rsidR="00662D33" w:rsidRPr="002C2C75">
        <w:t xml:space="preserve">, </w:t>
      </w:r>
      <w:r w:rsidR="00552632" w:rsidRPr="002C2C75">
        <w:t xml:space="preserve">provide information </w:t>
      </w:r>
      <w:r w:rsidR="002A4B93" w:rsidRPr="002C2C75">
        <w:t xml:space="preserve">on the </w:t>
      </w:r>
      <w:r w:rsidR="009D6F6C" w:rsidRPr="002C2C75">
        <w:t xml:space="preserve">performance indicators </w:t>
      </w:r>
      <w:r w:rsidR="00132BDC" w:rsidRPr="002C2C75">
        <w:t>/</w:t>
      </w:r>
      <w:r w:rsidR="009D6F6C" w:rsidRPr="002C2C75">
        <w:t xml:space="preserve"> milestones</w:t>
      </w:r>
      <w:r w:rsidR="001B701A" w:rsidRPr="002C2C75">
        <w:t xml:space="preserve">, </w:t>
      </w:r>
      <w:r w:rsidR="002A4B93" w:rsidRPr="002C2C75">
        <w:t>targets</w:t>
      </w:r>
      <w:r w:rsidR="00F221EB" w:rsidRPr="002C2C75">
        <w:t xml:space="preserve"> </w:t>
      </w:r>
      <w:r w:rsidR="009D4DD0" w:rsidRPr="002C2C75">
        <w:t>and amounts</w:t>
      </w:r>
      <w:r w:rsidR="00F221EB" w:rsidRPr="002C2C75">
        <w:t xml:space="preserve"> </w:t>
      </w:r>
      <w:r w:rsidR="001D63E9" w:rsidRPr="002C2C75">
        <w:t>that are proposed</w:t>
      </w:r>
      <w:r w:rsidR="00293B9F" w:rsidRPr="002C2C75">
        <w:t>.</w:t>
      </w:r>
    </w:p>
    <w:p w14:paraId="1E4BC9D8" w14:textId="67A58C22" w:rsidR="00CE4E54" w:rsidRPr="002C2C75" w:rsidRDefault="003D39BC" w:rsidP="00EA7883">
      <w:pPr>
        <w:pStyle w:val="BodyText"/>
        <w:rPr>
          <w:i/>
          <w:iCs/>
        </w:rPr>
      </w:pPr>
      <w:r>
        <w:rPr>
          <w:i/>
          <w:iCs/>
        </w:rPr>
        <w:t>N/a</w:t>
      </w:r>
    </w:p>
    <w:p w14:paraId="48AF80A5" w14:textId="520B8074" w:rsidR="00CE4E54" w:rsidRPr="002C2C75" w:rsidRDefault="00CE4E54" w:rsidP="00EA7883">
      <w:pPr>
        <w:pStyle w:val="BodyText"/>
        <w:rPr>
          <w:i/>
          <w:iCs/>
        </w:rPr>
        <w:sectPr w:rsidR="00CE4E54" w:rsidRPr="002C2C75" w:rsidSect="00EC43C0">
          <w:pgSz w:w="16838" w:h="11906" w:orient="landscape" w:code="9"/>
          <w:pgMar w:top="851" w:right="851" w:bottom="1582" w:left="907" w:header="289" w:footer="289" w:gutter="0"/>
          <w:cols w:space="708"/>
          <w:titlePg/>
          <w:docGrid w:linePitch="360"/>
        </w:sectPr>
      </w:pPr>
    </w:p>
    <w:p w14:paraId="6D939E01" w14:textId="691C52E8" w:rsidR="00B0542F" w:rsidRPr="002C2C75" w:rsidRDefault="00B97E2B">
      <w:pPr>
        <w:pStyle w:val="Heading2"/>
        <w:numPr>
          <w:ilvl w:val="1"/>
          <w:numId w:val="13"/>
        </w:numPr>
      </w:pPr>
      <w:r w:rsidRPr="002C2C75">
        <w:t>Rationale</w:t>
      </w:r>
    </w:p>
    <w:p w14:paraId="7D87B637" w14:textId="34BB8546" w:rsidR="00B97E2B" w:rsidRPr="002C2C75" w:rsidRDefault="00DA4E1E">
      <w:pPr>
        <w:pStyle w:val="BodyText"/>
        <w:numPr>
          <w:ilvl w:val="2"/>
          <w:numId w:val="19"/>
        </w:numPr>
        <w:tabs>
          <w:tab w:val="left" w:pos="990"/>
          <w:tab w:val="left" w:pos="1080"/>
        </w:tabs>
        <w:ind w:left="990" w:hanging="450"/>
      </w:pPr>
      <w:r w:rsidRPr="002C2C75">
        <w:t>Describe the overall approach to how you selected and prioritized the requested interventions (or indicator/milestone if using a Payments for Results modality).</w:t>
      </w:r>
    </w:p>
    <w:p w14:paraId="788CE2EA" w14:textId="501AACD3" w:rsidR="00386038" w:rsidRPr="002C2C75" w:rsidRDefault="00386038" w:rsidP="00D201A6">
      <w:pPr>
        <w:spacing w:after="0"/>
        <w:jc w:val="both"/>
        <w:rPr>
          <w:rFonts w:cstheme="minorHAnsi"/>
        </w:rPr>
      </w:pPr>
      <w:r w:rsidRPr="002C2C75">
        <w:rPr>
          <w:rFonts w:cstheme="minorHAnsi"/>
        </w:rPr>
        <w:t>The selection and prioritization of modules and interventions for this funding request w</w:t>
      </w:r>
      <w:r w:rsidR="00BC66F0" w:rsidRPr="002C2C75">
        <w:rPr>
          <w:rFonts w:cstheme="minorHAnsi"/>
        </w:rPr>
        <w:t>ere</w:t>
      </w:r>
      <w:r w:rsidRPr="002C2C75">
        <w:rPr>
          <w:rFonts w:cstheme="minorHAnsi"/>
        </w:rPr>
        <w:t xml:space="preserve"> done through a combination of</w:t>
      </w:r>
      <w:r w:rsidR="00BC66F0" w:rsidRPr="002C2C75">
        <w:rPr>
          <w:rFonts w:cstheme="minorHAnsi"/>
        </w:rPr>
        <w:t xml:space="preserve"> several</w:t>
      </w:r>
      <w:r w:rsidRPr="002C2C75">
        <w:rPr>
          <w:rFonts w:cstheme="minorHAnsi"/>
        </w:rPr>
        <w:t xml:space="preserve"> malaria dialogue convened at provincial and central levels, as well as an inclusive but data-driven Malaria Programme Review (MPR) in 2022</w:t>
      </w:r>
      <w:r w:rsidR="00BC66F0" w:rsidRPr="002C2C75">
        <w:rPr>
          <w:rFonts w:cstheme="minorHAnsi"/>
        </w:rPr>
        <w:t xml:space="preserve">. Following this, a </w:t>
      </w:r>
      <w:r w:rsidRPr="002C2C75">
        <w:rPr>
          <w:rFonts w:cstheme="minorHAnsi"/>
        </w:rPr>
        <w:t>new national malaria strategic plan for the period 2023-2030</w:t>
      </w:r>
      <w:r w:rsidR="00BC66F0" w:rsidRPr="002C2C75">
        <w:rPr>
          <w:rFonts w:cstheme="minorHAnsi"/>
        </w:rPr>
        <w:t xml:space="preserve"> was drafted</w:t>
      </w:r>
      <w:r w:rsidRPr="002C2C75">
        <w:rPr>
          <w:rFonts w:cstheme="minorHAnsi"/>
        </w:rPr>
        <w:t>. This inclusive but highly data-driven approach utilized the concepts described by WHO in their guidance on stratification and sub-national tailoring</w:t>
      </w:r>
      <w:r w:rsidR="00BC66F0" w:rsidRPr="002C2C75">
        <w:rPr>
          <w:rFonts w:cstheme="minorHAnsi"/>
        </w:rPr>
        <w:t xml:space="preserve"> to prioritize the modules and interventions</w:t>
      </w:r>
      <w:r w:rsidR="00BC66F0" w:rsidRPr="002C2C75">
        <w:rPr>
          <w:rStyle w:val="FootnoteReference"/>
          <w:rFonts w:cstheme="minorHAnsi"/>
        </w:rPr>
        <w:footnoteReference w:id="6"/>
      </w:r>
      <w:r w:rsidRPr="002C2C75">
        <w:rPr>
          <w:rFonts w:cstheme="minorHAnsi"/>
        </w:rPr>
        <w:t xml:space="preserve">. Several complementary analytical methods were utilized to prepare and conduct the MPR, and to inform future strategy. This process built on lessons learned from the same process during the 2020 MTR, </w:t>
      </w:r>
      <w:r w:rsidR="00BC66F0" w:rsidRPr="002C2C75">
        <w:rPr>
          <w:rFonts w:cstheme="minorHAnsi"/>
        </w:rPr>
        <w:t>which</w:t>
      </w:r>
      <w:r w:rsidRPr="002C2C75">
        <w:rPr>
          <w:rFonts w:cstheme="minorHAnsi"/>
        </w:rPr>
        <w:t xml:space="preserve"> included:</w:t>
      </w:r>
    </w:p>
    <w:p w14:paraId="4FEA1E79" w14:textId="1FE284D9" w:rsidR="00386038" w:rsidRPr="002C2C75" w:rsidRDefault="00386038">
      <w:pPr>
        <w:numPr>
          <w:ilvl w:val="0"/>
          <w:numId w:val="48"/>
        </w:numPr>
        <w:spacing w:after="0"/>
        <w:jc w:val="both"/>
        <w:rPr>
          <w:rFonts w:cstheme="minorHAnsi"/>
        </w:rPr>
      </w:pPr>
      <w:r w:rsidRPr="002C2C75">
        <w:rPr>
          <w:rFonts w:cstheme="minorHAnsi"/>
        </w:rPr>
        <w:t>The NMCP and its partners conducted analys</w:t>
      </w:r>
      <w:r w:rsidR="00BC66F0" w:rsidRPr="002C2C75">
        <w:rPr>
          <w:rFonts w:cstheme="minorHAnsi"/>
        </w:rPr>
        <w:t>e</w:t>
      </w:r>
      <w:r w:rsidRPr="002C2C75">
        <w:rPr>
          <w:rFonts w:cstheme="minorHAnsi"/>
        </w:rPr>
        <w:t xml:space="preserve">s at </w:t>
      </w:r>
      <w:r w:rsidR="00BC66F0" w:rsidRPr="002C2C75">
        <w:rPr>
          <w:rFonts w:cstheme="minorHAnsi"/>
        </w:rPr>
        <w:t xml:space="preserve">a </w:t>
      </w:r>
      <w:r w:rsidRPr="002C2C75">
        <w:rPr>
          <w:rFonts w:cstheme="minorHAnsi"/>
        </w:rPr>
        <w:t xml:space="preserve">subnational level on all routine data to evaluate impact and intervention coverage and quality </w:t>
      </w:r>
    </w:p>
    <w:p w14:paraId="639FDE59" w14:textId="77777777" w:rsidR="00386038" w:rsidRPr="002C2C75" w:rsidRDefault="00386038">
      <w:pPr>
        <w:numPr>
          <w:ilvl w:val="0"/>
          <w:numId w:val="48"/>
        </w:numPr>
        <w:spacing w:after="0"/>
        <w:jc w:val="both"/>
        <w:rPr>
          <w:rFonts w:cstheme="minorHAnsi"/>
        </w:rPr>
      </w:pPr>
      <w:r w:rsidRPr="002C2C75">
        <w:rPr>
          <w:rFonts w:cstheme="minorHAnsi"/>
        </w:rPr>
        <w:t>The NMCP and its partners collated all available research and evaluation data on intervention impact and other strategy-relevant findings</w:t>
      </w:r>
    </w:p>
    <w:p w14:paraId="0721E6BC" w14:textId="389F6543" w:rsidR="00386038" w:rsidRPr="002C2C75" w:rsidRDefault="00386038">
      <w:pPr>
        <w:numPr>
          <w:ilvl w:val="0"/>
          <w:numId w:val="48"/>
        </w:numPr>
        <w:spacing w:after="0"/>
        <w:jc w:val="both"/>
        <w:rPr>
          <w:rFonts w:cstheme="minorHAnsi"/>
        </w:rPr>
      </w:pPr>
      <w:r w:rsidRPr="002C2C75">
        <w:rPr>
          <w:rFonts w:cstheme="minorHAnsi"/>
        </w:rPr>
        <w:t>Deliberations on the above data</w:t>
      </w:r>
      <w:r w:rsidR="00BC66F0" w:rsidRPr="002C2C75">
        <w:rPr>
          <w:rFonts w:cstheme="minorHAnsi"/>
        </w:rPr>
        <w:t xml:space="preserve"> were held</w:t>
      </w:r>
      <w:r w:rsidRPr="002C2C75">
        <w:rPr>
          <w:rFonts w:cstheme="minorHAnsi"/>
        </w:rPr>
        <w:t xml:space="preserve"> by thematic Technical Working Groups, inclusive of partners, as well as structured review</w:t>
      </w:r>
      <w:r w:rsidR="00BC66F0" w:rsidRPr="002C2C75">
        <w:rPr>
          <w:rFonts w:cstheme="minorHAnsi"/>
        </w:rPr>
        <w:t>s were conducted</w:t>
      </w:r>
      <w:r w:rsidRPr="002C2C75">
        <w:rPr>
          <w:rFonts w:cstheme="minorHAnsi"/>
        </w:rPr>
        <w:t xml:space="preserve"> o</w:t>
      </w:r>
      <w:r w:rsidR="00BC66F0" w:rsidRPr="002C2C75">
        <w:rPr>
          <w:rFonts w:cstheme="minorHAnsi"/>
        </w:rPr>
        <w:t>n</w:t>
      </w:r>
      <w:r w:rsidRPr="002C2C75">
        <w:rPr>
          <w:rFonts w:cstheme="minorHAnsi"/>
        </w:rPr>
        <w:t xml:space="preserve"> implementation progress and challenges </w:t>
      </w:r>
    </w:p>
    <w:p w14:paraId="3A9D6B13" w14:textId="1C8A19F6" w:rsidR="00386038" w:rsidRPr="002C2C75" w:rsidRDefault="00386038">
      <w:pPr>
        <w:numPr>
          <w:ilvl w:val="0"/>
          <w:numId w:val="48"/>
        </w:numPr>
        <w:spacing w:after="0"/>
        <w:jc w:val="both"/>
        <w:rPr>
          <w:rFonts w:cstheme="minorHAnsi"/>
        </w:rPr>
      </w:pPr>
      <w:r w:rsidRPr="002C2C75">
        <w:rPr>
          <w:rFonts w:cstheme="minorHAnsi"/>
        </w:rPr>
        <w:t>Building on a positive experience during the 2020 MTR, a modeling exercise was undertaken in collaboration with the Swiss Tropical and Public Health Institute (STPH) and CHAI, to simulate  intervention mix scenarios</w:t>
      </w:r>
      <w:r w:rsidR="00BC66F0" w:rsidRPr="002C2C75">
        <w:rPr>
          <w:rFonts w:cstheme="minorHAnsi"/>
        </w:rPr>
        <w:t xml:space="preserve"> to</w:t>
      </w:r>
      <w:r w:rsidRPr="002C2C75">
        <w:rPr>
          <w:rFonts w:cstheme="minorHAnsi"/>
        </w:rPr>
        <w:t xml:space="preserve"> serve as an input to the stratification prioritization decisions. </w:t>
      </w:r>
    </w:p>
    <w:p w14:paraId="44219B42" w14:textId="77777777" w:rsidR="00386038" w:rsidRPr="002C2C75" w:rsidRDefault="00386038" w:rsidP="00D201A6">
      <w:pPr>
        <w:spacing w:after="0"/>
        <w:jc w:val="both"/>
        <w:rPr>
          <w:rFonts w:cstheme="minorHAnsi"/>
        </w:rPr>
      </w:pPr>
    </w:p>
    <w:p w14:paraId="584E0745" w14:textId="557879CE" w:rsidR="00386038" w:rsidRPr="002C2C75" w:rsidRDefault="00386038" w:rsidP="00D201A6">
      <w:pPr>
        <w:spacing w:after="0"/>
        <w:jc w:val="both"/>
        <w:rPr>
          <w:rFonts w:cstheme="minorHAnsi"/>
        </w:rPr>
      </w:pPr>
      <w:r w:rsidRPr="002C2C75">
        <w:rPr>
          <w:rFonts w:cstheme="minorHAnsi"/>
        </w:rPr>
        <w:t xml:space="preserve">For the modeling work conducted in 2022, a cost-effectiveness optimization model was also added to the methodology to help inform the optimal ranking of interventions based on value-for-money - thus allowing for a within allocation funding request that maximizes cost effectiveness as well as a robust ranking of PAAR interventions which if funded would result in maximum additional impact. </w:t>
      </w:r>
    </w:p>
    <w:p w14:paraId="4479C92B" w14:textId="4A3663AD" w:rsidR="00386038" w:rsidRPr="002C2C75" w:rsidRDefault="00386038" w:rsidP="00386038">
      <w:pPr>
        <w:spacing w:after="0"/>
        <w:rPr>
          <w:rFonts w:cstheme="minorHAnsi"/>
        </w:rPr>
      </w:pPr>
    </w:p>
    <w:p w14:paraId="239AC0FC" w14:textId="359767AF" w:rsidR="00D201A6" w:rsidRPr="002C2C75" w:rsidRDefault="00D201A6" w:rsidP="00386038">
      <w:pPr>
        <w:spacing w:after="0"/>
        <w:rPr>
          <w:rFonts w:cstheme="minorHAnsi"/>
        </w:rPr>
      </w:pPr>
      <w:r w:rsidRPr="002C2C75">
        <w:rPr>
          <w:rFonts w:cstheme="minorHAnsi"/>
        </w:rPr>
        <w:t xml:space="preserve">Figure 2: Process and methods of stratification and sub-national tailoring </w:t>
      </w:r>
    </w:p>
    <w:p w14:paraId="0F274E11" w14:textId="4F39AE62" w:rsidR="00386038" w:rsidRPr="002C2C75" w:rsidRDefault="00386038" w:rsidP="00386038">
      <w:pPr>
        <w:spacing w:after="0"/>
        <w:rPr>
          <w:rFonts w:cstheme="minorHAnsi"/>
        </w:rPr>
      </w:pPr>
      <w:r w:rsidRPr="002C2C75">
        <w:rPr>
          <w:rFonts w:cstheme="minorHAnsi"/>
          <w:noProof/>
        </w:rPr>
        <w:drawing>
          <wp:inline distT="114300" distB="114300" distL="114300" distR="114300" wp14:anchorId="6439D5C7" wp14:editId="19CB129B">
            <wp:extent cx="6479230" cy="3644900"/>
            <wp:effectExtent l="0" t="0" r="0" b="0"/>
            <wp:docPr id="207057680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6479230" cy="3644900"/>
                    </a:xfrm>
                    <a:prstGeom prst="rect">
                      <a:avLst/>
                    </a:prstGeom>
                    <a:ln/>
                  </pic:spPr>
                </pic:pic>
              </a:graphicData>
            </a:graphic>
          </wp:inline>
        </w:drawing>
      </w:r>
    </w:p>
    <w:p w14:paraId="72E3D577" w14:textId="29813DB4" w:rsidR="006B3156" w:rsidRPr="002C2C75" w:rsidRDefault="006B3156" w:rsidP="00386038">
      <w:pPr>
        <w:spacing w:after="0"/>
        <w:rPr>
          <w:rFonts w:cstheme="minorHAnsi"/>
        </w:rPr>
      </w:pPr>
    </w:p>
    <w:p w14:paraId="5E28E573" w14:textId="61F75C6B" w:rsidR="006B3156" w:rsidRPr="002C2C75" w:rsidRDefault="006B3156" w:rsidP="00386038">
      <w:pPr>
        <w:spacing w:after="0"/>
        <w:rPr>
          <w:rFonts w:cstheme="minorHAnsi"/>
        </w:rPr>
      </w:pPr>
    </w:p>
    <w:p w14:paraId="69A1676F" w14:textId="700A031C" w:rsidR="006B3156" w:rsidRPr="002C2C75" w:rsidRDefault="006B3156" w:rsidP="00386038">
      <w:pPr>
        <w:spacing w:after="0"/>
        <w:rPr>
          <w:rFonts w:cstheme="minorHAnsi"/>
        </w:rPr>
      </w:pPr>
    </w:p>
    <w:p w14:paraId="71EA94AD" w14:textId="77061175" w:rsidR="00386038" w:rsidRPr="002C2C75" w:rsidRDefault="006B3156" w:rsidP="00386038">
      <w:pPr>
        <w:spacing w:after="0"/>
        <w:rPr>
          <w:rFonts w:cstheme="minorHAnsi"/>
        </w:rPr>
      </w:pPr>
      <w:r w:rsidRPr="002C2C75">
        <w:rPr>
          <w:rFonts w:cstheme="minorHAnsi"/>
        </w:rPr>
        <w:t xml:space="preserve">Figure </w:t>
      </w:r>
      <w:r w:rsidR="00D201A6" w:rsidRPr="002C2C75">
        <w:rPr>
          <w:rFonts w:cstheme="minorHAnsi"/>
        </w:rPr>
        <w:t>3</w:t>
      </w:r>
      <w:r w:rsidRPr="002C2C75">
        <w:rPr>
          <w:rFonts w:cstheme="minorHAnsi"/>
        </w:rPr>
        <w:t>: Model</w:t>
      </w:r>
      <w:r w:rsidR="00D84107" w:rsidRPr="002C2C75">
        <w:rPr>
          <w:rFonts w:cstheme="minorHAnsi"/>
        </w:rPr>
        <w:t>e</w:t>
      </w:r>
      <w:r w:rsidRPr="002C2C75">
        <w:rPr>
          <w:rFonts w:cstheme="minorHAnsi"/>
        </w:rPr>
        <w:t xml:space="preserve">d impact of different intervention packages </w:t>
      </w:r>
    </w:p>
    <w:p w14:paraId="4F569B05" w14:textId="6EF71DB9" w:rsidR="00386038" w:rsidRPr="002C2C75" w:rsidRDefault="006B3156" w:rsidP="00386038">
      <w:pPr>
        <w:spacing w:after="0"/>
        <w:rPr>
          <w:rFonts w:cstheme="minorHAnsi"/>
        </w:rPr>
      </w:pPr>
      <w:r w:rsidRPr="002C2C75">
        <w:rPr>
          <w:noProof/>
        </w:rPr>
        <w:drawing>
          <wp:inline distT="0" distB="0" distL="0" distR="0" wp14:anchorId="1B3A3F2C" wp14:editId="309CCCC2">
            <wp:extent cx="5386388" cy="33147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87340" cy="3315286"/>
                    </a:xfrm>
                    <a:prstGeom prst="rect">
                      <a:avLst/>
                    </a:prstGeom>
                    <a:noFill/>
                    <a:ln>
                      <a:noFill/>
                    </a:ln>
                  </pic:spPr>
                </pic:pic>
              </a:graphicData>
            </a:graphic>
          </wp:inline>
        </w:drawing>
      </w:r>
    </w:p>
    <w:p w14:paraId="4885F77E" w14:textId="77777777" w:rsidR="00386038" w:rsidRPr="002C2C75" w:rsidRDefault="00386038" w:rsidP="00386038">
      <w:pPr>
        <w:spacing w:after="0"/>
        <w:rPr>
          <w:rFonts w:cstheme="minorHAnsi"/>
        </w:rPr>
      </w:pPr>
    </w:p>
    <w:p w14:paraId="56746D18" w14:textId="26170420" w:rsidR="00386038" w:rsidRPr="002C2C75" w:rsidRDefault="00386038" w:rsidP="006B3156">
      <w:pPr>
        <w:spacing w:after="0"/>
        <w:jc w:val="both"/>
        <w:rPr>
          <w:rFonts w:cstheme="minorHAnsi"/>
        </w:rPr>
      </w:pPr>
      <w:r w:rsidRPr="002C2C75">
        <w:rPr>
          <w:rFonts w:cstheme="minorHAnsi"/>
        </w:rPr>
        <w:t>The results of these data were further deliberated by the stakeholders, with successes and challenges discussed in NMCP-led TWGs at a strategic retreat in October 2022. This retreat constituted a broad range of stakeholders including technical and implementation partners, provincial representatives, WHO, women and youth representatives, civil society, and academia, who together made strategic recommendations which were then encoded into</w:t>
      </w:r>
      <w:r w:rsidR="008F198A" w:rsidRPr="002C2C75">
        <w:rPr>
          <w:rFonts w:cstheme="minorHAnsi"/>
        </w:rPr>
        <w:t xml:space="preserve"> the</w:t>
      </w:r>
      <w:r w:rsidRPr="002C2C75">
        <w:rPr>
          <w:rFonts w:cstheme="minorHAnsi"/>
        </w:rPr>
        <w:t xml:space="preserve"> a strategic framework and stratification for the years 2023-2030.  </w:t>
      </w:r>
    </w:p>
    <w:p w14:paraId="4B8A2722" w14:textId="77777777" w:rsidR="00386038" w:rsidRPr="002C2C75" w:rsidRDefault="00386038" w:rsidP="006B3156">
      <w:pPr>
        <w:spacing w:after="0"/>
        <w:jc w:val="both"/>
        <w:rPr>
          <w:rFonts w:cstheme="minorHAnsi"/>
        </w:rPr>
      </w:pPr>
    </w:p>
    <w:p w14:paraId="0E0C0F08" w14:textId="77777777" w:rsidR="00386038" w:rsidRPr="002C2C75" w:rsidRDefault="00386038" w:rsidP="006B3156">
      <w:pPr>
        <w:spacing w:after="0"/>
        <w:jc w:val="both"/>
        <w:rPr>
          <w:rFonts w:cstheme="minorHAnsi"/>
        </w:rPr>
      </w:pPr>
      <w:r w:rsidRPr="002C2C75">
        <w:rPr>
          <w:rFonts w:cstheme="minorHAnsi"/>
        </w:rPr>
        <w:t>The “ideal stratification” (shown below) was broken down into levels of prioritization based on the cost-effectiveness results, resulting in the following:</w:t>
      </w:r>
    </w:p>
    <w:p w14:paraId="7FA96AE9" w14:textId="77777777" w:rsidR="00386038" w:rsidRPr="002C2C75" w:rsidRDefault="00386038">
      <w:pPr>
        <w:numPr>
          <w:ilvl w:val="0"/>
          <w:numId w:val="47"/>
        </w:numPr>
        <w:spacing w:after="0"/>
        <w:jc w:val="both"/>
        <w:rPr>
          <w:rFonts w:cstheme="minorHAnsi"/>
        </w:rPr>
      </w:pPr>
      <w:r w:rsidRPr="002C2C75">
        <w:rPr>
          <w:rFonts w:cstheme="minorHAnsi"/>
          <w:b/>
        </w:rPr>
        <w:t xml:space="preserve">Core package: </w:t>
      </w:r>
      <w:r w:rsidRPr="002C2C75">
        <w:rPr>
          <w:rFonts w:cstheme="minorHAnsi"/>
        </w:rPr>
        <w:t xml:space="preserve">These activities are critical to the building of a sustainable programme for malaria control and eventual elimination, and a lack of funding for which would cause major setbacks to programme progress. These include items such as program and grant management, strong systems for case management, vector control that manages the widespread insecticide resistance, SMC and PMC in pilot provinces, and strengthening of surveillance and M&amp;E systems. </w:t>
      </w:r>
    </w:p>
    <w:p w14:paraId="21777803" w14:textId="6B6F0910" w:rsidR="00386038" w:rsidRPr="002C2C75" w:rsidRDefault="00386038">
      <w:pPr>
        <w:numPr>
          <w:ilvl w:val="1"/>
          <w:numId w:val="47"/>
        </w:numPr>
        <w:spacing w:after="0"/>
        <w:jc w:val="both"/>
        <w:rPr>
          <w:rFonts w:cstheme="minorHAnsi"/>
        </w:rPr>
      </w:pPr>
      <w:r w:rsidRPr="002C2C75">
        <w:rPr>
          <w:rFonts w:cstheme="minorHAnsi"/>
          <w:i/>
        </w:rPr>
        <w:t xml:space="preserve">These items all fit into existing resource envelopes from the country’s existing donors - if implemented </w:t>
      </w:r>
      <w:r w:rsidR="008F198A" w:rsidRPr="002C2C75">
        <w:rPr>
          <w:rFonts w:cstheme="minorHAnsi"/>
          <w:i/>
        </w:rPr>
        <w:t xml:space="preserve">STPH </w:t>
      </w:r>
      <w:r w:rsidRPr="002C2C75">
        <w:rPr>
          <w:rFonts w:cstheme="minorHAnsi"/>
          <w:i/>
        </w:rPr>
        <w:t>modeling projects these interventions are estimated to cost a total of USD 3</w:t>
      </w:r>
      <w:r w:rsidR="00D01EC6" w:rsidRPr="002C2C75">
        <w:rPr>
          <w:rFonts w:cstheme="minorHAnsi"/>
          <w:i/>
        </w:rPr>
        <w:t>68</w:t>
      </w:r>
      <w:r w:rsidRPr="002C2C75">
        <w:rPr>
          <w:rFonts w:cstheme="minorHAnsi"/>
          <w:i/>
        </w:rPr>
        <w:t xml:space="preserve">M for the 2024-26 period and result in a </w:t>
      </w:r>
      <w:r w:rsidRPr="002C2C75">
        <w:rPr>
          <w:rFonts w:cstheme="minorHAnsi"/>
          <w:b/>
          <w:i/>
        </w:rPr>
        <w:t>3</w:t>
      </w:r>
      <w:r w:rsidR="006B3156" w:rsidRPr="002C2C75">
        <w:rPr>
          <w:rFonts w:cstheme="minorHAnsi"/>
          <w:b/>
          <w:i/>
        </w:rPr>
        <w:t>4</w:t>
      </w:r>
      <w:r w:rsidRPr="002C2C75">
        <w:rPr>
          <w:rFonts w:cstheme="minorHAnsi"/>
          <w:b/>
          <w:i/>
        </w:rPr>
        <w:t>% reduction in prevalence</w:t>
      </w:r>
      <w:r w:rsidRPr="002C2C75">
        <w:rPr>
          <w:rFonts w:cstheme="minorHAnsi"/>
          <w:i/>
        </w:rPr>
        <w:t xml:space="preserve"> for the period of the strategic plan.</w:t>
      </w:r>
    </w:p>
    <w:p w14:paraId="7F43DF3B" w14:textId="272FD5FC" w:rsidR="00386038" w:rsidRPr="002C2C75" w:rsidRDefault="00386038">
      <w:pPr>
        <w:numPr>
          <w:ilvl w:val="0"/>
          <w:numId w:val="47"/>
        </w:numPr>
        <w:spacing w:after="0"/>
        <w:jc w:val="both"/>
        <w:rPr>
          <w:rFonts w:cstheme="minorHAnsi"/>
        </w:rPr>
      </w:pPr>
      <w:r w:rsidRPr="002C2C75">
        <w:rPr>
          <w:rFonts w:cstheme="minorHAnsi"/>
          <w:b/>
        </w:rPr>
        <w:t xml:space="preserve">Core plus package: </w:t>
      </w:r>
      <w:r w:rsidRPr="002C2C75">
        <w:rPr>
          <w:rFonts w:cstheme="minorHAnsi"/>
        </w:rPr>
        <w:t>Th</w:t>
      </w:r>
      <w:r w:rsidR="008F198A" w:rsidRPr="002C2C75">
        <w:rPr>
          <w:rFonts w:cstheme="minorHAnsi"/>
        </w:rPr>
        <w:t xml:space="preserve">is package includes the core package but with additional </w:t>
      </w:r>
      <w:r w:rsidRPr="002C2C75">
        <w:rPr>
          <w:rFonts w:cstheme="minorHAnsi"/>
        </w:rPr>
        <w:t>activities</w:t>
      </w:r>
      <w:r w:rsidR="008F198A" w:rsidRPr="002C2C75">
        <w:rPr>
          <w:rFonts w:cstheme="minorHAnsi"/>
        </w:rPr>
        <w:t xml:space="preserve"> that</w:t>
      </w:r>
      <w:r w:rsidRPr="002C2C75">
        <w:rPr>
          <w:rFonts w:cstheme="minorHAnsi"/>
        </w:rPr>
        <w:t xml:space="preserve"> were chosen as the highest priority targets for additional resources, </w:t>
      </w:r>
      <w:r w:rsidR="006B3156" w:rsidRPr="002C2C75">
        <w:rPr>
          <w:rFonts w:cstheme="minorHAnsi"/>
        </w:rPr>
        <w:t>some of which have been confirmed and others are being sought. I</w:t>
      </w:r>
      <w:r w:rsidRPr="002C2C75">
        <w:rPr>
          <w:rFonts w:cstheme="minorHAnsi"/>
        </w:rPr>
        <w:t>f implemented as targeted in the stratification</w:t>
      </w:r>
      <w:r w:rsidR="008F198A" w:rsidRPr="002C2C75">
        <w:rPr>
          <w:rFonts w:cstheme="minorHAnsi"/>
        </w:rPr>
        <w:t>, the core plus package</w:t>
      </w:r>
      <w:r w:rsidRPr="002C2C75">
        <w:rPr>
          <w:rFonts w:cstheme="minorHAnsi"/>
        </w:rPr>
        <w:t xml:space="preserve"> would result in a major additional impact. The</w:t>
      </w:r>
      <w:r w:rsidR="008F198A" w:rsidRPr="002C2C75">
        <w:rPr>
          <w:rFonts w:cstheme="minorHAnsi"/>
        </w:rPr>
        <w:t xml:space="preserve"> package</w:t>
      </w:r>
      <w:r w:rsidRPr="002C2C75">
        <w:rPr>
          <w:rFonts w:cstheme="minorHAnsi"/>
        </w:rPr>
        <w:t xml:space="preserve"> include</w:t>
      </w:r>
      <w:r w:rsidR="008F198A" w:rsidRPr="002C2C75">
        <w:rPr>
          <w:rFonts w:cstheme="minorHAnsi"/>
        </w:rPr>
        <w:t>s the</w:t>
      </w:r>
      <w:r w:rsidRPr="002C2C75">
        <w:rPr>
          <w:rFonts w:cstheme="minorHAnsi"/>
        </w:rPr>
        <w:t xml:space="preserve"> expansion of SMC and PMC, </w:t>
      </w:r>
      <w:r w:rsidR="008F198A" w:rsidRPr="002C2C75">
        <w:rPr>
          <w:rFonts w:cstheme="minorHAnsi"/>
        </w:rPr>
        <w:t xml:space="preserve">which was </w:t>
      </w:r>
      <w:r w:rsidRPr="002C2C75">
        <w:rPr>
          <w:rFonts w:cstheme="minorHAnsi"/>
        </w:rPr>
        <w:t>shown clearly in</w:t>
      </w:r>
      <w:r w:rsidR="008F198A" w:rsidRPr="002C2C75">
        <w:rPr>
          <w:rFonts w:cstheme="minorHAnsi"/>
        </w:rPr>
        <w:t xml:space="preserve"> the</w:t>
      </w:r>
      <w:r w:rsidRPr="002C2C75">
        <w:rPr>
          <w:rFonts w:cstheme="minorHAnsi"/>
        </w:rPr>
        <w:t xml:space="preserve"> cost-effectiveness modeling to be the best use of additional resources</w:t>
      </w:r>
      <w:r w:rsidR="008F198A" w:rsidRPr="002C2C75">
        <w:rPr>
          <w:rFonts w:cstheme="minorHAnsi"/>
        </w:rPr>
        <w:t>. The package also includes the</w:t>
      </w:r>
      <w:r w:rsidRPr="002C2C75">
        <w:rPr>
          <w:rFonts w:cstheme="minorHAnsi"/>
        </w:rPr>
        <w:t xml:space="preserve"> implementation of the malaria vaccine in the areas targeted under proposal</w:t>
      </w:r>
      <w:r w:rsidR="008F198A" w:rsidRPr="002C2C75">
        <w:rPr>
          <w:rFonts w:cstheme="minorHAnsi"/>
        </w:rPr>
        <w:t xml:space="preserve"> already submitted</w:t>
      </w:r>
      <w:r w:rsidRPr="002C2C75">
        <w:rPr>
          <w:rFonts w:cstheme="minorHAnsi"/>
        </w:rPr>
        <w:t xml:space="preserve"> to Gavi. </w:t>
      </w:r>
    </w:p>
    <w:p w14:paraId="69D7D9F6" w14:textId="251C8AF0" w:rsidR="00386038" w:rsidRPr="002C2C75" w:rsidRDefault="00386038">
      <w:pPr>
        <w:pStyle w:val="ListParagraph"/>
        <w:numPr>
          <w:ilvl w:val="1"/>
          <w:numId w:val="47"/>
        </w:numPr>
        <w:rPr>
          <w:rFonts w:cstheme="minorHAnsi"/>
          <w:i/>
        </w:rPr>
      </w:pPr>
      <w:r w:rsidRPr="002C2C75">
        <w:rPr>
          <w:rFonts w:cstheme="minorHAnsi"/>
          <w:i/>
        </w:rPr>
        <w:t>These items do not fully fit into existing resource envelopes from the country’s existing donors,</w:t>
      </w:r>
      <w:r w:rsidR="008F198A" w:rsidRPr="002C2C75">
        <w:rPr>
          <w:rFonts w:cstheme="minorHAnsi"/>
          <w:i/>
        </w:rPr>
        <w:t xml:space="preserve"> as highlighted with the need to include parts of the existing IRS in PAAR. H</w:t>
      </w:r>
      <w:r w:rsidRPr="002C2C75">
        <w:rPr>
          <w:rFonts w:cstheme="minorHAnsi"/>
          <w:i/>
        </w:rPr>
        <w:t>owever</w:t>
      </w:r>
      <w:r w:rsidR="008F198A" w:rsidRPr="002C2C75">
        <w:rPr>
          <w:rFonts w:cstheme="minorHAnsi"/>
          <w:i/>
        </w:rPr>
        <w:t>,</w:t>
      </w:r>
      <w:r w:rsidRPr="002C2C75">
        <w:rPr>
          <w:rFonts w:cstheme="minorHAnsi"/>
          <w:i/>
        </w:rPr>
        <w:t xml:space="preserve"> if implemented modeling projects these interventions are estimated to cost a total of USD </w:t>
      </w:r>
      <w:r w:rsidR="008F198A" w:rsidRPr="002C2C75">
        <w:rPr>
          <w:rFonts w:cstheme="minorHAnsi"/>
          <w:i/>
        </w:rPr>
        <w:t>42</w:t>
      </w:r>
      <w:r w:rsidR="00D01EC6" w:rsidRPr="002C2C75">
        <w:rPr>
          <w:rFonts w:cstheme="minorHAnsi"/>
          <w:i/>
        </w:rPr>
        <w:t>33</w:t>
      </w:r>
      <w:r w:rsidRPr="002C2C75">
        <w:rPr>
          <w:rFonts w:cstheme="minorHAnsi"/>
          <w:i/>
        </w:rPr>
        <w:t xml:space="preserve">M and result in a </w:t>
      </w:r>
      <w:r w:rsidRPr="002C2C75">
        <w:rPr>
          <w:rFonts w:cstheme="minorHAnsi"/>
          <w:b/>
          <w:i/>
        </w:rPr>
        <w:t>43% reduction in prevalence</w:t>
      </w:r>
      <w:r w:rsidRPr="002C2C75">
        <w:rPr>
          <w:rFonts w:cstheme="minorHAnsi"/>
          <w:i/>
        </w:rPr>
        <w:t xml:space="preserve"> for the period of the strategic plan.</w:t>
      </w:r>
      <w:r w:rsidR="008F198A" w:rsidRPr="002C2C75">
        <w:rPr>
          <w:rFonts w:cstheme="minorHAnsi"/>
          <w:i/>
        </w:rPr>
        <w:t xml:space="preserve"> . Incrementally, core plus is $65M more than the core package, and adds 9% points more reduction in prevalence.</w:t>
      </w:r>
    </w:p>
    <w:p w14:paraId="18D19234" w14:textId="574AE1A7" w:rsidR="00386038" w:rsidRPr="002C2C75" w:rsidRDefault="00386038">
      <w:pPr>
        <w:numPr>
          <w:ilvl w:val="0"/>
          <w:numId w:val="47"/>
        </w:numPr>
        <w:spacing w:after="0"/>
        <w:jc w:val="both"/>
        <w:rPr>
          <w:rFonts w:cstheme="minorHAnsi"/>
        </w:rPr>
      </w:pPr>
      <w:r w:rsidRPr="002C2C75">
        <w:rPr>
          <w:rFonts w:cstheme="minorHAnsi"/>
          <w:b/>
        </w:rPr>
        <w:t xml:space="preserve">Ideal package: </w:t>
      </w:r>
      <w:r w:rsidRPr="002C2C75">
        <w:rPr>
          <w:rFonts w:cstheme="minorHAnsi"/>
        </w:rPr>
        <w:t xml:space="preserve">This package incorporates all aspirations of the full national strategic plan. This includes </w:t>
      </w:r>
      <w:r w:rsidR="008F198A" w:rsidRPr="002C2C75">
        <w:rPr>
          <w:rFonts w:cstheme="minorHAnsi"/>
        </w:rPr>
        <w:t>a</w:t>
      </w:r>
      <w:r w:rsidRPr="002C2C75">
        <w:rPr>
          <w:rFonts w:cstheme="minorHAnsi"/>
        </w:rPr>
        <w:t xml:space="preserve"> further expansion of SMC and PMC, shown clearly in cost-effectiveness modeling to be the best use of additional resources. Once SMC/PMC are expanded to all target areas, it would </w:t>
      </w:r>
      <w:r w:rsidRPr="002C2C75">
        <w:rPr>
          <w:rFonts w:cstheme="minorHAnsi"/>
          <w:u w:val="single"/>
        </w:rPr>
        <w:t>additionally</w:t>
      </w:r>
      <w:r w:rsidRPr="002C2C75">
        <w:rPr>
          <w:rFonts w:cstheme="minorHAnsi"/>
        </w:rPr>
        <w:t xml:space="preserve"> expand IRS implementation, which is shown to be highly effective but expensive</w:t>
      </w:r>
      <w:r w:rsidR="00D01EC6" w:rsidRPr="002C2C75">
        <w:rPr>
          <w:rFonts w:cstheme="minorHAnsi"/>
        </w:rPr>
        <w:t>, as well as expand malaria vaccine implementation</w:t>
      </w:r>
      <w:r w:rsidRPr="002C2C75">
        <w:rPr>
          <w:rFonts w:cstheme="minorHAnsi"/>
        </w:rPr>
        <w:t xml:space="preserve">. </w:t>
      </w:r>
    </w:p>
    <w:p w14:paraId="3AE29495" w14:textId="17AA80E6" w:rsidR="00386038" w:rsidRPr="002C2C75" w:rsidRDefault="00386038">
      <w:pPr>
        <w:numPr>
          <w:ilvl w:val="1"/>
          <w:numId w:val="47"/>
        </w:numPr>
        <w:spacing w:after="0"/>
        <w:jc w:val="both"/>
        <w:rPr>
          <w:rFonts w:cstheme="minorHAnsi"/>
        </w:rPr>
      </w:pPr>
      <w:r w:rsidRPr="002C2C75">
        <w:rPr>
          <w:rFonts w:cstheme="minorHAnsi"/>
          <w:i/>
        </w:rPr>
        <w:t>If</w:t>
      </w:r>
      <w:r w:rsidR="008F198A" w:rsidRPr="002C2C75">
        <w:rPr>
          <w:rFonts w:cstheme="minorHAnsi"/>
          <w:i/>
        </w:rPr>
        <w:t xml:space="preserve"> the total package is</w:t>
      </w:r>
      <w:r w:rsidRPr="002C2C75">
        <w:rPr>
          <w:rFonts w:cstheme="minorHAnsi"/>
          <w:i/>
        </w:rPr>
        <w:t xml:space="preserve"> implemented</w:t>
      </w:r>
      <w:r w:rsidR="008F198A" w:rsidRPr="002C2C75">
        <w:rPr>
          <w:rFonts w:cstheme="minorHAnsi"/>
          <w:i/>
        </w:rPr>
        <w:t>,</w:t>
      </w:r>
      <w:r w:rsidRPr="002C2C75">
        <w:rPr>
          <w:rFonts w:cstheme="minorHAnsi"/>
          <w:i/>
        </w:rPr>
        <w:t xml:space="preserve"> these interventions are estimated to cost a total of USD </w:t>
      </w:r>
      <w:r w:rsidR="00D01EC6" w:rsidRPr="002C2C75">
        <w:rPr>
          <w:rFonts w:cstheme="minorHAnsi"/>
          <w:i/>
        </w:rPr>
        <w:t>572</w:t>
      </w:r>
      <w:r w:rsidRPr="002C2C75">
        <w:rPr>
          <w:rFonts w:cstheme="minorHAnsi"/>
          <w:i/>
        </w:rPr>
        <w:t xml:space="preserve">M and result in a </w:t>
      </w:r>
      <w:r w:rsidRPr="002C2C75">
        <w:rPr>
          <w:rFonts w:cstheme="minorHAnsi"/>
          <w:b/>
          <w:i/>
        </w:rPr>
        <w:t>4</w:t>
      </w:r>
      <w:r w:rsidR="006B3156" w:rsidRPr="002C2C75">
        <w:rPr>
          <w:rFonts w:cstheme="minorHAnsi"/>
          <w:b/>
          <w:i/>
        </w:rPr>
        <w:t>9</w:t>
      </w:r>
      <w:r w:rsidRPr="002C2C75">
        <w:rPr>
          <w:rFonts w:cstheme="minorHAnsi"/>
          <w:b/>
          <w:i/>
        </w:rPr>
        <w:t>% reduction in prevalence</w:t>
      </w:r>
      <w:r w:rsidRPr="002C2C75">
        <w:rPr>
          <w:rFonts w:cstheme="minorHAnsi"/>
          <w:i/>
        </w:rPr>
        <w:t xml:space="preserve"> for the period of the strategic plan.</w:t>
      </w:r>
    </w:p>
    <w:p w14:paraId="3BD176F2" w14:textId="77777777" w:rsidR="00D201A6" w:rsidRPr="002C2C75" w:rsidRDefault="00D201A6" w:rsidP="00D201A6">
      <w:pPr>
        <w:spacing w:after="0"/>
        <w:jc w:val="both"/>
        <w:rPr>
          <w:rFonts w:cstheme="minorHAnsi"/>
          <w:iCs/>
        </w:rPr>
      </w:pPr>
    </w:p>
    <w:p w14:paraId="17AF33DF" w14:textId="75ECC737" w:rsidR="00D201A6" w:rsidRPr="002C2C75" w:rsidRDefault="00D201A6" w:rsidP="00D201A6">
      <w:pPr>
        <w:spacing w:after="0"/>
        <w:jc w:val="both"/>
        <w:rPr>
          <w:rFonts w:cstheme="minorHAnsi"/>
          <w:iCs/>
        </w:rPr>
      </w:pPr>
      <w:r w:rsidRPr="002C2C75">
        <w:rPr>
          <w:rFonts w:cstheme="minorHAnsi"/>
          <w:iCs/>
        </w:rPr>
        <w:t>Figure 4: Final intervention stratification packages, by prioritized cost and impact tier</w:t>
      </w:r>
    </w:p>
    <w:p w14:paraId="216ADABE" w14:textId="26AA154A" w:rsidR="00386038" w:rsidRPr="002C2C75" w:rsidRDefault="008F198A" w:rsidP="00386038">
      <w:pPr>
        <w:spacing w:after="0"/>
        <w:rPr>
          <w:rFonts w:cstheme="minorHAnsi"/>
        </w:rPr>
      </w:pPr>
      <w:r w:rsidRPr="002C2C75">
        <w:rPr>
          <w:noProof/>
        </w:rPr>
        <w:drawing>
          <wp:inline distT="0" distB="0" distL="0" distR="0" wp14:anchorId="65FF78FE" wp14:editId="070E85BA">
            <wp:extent cx="6479540" cy="3712845"/>
            <wp:effectExtent l="0" t="0" r="0" b="1905"/>
            <wp:docPr id="2" name="Picture 1">
              <a:extLst xmlns:a="http://schemas.openxmlformats.org/drawingml/2006/main">
                <a:ext uri="{FF2B5EF4-FFF2-40B4-BE49-F238E27FC236}">
                  <a16:creationId xmlns:a16="http://schemas.microsoft.com/office/drawing/2014/main" id="{D1CEC05E-B68D-3DB2-5117-9961395DE8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1CEC05E-B68D-3DB2-5117-9961395DE867}"/>
                        </a:ext>
                      </a:extLst>
                    </pic:cNvPr>
                    <pic:cNvPicPr>
                      <a:picLocks noChangeAspect="1"/>
                    </pic:cNvPicPr>
                  </pic:nvPicPr>
                  <pic:blipFill>
                    <a:blip r:embed="rId33"/>
                    <a:stretch>
                      <a:fillRect/>
                    </a:stretch>
                  </pic:blipFill>
                  <pic:spPr>
                    <a:xfrm>
                      <a:off x="0" y="0"/>
                      <a:ext cx="6479540" cy="3712845"/>
                    </a:xfrm>
                    <a:prstGeom prst="rect">
                      <a:avLst/>
                    </a:prstGeom>
                  </pic:spPr>
                </pic:pic>
              </a:graphicData>
            </a:graphic>
          </wp:inline>
        </w:drawing>
      </w:r>
    </w:p>
    <w:p w14:paraId="1B5670DC" w14:textId="45670E9F" w:rsidR="00386038" w:rsidRPr="002C2C75" w:rsidRDefault="00386038" w:rsidP="00386038">
      <w:pPr>
        <w:spacing w:after="0"/>
        <w:rPr>
          <w:rFonts w:cstheme="minorHAnsi"/>
        </w:rPr>
      </w:pPr>
    </w:p>
    <w:p w14:paraId="1B4C9697" w14:textId="32EBCD68" w:rsidR="00386038" w:rsidRPr="002C2C75" w:rsidRDefault="00386038" w:rsidP="00C65AF0">
      <w:pPr>
        <w:spacing w:after="0"/>
        <w:jc w:val="both"/>
        <w:rPr>
          <w:rFonts w:cstheme="minorHAnsi"/>
        </w:rPr>
      </w:pPr>
      <w:r w:rsidRPr="002C2C75">
        <w:rPr>
          <w:rFonts w:cstheme="minorHAnsi"/>
        </w:rPr>
        <w:t>Based on this national plan, the following modules/interventions were selected in this funding request to align with the Global Fund Modular Framework, namely</w:t>
      </w:r>
      <w:sdt>
        <w:sdtPr>
          <w:rPr>
            <w:rFonts w:cstheme="minorHAnsi"/>
          </w:rPr>
          <w:tag w:val="goog_rdk_18"/>
          <w:id w:val="-1574578126"/>
        </w:sdtPr>
        <w:sdtContent/>
      </w:sdt>
      <w:r w:rsidRPr="002C2C75">
        <w:rPr>
          <w:rFonts w:cstheme="minorHAnsi"/>
        </w:rPr>
        <w:t xml:space="preserve"> (1) Case Management; (2) Vector Control; (3) Specific prevention interventions (SPI); (4) Program management; and (5) RSSH priorities relating to surveillance/digital health. Other malaria RSSH priorities are to be deliberated on and prioritized through a separate RSSH coordinating group. Throughout each of these </w:t>
      </w:r>
      <w:r w:rsidR="008F198A" w:rsidRPr="002C2C75">
        <w:rPr>
          <w:rFonts w:cstheme="minorHAnsi"/>
        </w:rPr>
        <w:t xml:space="preserve">interventions, </w:t>
      </w:r>
      <w:r w:rsidRPr="002C2C75">
        <w:rPr>
          <w:rFonts w:cstheme="minorHAnsi"/>
        </w:rPr>
        <w:t xml:space="preserve">special attention is also prioritized toward Human Rights and malaria service provision in humanitarian emergencies, which has been created as a special objective in the 2023-2030 Malaria Strategic Plan given the increased challenges faced in certain areas of the country. </w:t>
      </w:r>
    </w:p>
    <w:p w14:paraId="2EBAD309" w14:textId="503ED04B" w:rsidR="00386038" w:rsidRPr="002C2C75" w:rsidRDefault="00386038" w:rsidP="00386038">
      <w:pPr>
        <w:spacing w:after="0"/>
        <w:rPr>
          <w:rFonts w:cstheme="minorHAnsi"/>
        </w:rPr>
      </w:pPr>
    </w:p>
    <w:p w14:paraId="1FA404E4" w14:textId="77777777" w:rsidR="008F198A" w:rsidRPr="002C2C75" w:rsidRDefault="008F198A" w:rsidP="008F198A">
      <w:pPr>
        <w:spacing w:after="0"/>
        <w:rPr>
          <w:rFonts w:cstheme="minorHAnsi"/>
        </w:rPr>
      </w:pPr>
    </w:p>
    <w:p w14:paraId="725C59A5" w14:textId="77777777" w:rsidR="008F198A" w:rsidRPr="002C2C75" w:rsidRDefault="008F198A">
      <w:pPr>
        <w:pStyle w:val="ListParagraph"/>
        <w:numPr>
          <w:ilvl w:val="0"/>
          <w:numId w:val="49"/>
        </w:numPr>
        <w:spacing w:after="0"/>
        <w:rPr>
          <w:rFonts w:cstheme="minorHAnsi"/>
          <w:b/>
          <w:bCs/>
        </w:rPr>
      </w:pPr>
      <w:r w:rsidRPr="002C2C75">
        <w:rPr>
          <w:rFonts w:cstheme="minorHAnsi"/>
          <w:b/>
          <w:bCs/>
        </w:rPr>
        <w:t>Case management (health facility and community)</w:t>
      </w:r>
    </w:p>
    <w:p w14:paraId="5BE7FF55" w14:textId="77777777" w:rsidR="008F198A" w:rsidRPr="002C2C75" w:rsidRDefault="008F198A" w:rsidP="008F198A">
      <w:pPr>
        <w:spacing w:after="0"/>
        <w:rPr>
          <w:rFonts w:cstheme="minorHAnsi"/>
          <w:b/>
          <w:bCs/>
        </w:rPr>
      </w:pPr>
    </w:p>
    <w:p w14:paraId="6E3B4B66" w14:textId="77777777" w:rsidR="008F198A" w:rsidRPr="002C2C75" w:rsidRDefault="008F198A" w:rsidP="008F198A">
      <w:pPr>
        <w:spacing w:after="0"/>
        <w:jc w:val="both"/>
        <w:rPr>
          <w:rFonts w:cstheme="minorHAnsi"/>
        </w:rPr>
      </w:pPr>
      <w:r w:rsidRPr="002C2C75">
        <w:rPr>
          <w:rFonts w:cstheme="minorHAnsi"/>
        </w:rPr>
        <w:t xml:space="preserve">This module will contribute to the national goal of reducing malaria morbidity and mortality through effective case management practices by focusing on the early detection, diagnosis and treatment of cases. These areas have seen improvement but continue to face significant gaps (see Health Facility Survey results summarized in section 1.3). </w:t>
      </w:r>
    </w:p>
    <w:p w14:paraId="73C87AFE" w14:textId="77777777" w:rsidR="008F198A" w:rsidRPr="002C2C75" w:rsidRDefault="008F198A" w:rsidP="008F198A">
      <w:pPr>
        <w:spacing w:after="0"/>
        <w:jc w:val="both"/>
        <w:rPr>
          <w:rFonts w:cstheme="minorHAnsi"/>
        </w:rPr>
      </w:pPr>
    </w:p>
    <w:p w14:paraId="6D2354B0" w14:textId="0158148D" w:rsidR="008F198A" w:rsidRPr="002C2C75" w:rsidRDefault="008F198A" w:rsidP="008F198A">
      <w:pPr>
        <w:spacing w:after="0"/>
        <w:jc w:val="both"/>
        <w:rPr>
          <w:rFonts w:cstheme="minorHAnsi"/>
        </w:rPr>
      </w:pPr>
      <w:r w:rsidRPr="002C2C75">
        <w:rPr>
          <w:rFonts w:cstheme="minorHAnsi"/>
        </w:rPr>
        <w:t>It is imperative that commodity security is guaranteed and health workers are well-supported via supervision and mentorship. The placement of these commodities within the allocation will enable Mozambique to achieve full coverage of RDTs and ACTs for diagnosis of malaria and treatment of confirmed cases. Strengthened supervision will be critical to improve their proper use by health workers. A consistent supply of these commodities, combined with data-driven targeting of supervision resources to drive quality improvements, will contribute to the desired reduction in morbidity and mortality trends as envisaged in the MSP. Digitizing supervision will allow for improved prioritization of targets, and focusing on mentorship during supervision visits will be key to better service delivery.</w:t>
      </w:r>
      <w:r w:rsidR="00A04100">
        <w:rPr>
          <w:rFonts w:cstheme="minorHAnsi"/>
        </w:rPr>
        <w:t xml:space="preserve"> </w:t>
      </w:r>
      <w:r w:rsidRPr="002C2C75">
        <w:rPr>
          <w:rFonts w:cstheme="minorHAnsi"/>
        </w:rPr>
        <w:t xml:space="preserve">Follow up based on findings from previous visits will cost-efficiently build the capacity of low performing health workers. </w:t>
      </w:r>
      <w:r w:rsidR="00ED1300">
        <w:rPr>
          <w:rFonts w:cstheme="minorHAnsi"/>
        </w:rPr>
        <w:t xml:space="preserve">Implementation of supervision has been hampered by challenges with expenditure and funding flow within government. This has been overcome at district level through funding flowing via civil society, and central level through direct follow up, but must be strengthened at provincial level in the GC7 period to realize the full potential of this intervention. </w:t>
      </w:r>
      <w:r w:rsidRPr="002C2C75">
        <w:rPr>
          <w:rFonts w:cstheme="minorHAnsi"/>
        </w:rPr>
        <w:t>Additionally, this funding request will support mortality and case management audits to continue the progress made in preventing malaria inpatient mortality. In order to continually monitor antimalarial and diagnostic efficacy, Therapeutic Efficacy Surveillance and HRP 2/3 gene deletion surveillance will be conducted routinely in Mozambique but will be supported by PMI as well as supported through genetic surveillance by CISM’s GenMoz project.</w:t>
      </w:r>
    </w:p>
    <w:p w14:paraId="7F74CBDC" w14:textId="77777777" w:rsidR="008F198A" w:rsidRPr="002C2C75" w:rsidRDefault="008F198A" w:rsidP="008F198A">
      <w:pPr>
        <w:spacing w:after="0"/>
        <w:jc w:val="both"/>
        <w:rPr>
          <w:rFonts w:cstheme="minorHAnsi"/>
        </w:rPr>
      </w:pPr>
    </w:p>
    <w:p w14:paraId="3EBDB4BA" w14:textId="77777777" w:rsidR="008F198A" w:rsidRPr="002C2C75" w:rsidRDefault="008F198A" w:rsidP="008F198A">
      <w:pPr>
        <w:spacing w:after="0"/>
        <w:jc w:val="both"/>
        <w:rPr>
          <w:rFonts w:cstheme="minorHAnsi"/>
        </w:rPr>
      </w:pPr>
      <w:r w:rsidRPr="002C2C75">
        <w:rPr>
          <w:rFonts w:cstheme="minorHAnsi"/>
        </w:rPr>
        <w:t xml:space="preserve">Laboratory service improvement is required to ensure that tertiary facilitates are able to provide consistently high-quality diagnostic services, particularly for severe malaria patient monitoring. Done well, this will allow for the continuation of the stark reductions in malaria mortality over the past 6 years. The requests for malaria microscopy equipment and consumables are informed by an updated assessment of lab services. A key area of focus is providing the training required to ensure technician capacity is strong across the country.  </w:t>
      </w:r>
    </w:p>
    <w:p w14:paraId="0ECB1C83" w14:textId="77777777" w:rsidR="008F198A" w:rsidRPr="002C2C75" w:rsidRDefault="008F198A" w:rsidP="008F198A">
      <w:pPr>
        <w:spacing w:after="0"/>
        <w:jc w:val="both"/>
        <w:rPr>
          <w:rFonts w:cstheme="minorHAnsi"/>
          <w:b/>
          <w:bCs/>
        </w:rPr>
      </w:pPr>
    </w:p>
    <w:p w14:paraId="2111985F" w14:textId="77777777" w:rsidR="008F198A" w:rsidRPr="002C2C75" w:rsidRDefault="008F198A" w:rsidP="008F198A">
      <w:pPr>
        <w:spacing w:after="0"/>
        <w:jc w:val="both"/>
        <w:rPr>
          <w:rFonts w:cstheme="minorHAnsi"/>
        </w:rPr>
      </w:pPr>
      <w:r w:rsidRPr="002C2C75">
        <w:rPr>
          <w:rFonts w:cstheme="minorHAnsi"/>
        </w:rPr>
        <w:t xml:space="preserve">Social and behavior change communication has been crucial in mobilizing communities to adopt and change their behavior by influencing their knowledge and attitudes.  Mobilization of communities through SBCC activities in malaria prevention before and during campaigns (ITNs and IRS) as well as influencing their health seeking behavior will contribute to malaria morbidity and mortality reduction. Unfortunately, delays in the MIS/DHS surveys mean updated data on care seeking is unavailable. That said, aside from a brief 4-month period at the outset of the COVID-19 pandemic, total OPD attendance has continued to rise and indicates continuing improvements in access to care and care seeking behavior. </w:t>
      </w:r>
    </w:p>
    <w:p w14:paraId="3B0F32A1" w14:textId="77777777" w:rsidR="008F198A" w:rsidRPr="002C2C75" w:rsidRDefault="008F198A" w:rsidP="008F198A">
      <w:pPr>
        <w:spacing w:after="0"/>
        <w:rPr>
          <w:rFonts w:cstheme="minorHAnsi"/>
          <w:b/>
          <w:bCs/>
        </w:rPr>
      </w:pPr>
    </w:p>
    <w:p w14:paraId="51161438" w14:textId="77777777" w:rsidR="008F198A" w:rsidRPr="002C2C75" w:rsidRDefault="008F198A">
      <w:pPr>
        <w:pStyle w:val="ListParagraph"/>
        <w:numPr>
          <w:ilvl w:val="0"/>
          <w:numId w:val="49"/>
        </w:numPr>
        <w:spacing w:after="0"/>
        <w:rPr>
          <w:rFonts w:cstheme="minorHAnsi"/>
          <w:b/>
          <w:bCs/>
        </w:rPr>
      </w:pPr>
      <w:r w:rsidRPr="002C2C75">
        <w:rPr>
          <w:rFonts w:cstheme="minorHAnsi"/>
          <w:b/>
          <w:bCs/>
        </w:rPr>
        <w:t>Vector control</w:t>
      </w:r>
    </w:p>
    <w:p w14:paraId="571277FE" w14:textId="77777777" w:rsidR="008F198A" w:rsidRPr="002C2C75" w:rsidRDefault="008F198A" w:rsidP="008F198A">
      <w:pPr>
        <w:spacing w:after="0"/>
        <w:rPr>
          <w:rFonts w:cstheme="minorHAnsi"/>
          <w:b/>
          <w:bCs/>
        </w:rPr>
      </w:pPr>
    </w:p>
    <w:p w14:paraId="7A922855" w14:textId="77777777" w:rsidR="008F198A" w:rsidRPr="002C2C75" w:rsidRDefault="008F198A" w:rsidP="008F198A">
      <w:pPr>
        <w:pStyle w:val="Default"/>
        <w:jc w:val="both"/>
        <w:rPr>
          <w:rFonts w:cstheme="minorHAnsi"/>
          <w:sz w:val="22"/>
          <w:szCs w:val="22"/>
        </w:rPr>
      </w:pPr>
      <w:r w:rsidRPr="002C2C75">
        <w:rPr>
          <w:rFonts w:cstheme="minorHAnsi"/>
          <w:sz w:val="22"/>
          <w:szCs w:val="22"/>
        </w:rPr>
        <w:t xml:space="preserve">Even as prevention tools have expanded, vector control remains the foundation of Mozambique’s malaria prevention strategies. For, it is the only prevention tools that target transmission reduction in the full population. ITNs, delivered through continuous and campaign channels, continue to be the primary tool given their cost-effectiveness. </w:t>
      </w:r>
      <w:r w:rsidRPr="002C2C75">
        <w:rPr>
          <w:sz w:val="22"/>
          <w:szCs w:val="22"/>
        </w:rPr>
        <w:t xml:space="preserve">This is in line with the </w:t>
      </w:r>
      <w:hyperlink r:id="rId34" w:history="1">
        <w:r w:rsidRPr="002C2C75">
          <w:rPr>
            <w:rStyle w:val="Hyperlink"/>
            <w:sz w:val="22"/>
            <w:szCs w:val="22"/>
          </w:rPr>
          <w:t>WHO Global Technical Strategy for Malaria (2016-2030),</w:t>
        </w:r>
      </w:hyperlink>
      <w:r w:rsidRPr="002C2C75">
        <w:rPr>
          <w:color w:val="0462C1"/>
          <w:sz w:val="22"/>
          <w:szCs w:val="22"/>
        </w:rPr>
        <w:t xml:space="preserve"> </w:t>
      </w:r>
      <w:r w:rsidRPr="002C2C75">
        <w:rPr>
          <w:sz w:val="22"/>
          <w:szCs w:val="22"/>
        </w:rPr>
        <w:t>as the mass campaign distribution of LLINs is a recommended high impact intervention in high burden areas (</w:t>
      </w:r>
      <w:hyperlink r:id="rId35" w:history="1">
        <w:r w:rsidRPr="002C2C75">
          <w:rPr>
            <w:rStyle w:val="Hyperlink"/>
            <w:sz w:val="22"/>
            <w:szCs w:val="22"/>
          </w:rPr>
          <w:t>WHO-CDS-GMP-2018</w:t>
        </w:r>
      </w:hyperlink>
      <w:r w:rsidRPr="002C2C75">
        <w:rPr>
          <w:sz w:val="22"/>
          <w:szCs w:val="22"/>
        </w:rPr>
        <w:t>). T</w:t>
      </w:r>
      <w:r w:rsidRPr="002C2C75">
        <w:rPr>
          <w:rFonts w:cstheme="minorHAnsi"/>
          <w:sz w:val="22"/>
          <w:szCs w:val="22"/>
        </w:rPr>
        <w:t>he decision to deploy dual-AI ITNs across the targeted areas is driven by data on: pyrethroid resistance, their effectiveness in the New Nets demonstration provinces, and the superior durability of dual-AI ITNs in comparison with PBO-pyrethroid ITNs in the same studies. Campaign digitization, funded currently through C19RM mechanism, is proposed outside this module per the GF modular framework. But, it will be a priority tactic that ensures nets arrive to the right people, in the right places, and at the right time.</w:t>
      </w:r>
    </w:p>
    <w:p w14:paraId="542235A5" w14:textId="77777777" w:rsidR="008F198A" w:rsidRPr="002C2C75" w:rsidRDefault="008F198A" w:rsidP="008F198A">
      <w:pPr>
        <w:spacing w:after="0"/>
        <w:jc w:val="both"/>
        <w:rPr>
          <w:rFonts w:cstheme="minorHAnsi"/>
        </w:rPr>
      </w:pPr>
    </w:p>
    <w:p w14:paraId="3F70E304" w14:textId="77777777" w:rsidR="008F198A" w:rsidRPr="002C2C75" w:rsidRDefault="008F198A" w:rsidP="008F198A">
      <w:pPr>
        <w:pStyle w:val="Default"/>
        <w:jc w:val="both"/>
        <w:rPr>
          <w:sz w:val="22"/>
          <w:szCs w:val="22"/>
        </w:rPr>
      </w:pPr>
      <w:r w:rsidRPr="002C2C75">
        <w:rPr>
          <w:sz w:val="22"/>
          <w:szCs w:val="22"/>
        </w:rPr>
        <w:t xml:space="preserve">IRS is one of the strategic vector control interventions in the MSP, and it is also recommended in the </w:t>
      </w:r>
      <w:hyperlink r:id="rId36" w:history="1">
        <w:r w:rsidRPr="002C2C75">
          <w:rPr>
            <w:rStyle w:val="Hyperlink"/>
            <w:sz w:val="22"/>
            <w:szCs w:val="22"/>
          </w:rPr>
          <w:t>WHO Global Technical Strategy for Malaria (2016-2030)</w:t>
        </w:r>
      </w:hyperlink>
      <w:r w:rsidRPr="002C2C75">
        <w:rPr>
          <w:color w:val="0462C1"/>
          <w:sz w:val="22"/>
          <w:szCs w:val="22"/>
        </w:rPr>
        <w:t xml:space="preserve"> </w:t>
      </w:r>
      <w:r w:rsidRPr="002C2C75">
        <w:rPr>
          <w:sz w:val="22"/>
          <w:szCs w:val="22"/>
        </w:rPr>
        <w:t xml:space="preserve">for reducing and interrupting malaria transmission. It has been prioritized for support in this funding request because it is a high impact vector control intervention that also serves as an important insecticide resistance management strategy. The targeted districts are high burden districts in the central and northern provinces of the country. In line with the National IVM strategy, the country plans a rotation of the insecticides used every 2 years (always with non-pyrethroid insecticides) for the purpose of preventing the emergence of further insecticide resistance. </w:t>
      </w:r>
    </w:p>
    <w:p w14:paraId="68C1F5C1" w14:textId="77777777" w:rsidR="008F198A" w:rsidRPr="002C2C75" w:rsidRDefault="008F198A" w:rsidP="008F198A">
      <w:pPr>
        <w:pStyle w:val="Default"/>
        <w:jc w:val="both"/>
        <w:rPr>
          <w:sz w:val="22"/>
          <w:szCs w:val="22"/>
        </w:rPr>
      </w:pPr>
    </w:p>
    <w:p w14:paraId="73FDDD21" w14:textId="77777777" w:rsidR="008F198A" w:rsidRPr="002C2C75" w:rsidRDefault="008F198A" w:rsidP="008F198A">
      <w:pPr>
        <w:pStyle w:val="Default"/>
        <w:jc w:val="both"/>
        <w:rPr>
          <w:sz w:val="22"/>
          <w:szCs w:val="22"/>
        </w:rPr>
      </w:pPr>
      <w:r w:rsidRPr="002C2C75">
        <w:rPr>
          <w:sz w:val="22"/>
          <w:szCs w:val="22"/>
        </w:rPr>
        <w:t xml:space="preserve">As explained in Section 1.3, local studies from Southern Mozambique (STPH, 2021) and from Zambezia Province showed significant declines in malaria incidence when IRS was deployed in areas on top of high coverage ITNs (though of course ITNs at that time continued to be pyrethroid-only). Based on this evidence, and the reported risks of resurgence upon removal of IRS in high burden areas, Mozambique therefore intends in this grant to maintain IRS in targeted areas of Zambezia and Nampula as far as budget allows. If budget shortfalls do not permit maintenance, careful analysis will be conducted to withdraw in the least risky areas – and epidemiological data will be closely monitored to avoid negative repercussions. </w:t>
      </w:r>
    </w:p>
    <w:p w14:paraId="6D192A08" w14:textId="77777777" w:rsidR="008F198A" w:rsidRPr="002C2C75" w:rsidRDefault="008F198A" w:rsidP="008F198A">
      <w:pPr>
        <w:pStyle w:val="Default"/>
        <w:jc w:val="both"/>
        <w:rPr>
          <w:sz w:val="22"/>
          <w:szCs w:val="22"/>
        </w:rPr>
      </w:pPr>
    </w:p>
    <w:p w14:paraId="796E563C" w14:textId="77777777" w:rsidR="008F198A" w:rsidRPr="002C2C75" w:rsidRDefault="008F198A" w:rsidP="008F198A">
      <w:pPr>
        <w:pStyle w:val="Default"/>
        <w:jc w:val="both"/>
        <w:rPr>
          <w:sz w:val="22"/>
          <w:szCs w:val="22"/>
        </w:rPr>
      </w:pPr>
      <w:r w:rsidRPr="002C2C75">
        <w:rPr>
          <w:sz w:val="22"/>
          <w:szCs w:val="22"/>
        </w:rPr>
        <w:t xml:space="preserve">Entomological monitoring will continue to remain a priority for the country, particularly as a key data source to make decisions about the vector control strategy in the country. Efforts have been made during the current period to improve the integration of entomological data with other sources. This process was facilitated by the rollout of the iMISS. So far, the efforts have been successful but will now focus on improving capacity for data analysis and use of data for decision-making. Additional efforts will also be made toward increase surveillance for </w:t>
      </w:r>
      <w:r w:rsidRPr="002C2C75">
        <w:rPr>
          <w:i/>
          <w:iCs/>
          <w:sz w:val="22"/>
          <w:szCs w:val="22"/>
        </w:rPr>
        <w:t>A. stephensi</w:t>
      </w:r>
      <w:r w:rsidRPr="002C2C75">
        <w:rPr>
          <w:sz w:val="22"/>
          <w:szCs w:val="22"/>
        </w:rPr>
        <w:t xml:space="preserve"> in urban areas, in line with </w:t>
      </w:r>
      <w:hyperlink r:id="rId37" w:history="1">
        <w:r w:rsidRPr="002C2C75">
          <w:rPr>
            <w:rStyle w:val="Hyperlink"/>
            <w:sz w:val="22"/>
            <w:szCs w:val="22"/>
          </w:rPr>
          <w:t>WHO recommendation</w:t>
        </w:r>
      </w:hyperlink>
      <w:r w:rsidRPr="002C2C75">
        <w:rPr>
          <w:sz w:val="22"/>
          <w:szCs w:val="22"/>
        </w:rPr>
        <w:t xml:space="preserve"> for this potentially invasive vector. </w:t>
      </w:r>
    </w:p>
    <w:p w14:paraId="18EF3A34" w14:textId="77777777" w:rsidR="008F198A" w:rsidRPr="002C2C75" w:rsidRDefault="008F198A" w:rsidP="008F198A">
      <w:pPr>
        <w:pStyle w:val="Default"/>
        <w:rPr>
          <w:sz w:val="22"/>
          <w:szCs w:val="22"/>
        </w:rPr>
      </w:pPr>
    </w:p>
    <w:p w14:paraId="765F9B5E" w14:textId="77777777" w:rsidR="008F198A" w:rsidRPr="002C2C75" w:rsidRDefault="008F198A">
      <w:pPr>
        <w:pStyle w:val="ListParagraph"/>
        <w:numPr>
          <w:ilvl w:val="0"/>
          <w:numId w:val="49"/>
        </w:numPr>
        <w:spacing w:after="0"/>
        <w:rPr>
          <w:rFonts w:cstheme="minorHAnsi"/>
          <w:b/>
          <w:bCs/>
        </w:rPr>
      </w:pPr>
      <w:r w:rsidRPr="002C2C75">
        <w:rPr>
          <w:rFonts w:cstheme="minorHAnsi"/>
          <w:b/>
          <w:bCs/>
        </w:rPr>
        <w:t>Special prevention interventions (SPI)</w:t>
      </w:r>
    </w:p>
    <w:p w14:paraId="4CD84CA0" w14:textId="77777777" w:rsidR="008F198A" w:rsidRPr="002C2C75" w:rsidRDefault="008F198A" w:rsidP="008F198A">
      <w:pPr>
        <w:spacing w:after="0"/>
        <w:jc w:val="both"/>
        <w:rPr>
          <w:rFonts w:cstheme="minorHAnsi"/>
        </w:rPr>
      </w:pPr>
    </w:p>
    <w:p w14:paraId="21006A1F" w14:textId="77777777" w:rsidR="008F198A" w:rsidRPr="002C2C75" w:rsidRDefault="008F198A" w:rsidP="008F198A">
      <w:pPr>
        <w:spacing w:after="0"/>
        <w:jc w:val="both"/>
        <w:rPr>
          <w:rFonts w:cstheme="minorHAnsi"/>
        </w:rPr>
      </w:pPr>
      <w:r w:rsidRPr="002C2C75">
        <w:rPr>
          <w:rFonts w:cstheme="minorHAnsi"/>
        </w:rPr>
        <w:t>The government of Mozambique, in conjunction with other partners, will take the lead in ensuring the provision of IPTp, with a focus on improving ANC coverage in collaboration with the MCH Department. Targeted SBCC messaging to improve ANC attendance and adherence will be integrated with the SBCC package in the Case Management module, and, similarly, integrated malaria supervision visits will help  capacitate clinicians. While no budget appears in this module, IPTp remains a key malaria-in-pregnancy (MiP) strategy for the country that is funded through domestic means.</w:t>
      </w:r>
    </w:p>
    <w:p w14:paraId="27F3F27E" w14:textId="77777777" w:rsidR="008F198A" w:rsidRPr="002C2C75" w:rsidRDefault="008F198A" w:rsidP="008F198A">
      <w:pPr>
        <w:spacing w:after="0"/>
        <w:jc w:val="both"/>
        <w:rPr>
          <w:rFonts w:cstheme="minorHAnsi"/>
        </w:rPr>
      </w:pPr>
    </w:p>
    <w:p w14:paraId="54AA8D56" w14:textId="77777777" w:rsidR="008F198A" w:rsidRPr="002C2C75" w:rsidRDefault="008F198A" w:rsidP="008F198A">
      <w:pPr>
        <w:spacing w:after="0"/>
        <w:jc w:val="both"/>
        <w:rPr>
          <w:rFonts w:cstheme="minorHAnsi"/>
        </w:rPr>
      </w:pPr>
      <w:r w:rsidRPr="002C2C75">
        <w:rPr>
          <w:rFonts w:cstheme="minorHAnsi"/>
        </w:rPr>
        <w:t xml:space="preserve">In addition to the need to strengthen the coverage and quality of existing interventions, the 2020 MTR also found that additional interventions needed to be explored if Mozambique was to achieve its burden reduction goals. Specifically, in stratifying interventions, it was found that SMC and PMC should be priorities for expansion. In the intervening years to date, Mozambique has mobilized resources to pilot both interventions. The early results of both pilots show that while SP resistance is high in the country it still seems to be effective for chemoprevention. </w:t>
      </w:r>
    </w:p>
    <w:p w14:paraId="2DFCF39C" w14:textId="77777777" w:rsidR="008F198A" w:rsidRPr="002C2C75" w:rsidRDefault="008F198A" w:rsidP="008F198A">
      <w:pPr>
        <w:spacing w:after="0"/>
        <w:jc w:val="both"/>
        <w:rPr>
          <w:rFonts w:cstheme="minorHAnsi"/>
        </w:rPr>
      </w:pPr>
    </w:p>
    <w:p w14:paraId="5C1A7991" w14:textId="153F6211" w:rsidR="008F198A" w:rsidRPr="002C2C75" w:rsidRDefault="008F198A" w:rsidP="008F198A">
      <w:pPr>
        <w:spacing w:after="0"/>
        <w:jc w:val="both"/>
        <w:rPr>
          <w:rFonts w:cstheme="minorHAnsi"/>
        </w:rPr>
      </w:pPr>
      <w:r w:rsidRPr="002C2C75">
        <w:rPr>
          <w:rFonts w:cstheme="minorHAnsi"/>
        </w:rPr>
        <w:t xml:space="preserve">An operational model for the scale up of SMC has been established with the support of Malaria Consortium, and the geographic priorities for expansion have been identified through the stratification and modeling analyses conducted in 2022 – with priority areas having been ranked by burden of disease and seasonality. Expansion in Nampula and Niassa provinces was prioritized, and funding </w:t>
      </w:r>
      <w:r w:rsidR="007F0C1C" w:rsidRPr="002C2C75">
        <w:rPr>
          <w:rFonts w:cstheme="minorHAnsi"/>
        </w:rPr>
        <w:t>for Nampula</w:t>
      </w:r>
      <w:r w:rsidRPr="002C2C75">
        <w:rPr>
          <w:rFonts w:cstheme="minorHAnsi"/>
        </w:rPr>
        <w:t xml:space="preserve"> was confirmed via the same mechanism that funded the pilots. Further expansion is included in this funding request</w:t>
      </w:r>
      <w:r w:rsidR="007F0C1C" w:rsidRPr="002C2C75">
        <w:rPr>
          <w:rFonts w:cstheme="minorHAnsi"/>
        </w:rPr>
        <w:t xml:space="preserve"> and PAAR</w:t>
      </w:r>
      <w:r w:rsidRPr="002C2C75">
        <w:rPr>
          <w:rFonts w:cstheme="minorHAnsi"/>
        </w:rPr>
        <w:t xml:space="preserve">. </w:t>
      </w:r>
    </w:p>
    <w:p w14:paraId="7EB69DF7" w14:textId="77777777" w:rsidR="008F198A" w:rsidRPr="002C2C75" w:rsidRDefault="008F198A" w:rsidP="008F198A">
      <w:pPr>
        <w:spacing w:after="0"/>
        <w:jc w:val="both"/>
        <w:rPr>
          <w:rFonts w:cstheme="minorHAnsi"/>
        </w:rPr>
      </w:pPr>
    </w:p>
    <w:p w14:paraId="3ED71B52" w14:textId="77777777" w:rsidR="008F198A" w:rsidRPr="002C2C75" w:rsidRDefault="008F198A" w:rsidP="008F198A">
      <w:pPr>
        <w:spacing w:after="0"/>
        <w:jc w:val="both"/>
        <w:rPr>
          <w:rFonts w:cstheme="minorHAnsi"/>
        </w:rPr>
      </w:pPr>
      <w:r w:rsidRPr="002C2C75">
        <w:rPr>
          <w:rFonts w:cstheme="minorHAnsi"/>
        </w:rPr>
        <w:t xml:space="preserve">Because it is delivered through existing EPI platforms, as well as the apparent efficacy of SP for chemoprevention in SMC, PMC is considered a safe, simple, and cost-effective intervention to launch. It has been launched in Sofala Province through the support of PSI and Unitaid, with a strong evaluation component supported by the London School of Hygiene and Tropical Medicine. Additionally, expansion to Zambezia Province is supported by PMI, with further expansion included in PAAR in this funding request. </w:t>
      </w:r>
    </w:p>
    <w:p w14:paraId="5D3FE5BD" w14:textId="77777777" w:rsidR="008F198A" w:rsidRPr="002C2C75" w:rsidRDefault="008F198A" w:rsidP="008F198A">
      <w:pPr>
        <w:spacing w:after="0"/>
        <w:rPr>
          <w:rFonts w:cstheme="minorHAnsi"/>
        </w:rPr>
      </w:pPr>
    </w:p>
    <w:p w14:paraId="775D7267" w14:textId="77777777" w:rsidR="008F198A" w:rsidRPr="002C2C75" w:rsidRDefault="008F198A">
      <w:pPr>
        <w:pStyle w:val="ListParagraph"/>
        <w:numPr>
          <w:ilvl w:val="0"/>
          <w:numId w:val="49"/>
        </w:numPr>
        <w:spacing w:after="0"/>
        <w:rPr>
          <w:rFonts w:cstheme="minorHAnsi"/>
          <w:b/>
          <w:bCs/>
        </w:rPr>
      </w:pPr>
      <w:r w:rsidRPr="002C2C75">
        <w:rPr>
          <w:rFonts w:cstheme="minorHAnsi"/>
          <w:b/>
          <w:bCs/>
        </w:rPr>
        <w:t>Program management</w:t>
      </w:r>
    </w:p>
    <w:p w14:paraId="56FAC517" w14:textId="77777777" w:rsidR="008F198A" w:rsidRPr="002C2C75" w:rsidRDefault="008F198A" w:rsidP="008F198A">
      <w:pPr>
        <w:pStyle w:val="ListParagraph"/>
        <w:spacing w:after="0"/>
        <w:rPr>
          <w:rFonts w:cstheme="minorHAnsi"/>
          <w:b/>
          <w:bCs/>
        </w:rPr>
      </w:pPr>
    </w:p>
    <w:p w14:paraId="6D67DDF1" w14:textId="77777777" w:rsidR="008F198A" w:rsidRPr="002C2C75" w:rsidRDefault="008F198A" w:rsidP="008F198A">
      <w:pPr>
        <w:spacing w:after="0"/>
        <w:jc w:val="both"/>
        <w:rPr>
          <w:rFonts w:cstheme="minorHAnsi"/>
        </w:rPr>
      </w:pPr>
      <w:r w:rsidRPr="002C2C75">
        <w:rPr>
          <w:rFonts w:cstheme="minorHAnsi"/>
        </w:rPr>
        <w:t xml:space="preserve">The overall success of Mozambique’s malaria response will hinge on effective, well managed implementation of planned activities, and it will require improved financial absorption by the government. Effective planning, implementation, coordination of partners and stakeholders at all levels, in addition to the effective monitoring of progress against workplans, are essential for the realization of expected results. Thus, program management is a prioritized module in this request.  For the malaria program, critical unmet gaps identified include human resources and review/planning meetings; for civil society, key gaps include human resources, supportive management systems, and grant management. </w:t>
      </w:r>
    </w:p>
    <w:p w14:paraId="44BA578B" w14:textId="77777777" w:rsidR="008F198A" w:rsidRPr="002C2C75" w:rsidRDefault="008F198A" w:rsidP="008F198A">
      <w:pPr>
        <w:spacing w:after="0"/>
        <w:jc w:val="both"/>
        <w:rPr>
          <w:rFonts w:cstheme="minorHAnsi"/>
        </w:rPr>
      </w:pPr>
    </w:p>
    <w:p w14:paraId="3BBD460A" w14:textId="77777777" w:rsidR="008F198A" w:rsidRPr="002C2C75" w:rsidRDefault="008F198A" w:rsidP="008F198A">
      <w:pPr>
        <w:spacing w:after="0"/>
        <w:jc w:val="both"/>
        <w:rPr>
          <w:rFonts w:cstheme="minorHAnsi"/>
        </w:rPr>
      </w:pPr>
      <w:r w:rsidRPr="002C2C75">
        <w:rPr>
          <w:rFonts w:cstheme="minorHAnsi"/>
        </w:rPr>
        <w:t xml:space="preserve">It is critical that the functionality of thematic TWGs are continued during the grant period with the support of partners, particularly given the tightening fiscal landscape of malaria in the country – which requires everyone to do more, in a coordinated manner, with what we have. </w:t>
      </w:r>
    </w:p>
    <w:p w14:paraId="6734BF9A" w14:textId="77777777" w:rsidR="008F198A" w:rsidRPr="002C2C75" w:rsidRDefault="008F198A" w:rsidP="008F198A">
      <w:pPr>
        <w:spacing w:after="0"/>
        <w:rPr>
          <w:rFonts w:cstheme="minorHAnsi"/>
        </w:rPr>
      </w:pPr>
    </w:p>
    <w:p w14:paraId="6DA76C35" w14:textId="77777777" w:rsidR="008F198A" w:rsidRPr="002C2C75" w:rsidRDefault="008F198A">
      <w:pPr>
        <w:pStyle w:val="ListParagraph"/>
        <w:numPr>
          <w:ilvl w:val="0"/>
          <w:numId w:val="49"/>
        </w:numPr>
        <w:spacing w:after="0"/>
        <w:rPr>
          <w:rFonts w:cstheme="minorHAnsi"/>
          <w:b/>
          <w:bCs/>
        </w:rPr>
      </w:pPr>
      <w:r w:rsidRPr="002C2C75">
        <w:rPr>
          <w:rFonts w:cstheme="minorHAnsi"/>
          <w:b/>
          <w:bCs/>
        </w:rPr>
        <w:t>Surveillance, Monitoring and Evaluation</w:t>
      </w:r>
    </w:p>
    <w:p w14:paraId="4AEF115C" w14:textId="77777777" w:rsidR="008F198A" w:rsidRPr="002C2C75" w:rsidRDefault="008F198A" w:rsidP="008F198A">
      <w:pPr>
        <w:spacing w:after="0"/>
        <w:rPr>
          <w:rFonts w:cstheme="minorHAnsi"/>
          <w:b/>
          <w:bCs/>
        </w:rPr>
      </w:pPr>
    </w:p>
    <w:p w14:paraId="5079C3AC" w14:textId="77777777" w:rsidR="008F198A" w:rsidRPr="002C2C75" w:rsidRDefault="008F198A" w:rsidP="008F198A">
      <w:pPr>
        <w:spacing w:after="0"/>
        <w:jc w:val="both"/>
        <w:rPr>
          <w:rFonts w:cstheme="minorHAnsi"/>
        </w:rPr>
      </w:pPr>
      <w:r w:rsidRPr="002C2C75">
        <w:rPr>
          <w:rFonts w:cstheme="minorHAnsi"/>
        </w:rPr>
        <w:t xml:space="preserve">Effective surveillance and M&amp;E are critical to the national malaria response in order to achieve gains in reducing malaria mortality, as both provide the data necessary to improve the effective targeting and tailoring of malaria strategies. Strong surveillance requires inputs from a diverse group of actors, from the health workers at facility and community level, to partners implementing and submitting vector control or chemoprevention reports. Further, it requires the highest level users at NMCP using that data for strategy or policy formulation. To achieve a high-performing surveillance system, coordination of all of these actors is critical. With support from partners, the NMCP has successfully developed and deployed an integrated malaria information storage system (iMISS). This system will continue to need to be actively managed by the NMCP, and provincial and district level users will continue to need to be supported with replacement devices as existing ones reach the limits of useful life. Mobile data is needed to report and use the dashboards for decision making. </w:t>
      </w:r>
    </w:p>
    <w:p w14:paraId="6A5481BC" w14:textId="77777777" w:rsidR="008F198A" w:rsidRPr="002C2C75" w:rsidRDefault="008F198A" w:rsidP="008F198A">
      <w:pPr>
        <w:spacing w:after="0"/>
        <w:jc w:val="both"/>
        <w:rPr>
          <w:rFonts w:cstheme="minorHAnsi"/>
        </w:rPr>
      </w:pPr>
    </w:p>
    <w:p w14:paraId="47020AD9" w14:textId="4AFB3DC4" w:rsidR="008F198A" w:rsidRPr="002C2C75" w:rsidRDefault="008F198A" w:rsidP="008F198A">
      <w:pPr>
        <w:spacing w:after="0"/>
        <w:jc w:val="both"/>
        <w:rPr>
          <w:rFonts w:cstheme="minorHAnsi"/>
        </w:rPr>
      </w:pPr>
      <w:r w:rsidRPr="002C2C75">
        <w:rPr>
          <w:rFonts w:cstheme="minorHAnsi"/>
        </w:rPr>
        <w:t>The digitization of the 2021</w:t>
      </w:r>
      <w:r w:rsidR="00ED1300">
        <w:rPr>
          <w:rFonts w:cstheme="minorHAnsi"/>
        </w:rPr>
        <w:t xml:space="preserve"> and 2023</w:t>
      </w:r>
      <w:r w:rsidRPr="002C2C75">
        <w:rPr>
          <w:rFonts w:cstheme="minorHAnsi"/>
        </w:rPr>
        <w:t xml:space="preserve"> MDA campaign</w:t>
      </w:r>
      <w:r w:rsidR="00ED1300">
        <w:rPr>
          <w:rFonts w:cstheme="minorHAnsi"/>
        </w:rPr>
        <w:t>s</w:t>
      </w:r>
      <w:r w:rsidRPr="002C2C75">
        <w:rPr>
          <w:rFonts w:cstheme="minorHAnsi"/>
        </w:rPr>
        <w:t xml:space="preserve"> and 2022/23 ITN campaign has transformed the way the NMCP and its partners are conducting and monitoring the implementation of campaigns. Efforts are underway to build technology that will permit the cost-efficient digitization of all malaria campaigns, serving as a key tactic to improve the effectiveness of these campaign in achieving desired coverage levels, and in building population and household georegistries that allow for more accurate measurement of that coverage.  </w:t>
      </w:r>
    </w:p>
    <w:p w14:paraId="346702D8" w14:textId="77777777" w:rsidR="008F198A" w:rsidRPr="002C2C75" w:rsidRDefault="008F198A" w:rsidP="008F198A">
      <w:pPr>
        <w:spacing w:after="0"/>
        <w:jc w:val="both"/>
        <w:rPr>
          <w:rFonts w:cstheme="minorHAnsi"/>
        </w:rPr>
      </w:pPr>
    </w:p>
    <w:p w14:paraId="6EE4F467" w14:textId="0C4F7D25" w:rsidR="008F198A" w:rsidRPr="002C2C75" w:rsidRDefault="008F198A" w:rsidP="008F198A">
      <w:pPr>
        <w:spacing w:after="0"/>
        <w:jc w:val="both"/>
        <w:rPr>
          <w:rFonts w:cstheme="minorHAnsi"/>
        </w:rPr>
      </w:pPr>
      <w:r w:rsidRPr="002C2C75">
        <w:rPr>
          <w:rFonts w:cstheme="minorHAnsi"/>
        </w:rPr>
        <w:t>The planned surveys and evaluations will provide critical data to inform future strategy, as well as measure progress against the MSP goals and objectives. Epidemic preparedness and response is a critical core capacity for the country’s peripheral health services, and capacitation of key staff will allow prompt detection and response to outbreaks that can ultimately save lives when outbreaks occur.</w:t>
      </w:r>
    </w:p>
    <w:p w14:paraId="6080B4A7" w14:textId="449F5E0F" w:rsidR="005E25BF" w:rsidRPr="002C2C75" w:rsidRDefault="005E25BF" w:rsidP="008F198A">
      <w:pPr>
        <w:spacing w:after="0"/>
        <w:jc w:val="both"/>
        <w:rPr>
          <w:rFonts w:cstheme="minorHAnsi"/>
        </w:rPr>
      </w:pPr>
    </w:p>
    <w:p w14:paraId="573E5DA9" w14:textId="77777777" w:rsidR="005E25BF" w:rsidRPr="002C2C75" w:rsidRDefault="005E25BF" w:rsidP="005E25BF">
      <w:pPr>
        <w:pStyle w:val="BodyText"/>
        <w:tabs>
          <w:tab w:val="left" w:pos="990"/>
          <w:tab w:val="left" w:pos="1080"/>
        </w:tabs>
        <w:rPr>
          <w:b/>
          <w:bCs/>
          <w:sz w:val="22"/>
          <w:lang w:val="en-US"/>
        </w:rPr>
      </w:pPr>
      <w:r w:rsidRPr="002C2C75">
        <w:rPr>
          <w:b/>
          <w:bCs/>
          <w:sz w:val="22"/>
          <w:lang w:val="en-US"/>
        </w:rPr>
        <w:t>Cross-cutting RSSH planning and prioritization</w:t>
      </w:r>
    </w:p>
    <w:p w14:paraId="30E834CD" w14:textId="5D956629" w:rsidR="005E25BF" w:rsidRDefault="007E336C" w:rsidP="008F198A">
      <w:pPr>
        <w:spacing w:after="0"/>
        <w:jc w:val="both"/>
      </w:pPr>
      <w:r w:rsidRPr="007E336C">
        <w:t xml:space="preserve">Individual and joint discussions with the 3 diseases programs staff to identify common system bottlenecks resulted in the prioritization of 5 key RSSH modules, namely (1) Health Products/Logistics to address medicines stockouts at facility level and supply of drugs with short expiration date, (2) Laboratory Systems to improve testing capacity,  sample referral systems, laboratory equipment functionality, and ensure timely retro-information to health facilities and patients, (3) M&amp;E systems to improve data quality and use, reduce paper-based information systems, integrate electronic health information systems, and increase availability of population-based data for strategic decision making; (4) Human Resources and quality of care to address quality issues in pre-service training, staff turnover, and vertical approach to training and supervision, and (5) Community Systems strengthening to improve management of community actors, increase quality and quantity of CHW/APS services. Critical and cost-effective interventions and activities to address programmatic gaps were selected for funding within the 8.5% (~$65.5 million) funding allocation to RSSH. This RSSH funding were distributed across the 5 priority modules through an inclusive and participatory decision-making process that took into account synergies across modules and/or interventions. </w:t>
      </w:r>
      <w:r>
        <w:t>E.g.</w:t>
      </w:r>
      <w:r w:rsidRPr="007E336C">
        <w:t>, interoperability of information systems and integrated supervision will provide efficiency gains.</w:t>
      </w:r>
    </w:p>
    <w:p w14:paraId="6A7D6FE5" w14:textId="77777777" w:rsidR="007E336C" w:rsidRPr="002C2C75" w:rsidRDefault="007E336C" w:rsidP="008F198A">
      <w:pPr>
        <w:spacing w:after="0"/>
        <w:jc w:val="both"/>
        <w:rPr>
          <w:rFonts w:cstheme="minorHAnsi"/>
        </w:rPr>
      </w:pPr>
    </w:p>
    <w:p w14:paraId="2F81A629" w14:textId="30D424A8" w:rsidR="00693DA0" w:rsidRPr="002C2C75" w:rsidRDefault="000050E1">
      <w:pPr>
        <w:pStyle w:val="BodyText"/>
        <w:numPr>
          <w:ilvl w:val="2"/>
          <w:numId w:val="19"/>
        </w:numPr>
        <w:tabs>
          <w:tab w:val="left" w:pos="1080"/>
        </w:tabs>
        <w:ind w:left="990" w:hanging="450"/>
        <w:rPr>
          <w:sz w:val="22"/>
          <w:szCs w:val="20"/>
        </w:rPr>
      </w:pPr>
      <w:r w:rsidRPr="002C2C75">
        <w:t>D</w:t>
      </w:r>
      <w:r w:rsidR="00693DA0" w:rsidRPr="002C2C75">
        <w:t xml:space="preserve">escribe </w:t>
      </w:r>
      <w:r w:rsidR="00F731FF" w:rsidRPr="002C2C75">
        <w:t xml:space="preserve">the decision process for interventions </w:t>
      </w:r>
      <w:r w:rsidR="009D4DDF" w:rsidRPr="002C2C75">
        <w:t>selected for allocation funding</w:t>
      </w:r>
      <w:r w:rsidR="009E2AF6" w:rsidRPr="002C2C75">
        <w:t xml:space="preserve"> versus </w:t>
      </w:r>
      <w:r w:rsidR="00F731FF" w:rsidRPr="002C2C75">
        <w:t xml:space="preserve">those </w:t>
      </w:r>
      <w:r w:rsidR="009E2AF6" w:rsidRPr="002C2C75">
        <w:t xml:space="preserve">included in the </w:t>
      </w:r>
      <w:r w:rsidR="008A42B9" w:rsidRPr="002C2C75">
        <w:t xml:space="preserve">unfunded </w:t>
      </w:r>
      <w:r w:rsidR="009E2AF6" w:rsidRPr="002C2C75">
        <w:t>Prioritized Above Allocation Request.</w:t>
      </w:r>
    </w:p>
    <w:p w14:paraId="32450257" w14:textId="7A7658FA" w:rsidR="00DA413F" w:rsidRPr="002C2C75" w:rsidRDefault="00DA413F" w:rsidP="00587836">
      <w:pPr>
        <w:pStyle w:val="BodyText"/>
        <w:tabs>
          <w:tab w:val="left" w:pos="1080"/>
        </w:tabs>
        <w:jc w:val="both"/>
        <w:rPr>
          <w:b/>
          <w:bCs/>
          <w:i/>
          <w:iCs/>
          <w:sz w:val="22"/>
        </w:rPr>
      </w:pPr>
      <w:r w:rsidRPr="002C2C75">
        <w:rPr>
          <w:b/>
          <w:bCs/>
          <w:i/>
          <w:iCs/>
          <w:sz w:val="22"/>
        </w:rPr>
        <w:t>Top priorities are securing strong case management, cost-effectiveness optimized prevention, and strong surveillance and M&amp;E systems</w:t>
      </w:r>
    </w:p>
    <w:p w14:paraId="03152B73" w14:textId="468332EA" w:rsidR="00587836" w:rsidRPr="002C2C75" w:rsidRDefault="00587836" w:rsidP="00587836">
      <w:pPr>
        <w:pStyle w:val="BodyText"/>
        <w:tabs>
          <w:tab w:val="left" w:pos="1080"/>
        </w:tabs>
        <w:jc w:val="both"/>
        <w:rPr>
          <w:sz w:val="22"/>
        </w:rPr>
      </w:pPr>
      <w:r w:rsidRPr="002C2C75">
        <w:rPr>
          <w:sz w:val="22"/>
        </w:rPr>
        <w:t xml:space="preserve">The first priority considered in this funding request was ensuring adequate supply of diagnostic and treatment commodities, with cost-optimized supportive interventions to ensure the consistent availability where these commodities are needed and to ensure their rational use by health workers at all levels. These commodities are lifesaving, and their procurement is considered non-negotiable in prioritizing across available resources. </w:t>
      </w:r>
    </w:p>
    <w:p w14:paraId="5E308303" w14:textId="77777777" w:rsidR="00587836" w:rsidRPr="002C2C75" w:rsidRDefault="00587836" w:rsidP="00587836">
      <w:pPr>
        <w:pStyle w:val="BodyText"/>
        <w:tabs>
          <w:tab w:val="left" w:pos="1080"/>
        </w:tabs>
        <w:jc w:val="both"/>
        <w:rPr>
          <w:sz w:val="22"/>
        </w:rPr>
      </w:pPr>
      <w:r w:rsidRPr="002C2C75">
        <w:rPr>
          <w:sz w:val="22"/>
        </w:rPr>
        <w:t>Following the top priority of an uninterrupted supply of live-saving case management commodities, the prioritization turned to prevention measures that maximize value-for-money. These were prioritized by intervention and geography during the stratification exercise, with a cost-effectiveness optimization analysis conducted in collaboration with STPH to prioritize for optimal value-for-money. The outcomes of this prioritization are summarized in Table 5.</w:t>
      </w:r>
    </w:p>
    <w:p w14:paraId="061EF8B1" w14:textId="77777777" w:rsidR="00587836" w:rsidRPr="002C2C75" w:rsidRDefault="00587836" w:rsidP="00587836">
      <w:pPr>
        <w:pStyle w:val="BodyText"/>
        <w:tabs>
          <w:tab w:val="left" w:pos="1080"/>
        </w:tabs>
        <w:jc w:val="both"/>
        <w:rPr>
          <w:sz w:val="22"/>
        </w:rPr>
      </w:pPr>
      <w:r w:rsidRPr="002C2C75">
        <w:rPr>
          <w:sz w:val="22"/>
        </w:rPr>
        <w:t xml:space="preserve">Per national policy, LLINs are the primary vector control measure used in Mozambique, which are now recommended to be dual-AI ITNs due to widespread pyrethroid resistance and longer-lasting impact, as found during the New Nets Project study. IRS supplements ITNs (a) for purposes of insecticide resistance management; and (b) in elimination-targeted areas (such as southern Mozambique). </w:t>
      </w:r>
    </w:p>
    <w:p w14:paraId="6D37464F" w14:textId="6FF506B4" w:rsidR="00587836" w:rsidRPr="002C2C75" w:rsidRDefault="00587836" w:rsidP="00587836">
      <w:pPr>
        <w:pStyle w:val="BodyText"/>
        <w:tabs>
          <w:tab w:val="left" w:pos="1080"/>
        </w:tabs>
        <w:jc w:val="both"/>
        <w:rPr>
          <w:sz w:val="22"/>
        </w:rPr>
      </w:pPr>
      <w:r w:rsidRPr="002C2C75">
        <w:rPr>
          <w:sz w:val="22"/>
        </w:rPr>
        <w:t xml:space="preserve">Further to this, SMC and PMC have been added as new interventions in the country per the recent </w:t>
      </w:r>
      <w:hyperlink r:id="rId38" w:anchor="/guideline/7087" w:history="1">
        <w:r w:rsidRPr="002C2C75">
          <w:rPr>
            <w:rStyle w:val="Hyperlink"/>
            <w:sz w:val="22"/>
          </w:rPr>
          <w:t>WHO recommendation</w:t>
        </w:r>
      </w:hyperlink>
      <w:r w:rsidRPr="002C2C75">
        <w:rPr>
          <w:sz w:val="22"/>
        </w:rPr>
        <w:t xml:space="preserve"> (WHO/UCN/GMP/2022.01 Rev.1), with SMC prioritized first to areas of high burden and high seasonality and PMC prioritized first to areas of high burden but moderate-to-low seasonality. </w:t>
      </w:r>
    </w:p>
    <w:p w14:paraId="663EE122" w14:textId="7C9144C0" w:rsidR="00453EEE" w:rsidRPr="002C2C75" w:rsidRDefault="00587836" w:rsidP="00587836">
      <w:pPr>
        <w:pStyle w:val="BodyText"/>
        <w:tabs>
          <w:tab w:val="left" w:pos="1080"/>
        </w:tabs>
        <w:jc w:val="both"/>
        <w:rPr>
          <w:sz w:val="22"/>
        </w:rPr>
      </w:pPr>
      <w:r w:rsidRPr="002C2C75">
        <w:rPr>
          <w:sz w:val="22"/>
        </w:rPr>
        <w:t>The malaria vaccine was targeted according to WHO methodology through a collaborative analysis conducted at WHO’s targeting workshop in Accra in 2022. Overall, the vaccine falls somewhat low in terms of cost-effectiveness priorities relative to other interventions. However, given the segregation of funding from Gavi that is not fungible, there are currently no cost trade-offs for the country; and the country hopes that in future other vaccines will be more effective and available at a more affordable price to improve their cost-effectiveness in comparison with other malaria interventions.</w:t>
      </w:r>
    </w:p>
    <w:p w14:paraId="0049C40D" w14:textId="77E10119" w:rsidR="00453EEE" w:rsidRPr="002C2C75" w:rsidRDefault="00453EEE" w:rsidP="004805A9">
      <w:pPr>
        <w:pStyle w:val="BodyText"/>
        <w:tabs>
          <w:tab w:val="left" w:pos="1080"/>
        </w:tabs>
        <w:ind w:left="58"/>
        <w:rPr>
          <w:sz w:val="22"/>
        </w:rPr>
      </w:pPr>
      <w:r w:rsidRPr="002C2C75">
        <w:rPr>
          <w:sz w:val="22"/>
        </w:rPr>
        <w:t xml:space="preserve">Table </w:t>
      </w:r>
      <w:r w:rsidR="00D201A6" w:rsidRPr="002C2C75">
        <w:rPr>
          <w:sz w:val="22"/>
        </w:rPr>
        <w:t>5</w:t>
      </w:r>
      <w:r w:rsidRPr="002C2C75">
        <w:rPr>
          <w:sz w:val="22"/>
        </w:rPr>
        <w:t>: Prevention prioritization matrix</w:t>
      </w:r>
    </w:p>
    <w:tbl>
      <w:tblPr>
        <w:tblStyle w:val="TableGrid1"/>
        <w:tblW w:w="10615" w:type="dxa"/>
        <w:tblLayout w:type="fixed"/>
        <w:tblLook w:val="04A0" w:firstRow="1" w:lastRow="0" w:firstColumn="1" w:lastColumn="0" w:noHBand="0" w:noVBand="1"/>
      </w:tblPr>
      <w:tblGrid>
        <w:gridCol w:w="1247"/>
        <w:gridCol w:w="528"/>
        <w:gridCol w:w="1730"/>
        <w:gridCol w:w="3780"/>
        <w:gridCol w:w="3330"/>
      </w:tblGrid>
      <w:tr w:rsidR="00AE6657" w:rsidRPr="002C2C75" w14:paraId="5E066718" w14:textId="77777777" w:rsidTr="00C00272">
        <w:trPr>
          <w:trHeight w:val="138"/>
        </w:trPr>
        <w:tc>
          <w:tcPr>
            <w:tcW w:w="1775" w:type="dxa"/>
            <w:gridSpan w:val="2"/>
            <w:shd w:val="clear" w:color="auto" w:fill="D9D9D9"/>
          </w:tcPr>
          <w:p w14:paraId="6303FB79" w14:textId="77777777" w:rsidR="00AE6657" w:rsidRPr="002C2C75" w:rsidRDefault="00AE6657" w:rsidP="00AE6657">
            <w:pPr>
              <w:spacing w:after="0"/>
              <w:rPr>
                <w:rFonts w:eastAsia="Calibri" w:cstheme="minorHAnsi"/>
                <w:sz w:val="16"/>
                <w:szCs w:val="16"/>
              </w:rPr>
            </w:pPr>
            <w:r w:rsidRPr="002C2C75">
              <w:rPr>
                <w:rFonts w:eastAsia="Calibri" w:cstheme="minorHAnsi"/>
                <w:b/>
                <w:bCs/>
                <w:sz w:val="16"/>
                <w:szCs w:val="16"/>
              </w:rPr>
              <w:t>Priority level</w:t>
            </w:r>
          </w:p>
        </w:tc>
        <w:tc>
          <w:tcPr>
            <w:tcW w:w="1730" w:type="dxa"/>
            <w:shd w:val="clear" w:color="auto" w:fill="D9D9D9"/>
          </w:tcPr>
          <w:p w14:paraId="2AD338A9" w14:textId="77777777" w:rsidR="00AE6657" w:rsidRPr="002C2C75" w:rsidRDefault="00AE6657" w:rsidP="00AE6657">
            <w:pPr>
              <w:spacing w:after="0"/>
              <w:rPr>
                <w:rFonts w:eastAsia="Calibri" w:cstheme="minorHAnsi"/>
                <w:b/>
                <w:bCs/>
                <w:sz w:val="16"/>
                <w:szCs w:val="16"/>
              </w:rPr>
            </w:pPr>
            <w:r w:rsidRPr="002C2C75">
              <w:rPr>
                <w:rFonts w:eastAsia="Calibri" w:cstheme="minorHAnsi"/>
                <w:b/>
                <w:bCs/>
                <w:sz w:val="16"/>
                <w:szCs w:val="16"/>
              </w:rPr>
              <w:t>Intervention</w:t>
            </w:r>
          </w:p>
        </w:tc>
        <w:tc>
          <w:tcPr>
            <w:tcW w:w="3780" w:type="dxa"/>
            <w:shd w:val="clear" w:color="auto" w:fill="D9D9D9"/>
          </w:tcPr>
          <w:p w14:paraId="04316DDC" w14:textId="77777777" w:rsidR="00AE6657" w:rsidRPr="002C2C75" w:rsidRDefault="00AE6657" w:rsidP="00AE6657">
            <w:pPr>
              <w:spacing w:after="0"/>
              <w:rPr>
                <w:rFonts w:eastAsia="Calibri" w:cstheme="minorHAnsi"/>
                <w:b/>
                <w:bCs/>
                <w:sz w:val="16"/>
                <w:szCs w:val="16"/>
              </w:rPr>
            </w:pPr>
            <w:r w:rsidRPr="002C2C75">
              <w:rPr>
                <w:rFonts w:eastAsia="Calibri" w:cstheme="minorHAnsi"/>
                <w:b/>
                <w:bCs/>
                <w:sz w:val="16"/>
                <w:szCs w:val="16"/>
              </w:rPr>
              <w:t>Geography</w:t>
            </w:r>
          </w:p>
        </w:tc>
        <w:tc>
          <w:tcPr>
            <w:tcW w:w="3330" w:type="dxa"/>
            <w:shd w:val="clear" w:color="auto" w:fill="D9D9D9"/>
          </w:tcPr>
          <w:p w14:paraId="775048D1" w14:textId="77777777" w:rsidR="00AE6657" w:rsidRPr="002C2C75" w:rsidRDefault="00AE6657" w:rsidP="00AE6657">
            <w:pPr>
              <w:spacing w:after="0"/>
              <w:rPr>
                <w:rFonts w:eastAsia="Calibri" w:cstheme="minorHAnsi"/>
                <w:b/>
                <w:bCs/>
                <w:sz w:val="16"/>
                <w:szCs w:val="16"/>
              </w:rPr>
            </w:pPr>
            <w:r w:rsidRPr="002C2C75">
              <w:rPr>
                <w:rFonts w:eastAsia="Calibri" w:cstheme="minorHAnsi"/>
                <w:b/>
                <w:bCs/>
                <w:sz w:val="16"/>
                <w:szCs w:val="16"/>
              </w:rPr>
              <w:t>Funding (2024-26)</w:t>
            </w:r>
          </w:p>
        </w:tc>
      </w:tr>
      <w:tr w:rsidR="0080458A" w:rsidRPr="002C2C75" w14:paraId="2A59EA37" w14:textId="77777777" w:rsidTr="00C00272">
        <w:trPr>
          <w:trHeight w:val="300"/>
        </w:trPr>
        <w:tc>
          <w:tcPr>
            <w:tcW w:w="1247" w:type="dxa"/>
            <w:vMerge w:val="restart"/>
          </w:tcPr>
          <w:p w14:paraId="7F2F43DA" w14:textId="6678B3E7" w:rsidR="0080458A" w:rsidRPr="002C2C75" w:rsidRDefault="0080458A" w:rsidP="0080458A">
            <w:pPr>
              <w:spacing w:after="0"/>
              <w:rPr>
                <w:rFonts w:eastAsia="Calibri" w:cstheme="minorHAnsi"/>
                <w:sz w:val="16"/>
                <w:szCs w:val="16"/>
              </w:rPr>
            </w:pPr>
            <w:r w:rsidRPr="002C2C75">
              <w:rPr>
                <w:rFonts w:eastAsia="Calibri" w:cstheme="minorHAnsi"/>
                <w:sz w:val="16"/>
                <w:szCs w:val="16"/>
              </w:rPr>
              <w:t>Essential</w:t>
            </w:r>
          </w:p>
        </w:tc>
        <w:tc>
          <w:tcPr>
            <w:tcW w:w="528" w:type="dxa"/>
          </w:tcPr>
          <w:p w14:paraId="534AEC11" w14:textId="33F60EF0" w:rsidR="0080458A" w:rsidRPr="002C2C75" w:rsidRDefault="0080458A" w:rsidP="0080458A">
            <w:pPr>
              <w:spacing w:after="0"/>
              <w:rPr>
                <w:rFonts w:eastAsia="Calibri" w:cstheme="minorHAnsi"/>
                <w:sz w:val="16"/>
                <w:szCs w:val="16"/>
              </w:rPr>
            </w:pPr>
            <w:r w:rsidRPr="002C2C75">
              <w:rPr>
                <w:rFonts w:eastAsia="Calibri" w:cstheme="minorHAnsi"/>
                <w:sz w:val="16"/>
                <w:szCs w:val="16"/>
                <w:lang w:val="pt-BR"/>
              </w:rPr>
              <w:t>1</w:t>
            </w:r>
            <w:r w:rsidR="00544BA3" w:rsidRPr="002C2C75">
              <w:rPr>
                <w:rFonts w:eastAsia="Calibri" w:cstheme="minorHAnsi"/>
                <w:sz w:val="16"/>
                <w:szCs w:val="16"/>
                <w:lang w:val="pt-BR"/>
              </w:rPr>
              <w:t>a</w:t>
            </w:r>
          </w:p>
        </w:tc>
        <w:tc>
          <w:tcPr>
            <w:tcW w:w="1730" w:type="dxa"/>
          </w:tcPr>
          <w:p w14:paraId="10FB53B1" w14:textId="77777777" w:rsidR="0080458A" w:rsidRPr="002C2C75" w:rsidRDefault="0080458A" w:rsidP="0080458A">
            <w:pPr>
              <w:spacing w:after="0"/>
              <w:rPr>
                <w:rFonts w:eastAsia="Calibri" w:cstheme="minorHAnsi"/>
                <w:sz w:val="16"/>
                <w:szCs w:val="16"/>
                <w:lang w:val="pt-BR"/>
              </w:rPr>
            </w:pPr>
            <w:r w:rsidRPr="002C2C75">
              <w:rPr>
                <w:rFonts w:eastAsia="Calibri" w:cstheme="minorHAnsi"/>
                <w:sz w:val="16"/>
                <w:szCs w:val="16"/>
                <w:lang w:val="pt-BR"/>
              </w:rPr>
              <w:t>Dual-AI ITNs</w:t>
            </w:r>
          </w:p>
          <w:p w14:paraId="7C4F3B56" w14:textId="14C66C8B" w:rsidR="0080458A" w:rsidRPr="002C2C75" w:rsidRDefault="0080458A" w:rsidP="0080458A">
            <w:pPr>
              <w:spacing w:after="0"/>
              <w:rPr>
                <w:rFonts w:eastAsia="Calibri" w:cstheme="minorHAnsi"/>
                <w:sz w:val="16"/>
                <w:szCs w:val="16"/>
                <w:lang w:val="pt-BR"/>
              </w:rPr>
            </w:pPr>
            <w:r w:rsidRPr="002C2C75">
              <w:rPr>
                <w:rFonts w:eastAsia="Calibri" w:cstheme="minorHAnsi"/>
                <w:sz w:val="16"/>
                <w:szCs w:val="16"/>
                <w:lang w:val="pt-BR"/>
              </w:rPr>
              <w:t>(via ANC channel)</w:t>
            </w:r>
          </w:p>
        </w:tc>
        <w:tc>
          <w:tcPr>
            <w:tcW w:w="3780" w:type="dxa"/>
          </w:tcPr>
          <w:p w14:paraId="06A4596B" w14:textId="1B3ECFAA" w:rsidR="0080458A" w:rsidRPr="002C2C75" w:rsidRDefault="0080458A" w:rsidP="0080458A">
            <w:pPr>
              <w:spacing w:after="0"/>
              <w:rPr>
                <w:rFonts w:eastAsia="Calibri" w:cstheme="minorHAnsi"/>
                <w:sz w:val="16"/>
                <w:szCs w:val="16"/>
                <w:lang w:val="pt-BR"/>
              </w:rPr>
            </w:pPr>
            <w:r w:rsidRPr="002C2C75">
              <w:rPr>
                <w:rFonts w:eastAsia="Calibri" w:cstheme="minorHAnsi"/>
                <w:sz w:val="16"/>
                <w:szCs w:val="16"/>
                <w:lang w:val="pt-BR"/>
              </w:rPr>
              <w:t>Full country</w:t>
            </w:r>
          </w:p>
        </w:tc>
        <w:tc>
          <w:tcPr>
            <w:tcW w:w="3330" w:type="dxa"/>
          </w:tcPr>
          <w:p w14:paraId="6A07050E" w14:textId="794FB61D" w:rsidR="0080458A" w:rsidRPr="002C2C75" w:rsidRDefault="0080458A" w:rsidP="0080458A">
            <w:pPr>
              <w:spacing w:after="0"/>
              <w:rPr>
                <w:rFonts w:eastAsia="Calibri" w:cstheme="minorHAnsi"/>
                <w:sz w:val="16"/>
                <w:szCs w:val="16"/>
                <w:lang w:val="pt-BR"/>
              </w:rPr>
            </w:pPr>
            <w:r w:rsidRPr="002C2C75">
              <w:rPr>
                <w:rFonts w:eastAsia="Calibri" w:cstheme="minorHAnsi"/>
                <w:sz w:val="16"/>
                <w:szCs w:val="16"/>
                <w:lang w:val="pt-BR"/>
              </w:rPr>
              <w:t xml:space="preserve">GFATM = </w:t>
            </w:r>
            <w:r w:rsidRPr="002C2C75">
              <w:rPr>
                <w:rFonts w:eastAsia="Calibri" w:cstheme="minorHAnsi"/>
                <w:b/>
                <w:bCs/>
                <w:sz w:val="16"/>
                <w:szCs w:val="16"/>
                <w:lang w:val="pt-BR"/>
              </w:rPr>
              <w:t>$21,</w:t>
            </w:r>
            <w:r w:rsidR="000B7DED" w:rsidRPr="002C2C75">
              <w:rPr>
                <w:rFonts w:eastAsia="Calibri" w:cstheme="minorHAnsi"/>
                <w:b/>
                <w:bCs/>
                <w:sz w:val="16"/>
                <w:szCs w:val="16"/>
                <w:lang w:val="pt-BR"/>
              </w:rPr>
              <w:t>2</w:t>
            </w:r>
            <w:r w:rsidR="007D74E4" w:rsidRPr="002C2C75">
              <w:rPr>
                <w:rFonts w:eastAsia="Calibri" w:cstheme="minorHAnsi"/>
                <w:b/>
                <w:bCs/>
                <w:sz w:val="16"/>
                <w:szCs w:val="16"/>
                <w:lang w:val="pt-BR"/>
              </w:rPr>
              <w:t>53</w:t>
            </w:r>
            <w:r w:rsidR="000B17D6" w:rsidRPr="002C2C75">
              <w:rPr>
                <w:rFonts w:eastAsia="Calibri" w:cstheme="minorHAnsi"/>
                <w:b/>
                <w:bCs/>
                <w:sz w:val="16"/>
                <w:szCs w:val="16"/>
                <w:lang w:val="pt-BR"/>
              </w:rPr>
              <w:t>,</w:t>
            </w:r>
            <w:r w:rsidR="007D74E4" w:rsidRPr="002C2C75">
              <w:rPr>
                <w:rFonts w:eastAsia="Calibri" w:cstheme="minorHAnsi"/>
                <w:b/>
                <w:bCs/>
                <w:sz w:val="16"/>
                <w:szCs w:val="16"/>
                <w:lang w:val="pt-BR"/>
              </w:rPr>
              <w:t>970</w:t>
            </w:r>
          </w:p>
        </w:tc>
      </w:tr>
      <w:tr w:rsidR="0080458A" w:rsidRPr="002C2C75" w14:paraId="253E93FC" w14:textId="77777777" w:rsidTr="00C00272">
        <w:trPr>
          <w:trHeight w:val="728"/>
        </w:trPr>
        <w:tc>
          <w:tcPr>
            <w:tcW w:w="1247" w:type="dxa"/>
            <w:vMerge/>
          </w:tcPr>
          <w:p w14:paraId="36ADF696" w14:textId="2426257B" w:rsidR="0080458A" w:rsidRPr="002C2C75" w:rsidRDefault="0080458A" w:rsidP="0080458A">
            <w:pPr>
              <w:spacing w:after="0"/>
              <w:rPr>
                <w:rFonts w:eastAsia="Calibri" w:cstheme="minorHAnsi"/>
                <w:sz w:val="16"/>
                <w:szCs w:val="16"/>
              </w:rPr>
            </w:pPr>
          </w:p>
        </w:tc>
        <w:tc>
          <w:tcPr>
            <w:tcW w:w="528" w:type="dxa"/>
          </w:tcPr>
          <w:p w14:paraId="4AD99D6D" w14:textId="781C17D3" w:rsidR="0080458A" w:rsidRPr="002C2C75" w:rsidRDefault="0080458A" w:rsidP="0080458A">
            <w:pPr>
              <w:spacing w:after="0"/>
              <w:rPr>
                <w:rFonts w:eastAsia="Calibri" w:cstheme="minorHAnsi"/>
                <w:sz w:val="16"/>
                <w:szCs w:val="16"/>
              </w:rPr>
            </w:pPr>
            <w:r w:rsidRPr="002C2C75">
              <w:rPr>
                <w:rFonts w:eastAsia="Calibri" w:cstheme="minorHAnsi"/>
                <w:sz w:val="16"/>
                <w:szCs w:val="16"/>
              </w:rPr>
              <w:t>1b</w:t>
            </w:r>
          </w:p>
        </w:tc>
        <w:tc>
          <w:tcPr>
            <w:tcW w:w="1730" w:type="dxa"/>
          </w:tcPr>
          <w:p w14:paraId="19793CA3" w14:textId="77777777" w:rsidR="0080458A" w:rsidRPr="002C2C75" w:rsidRDefault="0080458A" w:rsidP="0080458A">
            <w:pPr>
              <w:spacing w:after="0"/>
              <w:rPr>
                <w:rFonts w:eastAsia="Calibri" w:cstheme="minorHAnsi"/>
                <w:sz w:val="16"/>
                <w:szCs w:val="16"/>
              </w:rPr>
            </w:pPr>
            <w:r w:rsidRPr="002C2C75">
              <w:rPr>
                <w:rFonts w:eastAsia="Calibri" w:cstheme="minorHAnsi"/>
                <w:sz w:val="16"/>
                <w:szCs w:val="16"/>
              </w:rPr>
              <w:t xml:space="preserve">Dual-AI ITNs </w:t>
            </w:r>
          </w:p>
          <w:p w14:paraId="5B17EB1E" w14:textId="77777777" w:rsidR="0080458A" w:rsidRPr="002C2C75" w:rsidRDefault="0080458A" w:rsidP="0080458A">
            <w:pPr>
              <w:spacing w:after="0"/>
              <w:rPr>
                <w:rFonts w:eastAsia="Calibri" w:cstheme="minorHAnsi"/>
                <w:sz w:val="16"/>
                <w:szCs w:val="16"/>
              </w:rPr>
            </w:pPr>
            <w:r w:rsidRPr="002C2C75">
              <w:rPr>
                <w:rFonts w:eastAsia="Calibri" w:cstheme="minorHAnsi"/>
                <w:sz w:val="16"/>
                <w:szCs w:val="16"/>
              </w:rPr>
              <w:t>(mass distribution)</w:t>
            </w:r>
          </w:p>
        </w:tc>
        <w:tc>
          <w:tcPr>
            <w:tcW w:w="3780" w:type="dxa"/>
          </w:tcPr>
          <w:p w14:paraId="3FA3B6B0" w14:textId="492BF599" w:rsidR="0080458A" w:rsidRPr="002C2C75" w:rsidRDefault="0080458A" w:rsidP="0080458A">
            <w:pPr>
              <w:spacing w:after="0"/>
              <w:rPr>
                <w:rFonts w:eastAsia="Calibri" w:cstheme="minorHAnsi"/>
                <w:sz w:val="16"/>
                <w:szCs w:val="16"/>
                <w:lang w:val="pt-BR"/>
              </w:rPr>
            </w:pPr>
            <w:r w:rsidRPr="002C2C75">
              <w:rPr>
                <w:rFonts w:eastAsia="Calibri" w:cstheme="minorHAnsi"/>
                <w:sz w:val="16"/>
                <w:szCs w:val="16"/>
                <w:lang w:val="pt-BR"/>
              </w:rPr>
              <w:t>Cabo Delgado, Niaassa, Zambezia, Nampula, Manica, Tete, Sofala, Inhambane, Gaza</w:t>
            </w:r>
          </w:p>
          <w:p w14:paraId="06A46125" w14:textId="77777777" w:rsidR="0080458A" w:rsidRPr="002C2C75" w:rsidRDefault="0080458A" w:rsidP="0080458A">
            <w:pPr>
              <w:spacing w:after="0"/>
              <w:rPr>
                <w:rFonts w:eastAsia="Calibri" w:cstheme="minorHAnsi"/>
                <w:sz w:val="16"/>
                <w:szCs w:val="16"/>
                <w:lang w:val="pt-BR"/>
              </w:rPr>
            </w:pPr>
          </w:p>
          <w:p w14:paraId="6B2F8ECC" w14:textId="491F6BE2" w:rsidR="005463AF" w:rsidRPr="002C2C75" w:rsidRDefault="00AA22F2" w:rsidP="0080458A">
            <w:pPr>
              <w:spacing w:after="0"/>
              <w:rPr>
                <w:rFonts w:eastAsia="Calibri" w:cstheme="minorHAnsi"/>
                <w:i/>
                <w:iCs/>
                <w:sz w:val="16"/>
                <w:szCs w:val="16"/>
              </w:rPr>
            </w:pPr>
            <w:r w:rsidRPr="002C2C75">
              <w:rPr>
                <w:rFonts w:eastAsia="Calibri" w:cstheme="minorHAnsi"/>
                <w:i/>
                <w:iCs/>
                <w:sz w:val="16"/>
                <w:szCs w:val="16"/>
              </w:rPr>
              <w:t xml:space="preserve">Pemba included, other </w:t>
            </w:r>
            <w:r w:rsidR="0080458A" w:rsidRPr="002C2C75">
              <w:rPr>
                <w:rFonts w:eastAsia="Calibri" w:cstheme="minorHAnsi"/>
                <w:i/>
                <w:iCs/>
                <w:sz w:val="16"/>
                <w:szCs w:val="16"/>
              </w:rPr>
              <w:t>provincial capitals</w:t>
            </w:r>
            <w:r w:rsidR="00030CA9" w:rsidRPr="002C2C75">
              <w:rPr>
                <w:rFonts w:eastAsia="Calibri" w:cstheme="minorHAnsi"/>
                <w:i/>
                <w:iCs/>
                <w:sz w:val="16"/>
                <w:szCs w:val="16"/>
              </w:rPr>
              <w:t xml:space="preserve"> </w:t>
            </w:r>
            <w:r w:rsidRPr="002C2C75">
              <w:rPr>
                <w:rFonts w:eastAsia="Calibri" w:cstheme="minorHAnsi"/>
                <w:i/>
                <w:iCs/>
                <w:sz w:val="16"/>
                <w:szCs w:val="16"/>
              </w:rPr>
              <w:t>lower priority</w:t>
            </w:r>
          </w:p>
        </w:tc>
        <w:tc>
          <w:tcPr>
            <w:tcW w:w="3330" w:type="dxa"/>
          </w:tcPr>
          <w:p w14:paraId="6DF58763" w14:textId="700B011F" w:rsidR="0080458A" w:rsidRPr="002C2C75" w:rsidRDefault="0080458A" w:rsidP="0080458A">
            <w:pPr>
              <w:spacing w:after="0"/>
              <w:rPr>
                <w:rFonts w:eastAsia="Calibri" w:cstheme="minorHAnsi"/>
                <w:b/>
                <w:bCs/>
                <w:sz w:val="16"/>
                <w:szCs w:val="16"/>
              </w:rPr>
            </w:pPr>
            <w:r w:rsidRPr="002C2C75">
              <w:rPr>
                <w:rFonts w:eastAsia="Calibri" w:cstheme="minorHAnsi"/>
                <w:sz w:val="16"/>
                <w:szCs w:val="16"/>
              </w:rPr>
              <w:t xml:space="preserve">GFATM = </w:t>
            </w:r>
            <w:r w:rsidRPr="002C2C75">
              <w:rPr>
                <w:rFonts w:eastAsia="Calibri" w:cstheme="minorHAnsi"/>
                <w:b/>
                <w:bCs/>
                <w:sz w:val="16"/>
                <w:szCs w:val="16"/>
              </w:rPr>
              <w:t>$</w:t>
            </w:r>
            <w:r w:rsidR="00CB720E" w:rsidRPr="002C2C75">
              <w:rPr>
                <w:rFonts w:eastAsia="Calibri" w:cstheme="minorHAnsi"/>
                <w:b/>
                <w:bCs/>
                <w:sz w:val="16"/>
                <w:szCs w:val="16"/>
              </w:rPr>
              <w:t>9</w:t>
            </w:r>
            <w:r w:rsidR="0075422A" w:rsidRPr="002C2C75">
              <w:rPr>
                <w:rFonts w:eastAsia="Calibri" w:cstheme="minorHAnsi"/>
                <w:b/>
                <w:bCs/>
                <w:sz w:val="16"/>
                <w:szCs w:val="16"/>
              </w:rPr>
              <w:t>2,652,751</w:t>
            </w:r>
          </w:p>
          <w:p w14:paraId="68CDA74B" w14:textId="77777777" w:rsidR="00C00272" w:rsidRPr="002C2C75" w:rsidRDefault="00C00272" w:rsidP="0080458A">
            <w:pPr>
              <w:spacing w:after="0"/>
              <w:rPr>
                <w:rFonts w:eastAsia="Calibri" w:cstheme="minorHAnsi"/>
                <w:b/>
                <w:bCs/>
                <w:sz w:val="16"/>
                <w:szCs w:val="16"/>
              </w:rPr>
            </w:pPr>
          </w:p>
          <w:p w14:paraId="1A861775" w14:textId="4D99B83E" w:rsidR="00C00272" w:rsidRPr="002C2C75" w:rsidRDefault="00C00272" w:rsidP="0080458A">
            <w:pPr>
              <w:spacing w:after="0"/>
              <w:rPr>
                <w:rFonts w:eastAsia="Calibri" w:cstheme="minorHAnsi"/>
                <w:b/>
                <w:bCs/>
                <w:sz w:val="16"/>
                <w:szCs w:val="16"/>
              </w:rPr>
            </w:pPr>
            <w:r w:rsidRPr="002C2C75">
              <w:rPr>
                <w:rFonts w:eastAsia="Calibri" w:cstheme="minorHAnsi"/>
                <w:i/>
                <w:iCs/>
                <w:sz w:val="14"/>
                <w:szCs w:val="14"/>
              </w:rPr>
              <w:t>Note: ITN quantification utilized data from the past 3 campaigns to analyze variance from official INE population projections, to solve challenges with under-quantification. Budget constraints forced this variance amount into PAAR – but it must be filled prior to 2025/26 distribution to ensure high coverage in highest-risk areas.</w:t>
            </w:r>
          </w:p>
        </w:tc>
      </w:tr>
      <w:tr w:rsidR="0080458A" w:rsidRPr="002C2C75" w14:paraId="7A1C2054" w14:textId="77777777" w:rsidTr="00C00272">
        <w:trPr>
          <w:trHeight w:val="444"/>
        </w:trPr>
        <w:tc>
          <w:tcPr>
            <w:tcW w:w="1247" w:type="dxa"/>
            <w:vMerge/>
          </w:tcPr>
          <w:p w14:paraId="05F0DB47" w14:textId="77777777" w:rsidR="0080458A" w:rsidRPr="002C2C75" w:rsidRDefault="0080458A" w:rsidP="0080458A">
            <w:pPr>
              <w:spacing w:after="0"/>
              <w:rPr>
                <w:rFonts w:eastAsia="Calibri" w:cstheme="minorHAnsi"/>
                <w:sz w:val="16"/>
                <w:szCs w:val="16"/>
              </w:rPr>
            </w:pPr>
          </w:p>
        </w:tc>
        <w:tc>
          <w:tcPr>
            <w:tcW w:w="528" w:type="dxa"/>
          </w:tcPr>
          <w:p w14:paraId="0418E260" w14:textId="77777777" w:rsidR="0080458A" w:rsidRPr="002C2C75" w:rsidRDefault="0080458A" w:rsidP="0080458A">
            <w:pPr>
              <w:spacing w:after="0"/>
              <w:rPr>
                <w:rFonts w:eastAsia="Calibri" w:cstheme="minorHAnsi"/>
                <w:sz w:val="16"/>
                <w:szCs w:val="16"/>
                <w:lang w:val="pt-BR"/>
              </w:rPr>
            </w:pPr>
            <w:r w:rsidRPr="002C2C75">
              <w:rPr>
                <w:rFonts w:eastAsia="Calibri" w:cstheme="minorHAnsi"/>
                <w:sz w:val="16"/>
                <w:szCs w:val="16"/>
                <w:lang w:val="pt-BR"/>
              </w:rPr>
              <w:t>1c</w:t>
            </w:r>
          </w:p>
        </w:tc>
        <w:tc>
          <w:tcPr>
            <w:tcW w:w="1730" w:type="dxa"/>
          </w:tcPr>
          <w:p w14:paraId="49B13D77" w14:textId="56C331F9" w:rsidR="0080458A" w:rsidRPr="002C2C75" w:rsidRDefault="0080458A" w:rsidP="0080458A">
            <w:pPr>
              <w:spacing w:after="0"/>
              <w:rPr>
                <w:rFonts w:eastAsia="Calibri" w:cstheme="minorHAnsi"/>
                <w:sz w:val="16"/>
                <w:szCs w:val="16"/>
                <w:lang w:val="pt-BR"/>
              </w:rPr>
            </w:pPr>
            <w:r w:rsidRPr="002C2C75">
              <w:rPr>
                <w:rFonts w:eastAsia="Calibri" w:cstheme="minorHAnsi"/>
                <w:sz w:val="16"/>
                <w:szCs w:val="16"/>
                <w:lang w:val="pt-BR"/>
              </w:rPr>
              <w:t>IRS (</w:t>
            </w:r>
            <w:r w:rsidR="002F4205" w:rsidRPr="002C2C75">
              <w:rPr>
                <w:rFonts w:eastAsia="Calibri" w:cstheme="minorHAnsi"/>
                <w:sz w:val="16"/>
                <w:szCs w:val="16"/>
                <w:lang w:val="pt-BR"/>
              </w:rPr>
              <w:t>regional elimination</w:t>
            </w:r>
            <w:r w:rsidRPr="002C2C75">
              <w:rPr>
                <w:rFonts w:eastAsia="Calibri" w:cstheme="minorHAnsi"/>
                <w:sz w:val="16"/>
                <w:szCs w:val="16"/>
                <w:lang w:val="pt-BR"/>
              </w:rPr>
              <w:t xml:space="preserve"> targets)</w:t>
            </w:r>
          </w:p>
        </w:tc>
        <w:tc>
          <w:tcPr>
            <w:tcW w:w="3780" w:type="dxa"/>
          </w:tcPr>
          <w:p w14:paraId="07C250D9" w14:textId="7F6291A2" w:rsidR="0080458A" w:rsidRPr="002C2C75" w:rsidRDefault="0080458A" w:rsidP="0080458A">
            <w:pPr>
              <w:spacing w:after="0"/>
              <w:rPr>
                <w:rFonts w:eastAsia="Calibri" w:cstheme="minorHAnsi"/>
                <w:sz w:val="16"/>
                <w:szCs w:val="16"/>
              </w:rPr>
            </w:pPr>
            <w:r w:rsidRPr="002C2C75">
              <w:rPr>
                <w:rFonts w:eastAsia="Calibri" w:cstheme="minorHAnsi"/>
                <w:sz w:val="16"/>
                <w:szCs w:val="16"/>
              </w:rPr>
              <w:t>High priority regional targets: high burden districts of Inhambane, Gaza, and Maputo Province</w:t>
            </w:r>
          </w:p>
        </w:tc>
        <w:tc>
          <w:tcPr>
            <w:tcW w:w="3330" w:type="dxa"/>
          </w:tcPr>
          <w:p w14:paraId="4F5B3C10" w14:textId="7FA8877C" w:rsidR="0080458A" w:rsidRPr="002C2C75" w:rsidRDefault="0080458A" w:rsidP="0080458A">
            <w:pPr>
              <w:spacing w:after="0"/>
              <w:rPr>
                <w:rFonts w:eastAsia="Calibri" w:cstheme="minorHAnsi"/>
                <w:sz w:val="16"/>
                <w:szCs w:val="16"/>
              </w:rPr>
            </w:pPr>
            <w:r w:rsidRPr="002C2C75">
              <w:rPr>
                <w:rFonts w:eastAsia="Calibri" w:cstheme="minorHAnsi"/>
                <w:sz w:val="16"/>
                <w:szCs w:val="16"/>
                <w:u w:val="single"/>
              </w:rPr>
              <w:t xml:space="preserve">Insecticide and operations: </w:t>
            </w:r>
            <w:r w:rsidRPr="002C2C75">
              <w:rPr>
                <w:rFonts w:eastAsia="Calibri" w:cstheme="minorHAnsi"/>
                <w:sz w:val="16"/>
                <w:szCs w:val="16"/>
              </w:rPr>
              <w:t xml:space="preserve">MOSASWA GFATM, SA government = </w:t>
            </w:r>
            <w:r w:rsidRPr="002C2C75">
              <w:rPr>
                <w:rFonts w:eastAsia="Calibri" w:cstheme="minorHAnsi"/>
                <w:b/>
                <w:bCs/>
                <w:sz w:val="16"/>
                <w:szCs w:val="16"/>
              </w:rPr>
              <w:t xml:space="preserve">Full cost </w:t>
            </w:r>
            <w:r w:rsidRPr="002C2C75">
              <w:rPr>
                <w:rFonts w:eastAsia="Calibri" w:cstheme="minorHAnsi"/>
                <w:sz w:val="16"/>
                <w:szCs w:val="16"/>
              </w:rPr>
              <w:t>(est. $28.3)</w:t>
            </w:r>
          </w:p>
        </w:tc>
      </w:tr>
      <w:tr w:rsidR="0080458A" w:rsidRPr="002C2C75" w14:paraId="436BB4EC" w14:textId="77777777" w:rsidTr="00C00272">
        <w:trPr>
          <w:trHeight w:val="148"/>
        </w:trPr>
        <w:tc>
          <w:tcPr>
            <w:tcW w:w="1247" w:type="dxa"/>
            <w:vMerge w:val="restart"/>
          </w:tcPr>
          <w:p w14:paraId="241133A6" w14:textId="77777777" w:rsidR="0080458A" w:rsidRPr="002C2C75" w:rsidRDefault="0080458A" w:rsidP="0080458A">
            <w:pPr>
              <w:spacing w:after="0"/>
              <w:rPr>
                <w:rFonts w:eastAsia="Calibri" w:cstheme="minorHAnsi"/>
                <w:sz w:val="16"/>
                <w:szCs w:val="16"/>
              </w:rPr>
            </w:pPr>
            <w:r w:rsidRPr="002C2C75">
              <w:rPr>
                <w:rFonts w:eastAsia="Calibri" w:cstheme="minorHAnsi"/>
                <w:sz w:val="16"/>
                <w:szCs w:val="16"/>
              </w:rPr>
              <w:t>High</w:t>
            </w:r>
          </w:p>
        </w:tc>
        <w:tc>
          <w:tcPr>
            <w:tcW w:w="528" w:type="dxa"/>
          </w:tcPr>
          <w:p w14:paraId="42F727F8" w14:textId="77777777" w:rsidR="0080458A" w:rsidRPr="002C2C75" w:rsidRDefault="0080458A" w:rsidP="0080458A">
            <w:pPr>
              <w:spacing w:after="0"/>
              <w:rPr>
                <w:rFonts w:eastAsia="Calibri" w:cstheme="minorHAnsi"/>
                <w:sz w:val="16"/>
                <w:szCs w:val="16"/>
              </w:rPr>
            </w:pPr>
            <w:r w:rsidRPr="002C2C75">
              <w:rPr>
                <w:rFonts w:eastAsia="Calibri" w:cstheme="minorHAnsi"/>
                <w:sz w:val="16"/>
                <w:szCs w:val="16"/>
              </w:rPr>
              <w:t>2a</w:t>
            </w:r>
          </w:p>
        </w:tc>
        <w:tc>
          <w:tcPr>
            <w:tcW w:w="1730" w:type="dxa"/>
          </w:tcPr>
          <w:p w14:paraId="1EC52592" w14:textId="77777777" w:rsidR="0080458A" w:rsidRPr="002C2C75" w:rsidRDefault="0080458A" w:rsidP="0080458A">
            <w:pPr>
              <w:spacing w:after="0"/>
              <w:rPr>
                <w:rFonts w:eastAsia="Calibri" w:cstheme="minorHAnsi"/>
                <w:sz w:val="16"/>
                <w:szCs w:val="16"/>
              </w:rPr>
            </w:pPr>
            <w:r w:rsidRPr="002C2C75">
              <w:rPr>
                <w:rFonts w:eastAsia="Calibri" w:cstheme="minorHAnsi"/>
                <w:sz w:val="16"/>
                <w:szCs w:val="16"/>
              </w:rPr>
              <w:t>SMC</w:t>
            </w:r>
          </w:p>
        </w:tc>
        <w:tc>
          <w:tcPr>
            <w:tcW w:w="3780" w:type="dxa"/>
          </w:tcPr>
          <w:p w14:paraId="538E059E" w14:textId="77777777" w:rsidR="00AF1A18" w:rsidRPr="002C2C75" w:rsidRDefault="0080458A" w:rsidP="0080458A">
            <w:pPr>
              <w:spacing w:after="0"/>
              <w:rPr>
                <w:rFonts w:eastAsia="Calibri" w:cstheme="minorHAnsi"/>
                <w:sz w:val="16"/>
                <w:szCs w:val="16"/>
              </w:rPr>
            </w:pPr>
            <w:r w:rsidRPr="002C2C75">
              <w:rPr>
                <w:rFonts w:eastAsia="Calibri" w:cstheme="minorHAnsi"/>
                <w:sz w:val="16"/>
                <w:szCs w:val="16"/>
              </w:rPr>
              <w:t>Nampula</w:t>
            </w:r>
          </w:p>
          <w:p w14:paraId="0C3F08AA" w14:textId="4398AF68" w:rsidR="0080458A" w:rsidRPr="002C2C75" w:rsidRDefault="0080458A" w:rsidP="0080458A">
            <w:pPr>
              <w:spacing w:after="0"/>
              <w:rPr>
                <w:rFonts w:eastAsia="Calibri" w:cstheme="minorHAnsi"/>
                <w:sz w:val="16"/>
                <w:szCs w:val="16"/>
              </w:rPr>
            </w:pPr>
            <w:r w:rsidRPr="002C2C75">
              <w:rPr>
                <w:rFonts w:eastAsia="Calibri" w:cstheme="minorHAnsi"/>
                <w:sz w:val="16"/>
                <w:szCs w:val="16"/>
              </w:rPr>
              <w:t>Niassa</w:t>
            </w:r>
          </w:p>
        </w:tc>
        <w:tc>
          <w:tcPr>
            <w:tcW w:w="3330" w:type="dxa"/>
          </w:tcPr>
          <w:p w14:paraId="2DF0E551" w14:textId="72FAC140" w:rsidR="0080458A" w:rsidRPr="002C2C75" w:rsidRDefault="0080458A" w:rsidP="0080458A">
            <w:pPr>
              <w:spacing w:after="0"/>
              <w:rPr>
                <w:rFonts w:eastAsia="Calibri" w:cstheme="minorHAnsi"/>
                <w:sz w:val="16"/>
                <w:szCs w:val="16"/>
              </w:rPr>
            </w:pPr>
            <w:r w:rsidRPr="002C2C75">
              <w:rPr>
                <w:rFonts w:eastAsia="Calibri" w:cstheme="minorHAnsi"/>
                <w:sz w:val="16"/>
                <w:szCs w:val="16"/>
              </w:rPr>
              <w:t xml:space="preserve">MC/Givewell = </w:t>
            </w:r>
            <w:r w:rsidRPr="002C2C75">
              <w:rPr>
                <w:rFonts w:eastAsia="Calibri" w:cstheme="minorHAnsi"/>
                <w:b/>
                <w:bCs/>
                <w:sz w:val="16"/>
                <w:szCs w:val="16"/>
              </w:rPr>
              <w:t xml:space="preserve">Full cost </w:t>
            </w:r>
            <w:r w:rsidRPr="002C2C75">
              <w:rPr>
                <w:rFonts w:eastAsia="Calibri" w:cstheme="minorHAnsi"/>
                <w:sz w:val="16"/>
                <w:szCs w:val="16"/>
              </w:rPr>
              <w:t>(est. $</w:t>
            </w:r>
            <w:r w:rsidR="006D67ED" w:rsidRPr="002C2C75">
              <w:rPr>
                <w:rFonts w:eastAsia="Calibri" w:cstheme="minorHAnsi"/>
                <w:sz w:val="16"/>
                <w:szCs w:val="16"/>
              </w:rPr>
              <w:t>3</w:t>
            </w:r>
            <w:r w:rsidRPr="002C2C75">
              <w:rPr>
                <w:rFonts w:eastAsia="Calibri" w:cstheme="minorHAnsi"/>
                <w:sz w:val="16"/>
                <w:szCs w:val="16"/>
              </w:rPr>
              <w:t>3.</w:t>
            </w:r>
            <w:r w:rsidR="006D67ED" w:rsidRPr="002C2C75">
              <w:rPr>
                <w:rFonts w:eastAsia="Calibri" w:cstheme="minorHAnsi"/>
                <w:sz w:val="16"/>
                <w:szCs w:val="16"/>
              </w:rPr>
              <w:t>9</w:t>
            </w:r>
            <w:r w:rsidRPr="002C2C75">
              <w:rPr>
                <w:rFonts w:eastAsia="Calibri" w:cstheme="minorHAnsi"/>
                <w:sz w:val="16"/>
                <w:szCs w:val="16"/>
              </w:rPr>
              <w:t>M)</w:t>
            </w:r>
          </w:p>
          <w:p w14:paraId="693C2531" w14:textId="0862AC51" w:rsidR="00AF1A18" w:rsidRPr="002C2C75" w:rsidRDefault="00AF1A18" w:rsidP="0080458A">
            <w:pPr>
              <w:spacing w:after="0"/>
              <w:rPr>
                <w:rFonts w:eastAsia="Calibri" w:cstheme="minorHAnsi"/>
                <w:sz w:val="16"/>
                <w:szCs w:val="16"/>
              </w:rPr>
            </w:pPr>
            <w:r w:rsidRPr="002C2C75">
              <w:rPr>
                <w:rFonts w:eastAsia="Calibri" w:cstheme="minorHAnsi"/>
                <w:sz w:val="16"/>
                <w:szCs w:val="16"/>
              </w:rPr>
              <w:t xml:space="preserve">GFATM = </w:t>
            </w:r>
            <w:r w:rsidRPr="002C2C75">
              <w:rPr>
                <w:rFonts w:eastAsia="Calibri" w:cstheme="minorHAnsi"/>
                <w:b/>
                <w:bCs/>
                <w:sz w:val="16"/>
                <w:szCs w:val="16"/>
              </w:rPr>
              <w:t>$1</w:t>
            </w:r>
            <w:r w:rsidR="00AA22F2" w:rsidRPr="002C2C75">
              <w:rPr>
                <w:rFonts w:eastAsia="Calibri" w:cstheme="minorHAnsi"/>
                <w:b/>
                <w:bCs/>
                <w:sz w:val="16"/>
                <w:szCs w:val="16"/>
              </w:rPr>
              <w:t>0</w:t>
            </w:r>
            <w:r w:rsidR="00CE2A9D" w:rsidRPr="002C2C75">
              <w:rPr>
                <w:rFonts w:eastAsia="Calibri" w:cstheme="minorHAnsi"/>
                <w:b/>
                <w:bCs/>
                <w:sz w:val="16"/>
                <w:szCs w:val="16"/>
              </w:rPr>
              <w:t>,</w:t>
            </w:r>
            <w:r w:rsidR="00AA22F2" w:rsidRPr="002C2C75">
              <w:rPr>
                <w:rFonts w:eastAsia="Calibri" w:cstheme="minorHAnsi"/>
                <w:b/>
                <w:bCs/>
                <w:sz w:val="16"/>
                <w:szCs w:val="16"/>
              </w:rPr>
              <w:t>940</w:t>
            </w:r>
            <w:r w:rsidRPr="002C2C75">
              <w:rPr>
                <w:rFonts w:eastAsia="Calibri" w:cstheme="minorHAnsi"/>
                <w:b/>
                <w:bCs/>
                <w:sz w:val="16"/>
                <w:szCs w:val="16"/>
              </w:rPr>
              <w:t>,</w:t>
            </w:r>
            <w:r w:rsidR="00AA22F2" w:rsidRPr="002C2C75">
              <w:rPr>
                <w:rFonts w:eastAsia="Calibri" w:cstheme="minorHAnsi"/>
                <w:b/>
                <w:bCs/>
                <w:sz w:val="16"/>
                <w:szCs w:val="16"/>
              </w:rPr>
              <w:t>641</w:t>
            </w:r>
          </w:p>
        </w:tc>
      </w:tr>
      <w:tr w:rsidR="0080458A" w:rsidRPr="002C2C75" w14:paraId="4585743C" w14:textId="77777777" w:rsidTr="00C00272">
        <w:trPr>
          <w:trHeight w:val="148"/>
        </w:trPr>
        <w:tc>
          <w:tcPr>
            <w:tcW w:w="1247" w:type="dxa"/>
            <w:vMerge/>
          </w:tcPr>
          <w:p w14:paraId="16089FB3" w14:textId="77777777" w:rsidR="0080458A" w:rsidRPr="002C2C75" w:rsidRDefault="0080458A" w:rsidP="0080458A">
            <w:pPr>
              <w:spacing w:after="0"/>
              <w:rPr>
                <w:rFonts w:eastAsia="Calibri" w:cstheme="minorHAnsi"/>
                <w:sz w:val="16"/>
                <w:szCs w:val="16"/>
              </w:rPr>
            </w:pPr>
          </w:p>
        </w:tc>
        <w:tc>
          <w:tcPr>
            <w:tcW w:w="528" w:type="dxa"/>
          </w:tcPr>
          <w:p w14:paraId="63E340F6" w14:textId="77777777" w:rsidR="0080458A" w:rsidRPr="002C2C75" w:rsidRDefault="0080458A" w:rsidP="0080458A">
            <w:pPr>
              <w:spacing w:after="0"/>
              <w:rPr>
                <w:rFonts w:eastAsia="Calibri" w:cstheme="minorHAnsi"/>
                <w:sz w:val="16"/>
                <w:szCs w:val="16"/>
              </w:rPr>
            </w:pPr>
            <w:r w:rsidRPr="002C2C75">
              <w:rPr>
                <w:rFonts w:eastAsia="Calibri" w:cstheme="minorHAnsi"/>
                <w:sz w:val="16"/>
                <w:szCs w:val="16"/>
              </w:rPr>
              <w:t>2b</w:t>
            </w:r>
          </w:p>
        </w:tc>
        <w:tc>
          <w:tcPr>
            <w:tcW w:w="1730" w:type="dxa"/>
          </w:tcPr>
          <w:p w14:paraId="203FFA48" w14:textId="77777777" w:rsidR="0080458A" w:rsidRPr="002C2C75" w:rsidRDefault="0080458A" w:rsidP="0080458A">
            <w:pPr>
              <w:spacing w:after="0"/>
              <w:rPr>
                <w:rFonts w:eastAsia="Calibri" w:cstheme="minorHAnsi"/>
                <w:sz w:val="16"/>
                <w:szCs w:val="16"/>
              </w:rPr>
            </w:pPr>
            <w:r w:rsidRPr="002C2C75">
              <w:rPr>
                <w:rFonts w:eastAsia="Calibri" w:cstheme="minorHAnsi"/>
                <w:sz w:val="16"/>
                <w:szCs w:val="16"/>
              </w:rPr>
              <w:t>PMC</w:t>
            </w:r>
          </w:p>
        </w:tc>
        <w:tc>
          <w:tcPr>
            <w:tcW w:w="3780" w:type="dxa"/>
          </w:tcPr>
          <w:p w14:paraId="5171589F" w14:textId="77777777" w:rsidR="0080458A" w:rsidRPr="002C2C75" w:rsidRDefault="0080458A" w:rsidP="0080458A">
            <w:pPr>
              <w:spacing w:after="0"/>
              <w:rPr>
                <w:rFonts w:eastAsia="Calibri" w:cstheme="minorHAnsi"/>
                <w:sz w:val="16"/>
                <w:szCs w:val="16"/>
              </w:rPr>
            </w:pPr>
            <w:r w:rsidRPr="002C2C75">
              <w:rPr>
                <w:rFonts w:eastAsia="Calibri" w:cstheme="minorHAnsi"/>
                <w:sz w:val="16"/>
                <w:szCs w:val="16"/>
              </w:rPr>
              <w:t>Sofala</w:t>
            </w:r>
          </w:p>
          <w:p w14:paraId="6AA1A879" w14:textId="77777777" w:rsidR="000B7DED" w:rsidRPr="002C2C75" w:rsidRDefault="000B7DED" w:rsidP="0080458A">
            <w:pPr>
              <w:spacing w:after="0"/>
              <w:rPr>
                <w:rFonts w:eastAsia="Calibri" w:cstheme="minorHAnsi"/>
                <w:sz w:val="16"/>
                <w:szCs w:val="16"/>
              </w:rPr>
            </w:pPr>
          </w:p>
          <w:p w14:paraId="0461BC02" w14:textId="71732D66" w:rsidR="0080458A" w:rsidRPr="002C2C75" w:rsidRDefault="0080458A" w:rsidP="0080458A">
            <w:pPr>
              <w:spacing w:after="0"/>
              <w:rPr>
                <w:rFonts w:eastAsia="Calibri" w:cstheme="minorHAnsi"/>
                <w:sz w:val="16"/>
                <w:szCs w:val="16"/>
              </w:rPr>
            </w:pPr>
            <w:r w:rsidRPr="002C2C75">
              <w:rPr>
                <w:rFonts w:eastAsia="Calibri" w:cstheme="minorHAnsi"/>
                <w:sz w:val="16"/>
                <w:szCs w:val="16"/>
              </w:rPr>
              <w:t>Zambezia</w:t>
            </w:r>
          </w:p>
        </w:tc>
        <w:tc>
          <w:tcPr>
            <w:tcW w:w="3330" w:type="dxa"/>
          </w:tcPr>
          <w:p w14:paraId="34764FF3" w14:textId="2CE181EF" w:rsidR="0080458A" w:rsidRPr="002C2C75" w:rsidRDefault="0080458A" w:rsidP="0080458A">
            <w:pPr>
              <w:spacing w:after="0"/>
              <w:rPr>
                <w:rFonts w:eastAsia="Calibri" w:cstheme="minorHAnsi"/>
                <w:sz w:val="16"/>
                <w:szCs w:val="16"/>
              </w:rPr>
            </w:pPr>
            <w:r w:rsidRPr="002C2C75">
              <w:rPr>
                <w:rFonts w:eastAsia="Calibri" w:cstheme="minorHAnsi"/>
                <w:sz w:val="16"/>
                <w:szCs w:val="16"/>
              </w:rPr>
              <w:t xml:space="preserve">PSI/Unitaid = </w:t>
            </w:r>
            <w:r w:rsidRPr="002C2C75">
              <w:rPr>
                <w:rFonts w:eastAsia="Calibri" w:cstheme="minorHAnsi"/>
                <w:b/>
                <w:bCs/>
                <w:sz w:val="16"/>
                <w:szCs w:val="16"/>
              </w:rPr>
              <w:t>Full cost</w:t>
            </w:r>
            <w:r w:rsidR="00AF1A18" w:rsidRPr="002C2C75">
              <w:rPr>
                <w:rFonts w:eastAsia="Calibri" w:cstheme="minorHAnsi"/>
                <w:b/>
                <w:bCs/>
                <w:sz w:val="16"/>
                <w:szCs w:val="16"/>
              </w:rPr>
              <w:t xml:space="preserve"> </w:t>
            </w:r>
            <w:r w:rsidR="00AF1A18" w:rsidRPr="002C2C75">
              <w:rPr>
                <w:rFonts w:eastAsia="Calibri" w:cstheme="minorHAnsi"/>
                <w:sz w:val="16"/>
                <w:szCs w:val="16"/>
              </w:rPr>
              <w:t>2024</w:t>
            </w:r>
            <w:r w:rsidRPr="002C2C75">
              <w:rPr>
                <w:rFonts w:eastAsia="Calibri" w:cstheme="minorHAnsi"/>
                <w:b/>
                <w:bCs/>
                <w:sz w:val="16"/>
                <w:szCs w:val="16"/>
              </w:rPr>
              <w:t xml:space="preserve"> </w:t>
            </w:r>
            <w:r w:rsidRPr="002C2C75">
              <w:rPr>
                <w:rFonts w:eastAsia="Calibri" w:cstheme="minorHAnsi"/>
                <w:sz w:val="16"/>
                <w:szCs w:val="16"/>
              </w:rPr>
              <w:t>(est. $</w:t>
            </w:r>
            <w:r w:rsidR="00AF1A18" w:rsidRPr="002C2C75">
              <w:rPr>
                <w:rFonts w:eastAsia="Calibri" w:cstheme="minorHAnsi"/>
                <w:sz w:val="16"/>
                <w:szCs w:val="16"/>
              </w:rPr>
              <w:t>0.9</w:t>
            </w:r>
            <w:r w:rsidRPr="002C2C75">
              <w:rPr>
                <w:rFonts w:eastAsia="Calibri" w:cstheme="minorHAnsi"/>
                <w:sz w:val="16"/>
                <w:szCs w:val="16"/>
              </w:rPr>
              <w:t>M</w:t>
            </w:r>
            <w:r w:rsidR="00AF1A18" w:rsidRPr="002C2C75">
              <w:rPr>
                <w:rFonts w:eastAsia="Calibri" w:cstheme="minorHAnsi"/>
                <w:sz w:val="16"/>
                <w:szCs w:val="16"/>
              </w:rPr>
              <w:t>)</w:t>
            </w:r>
          </w:p>
          <w:p w14:paraId="62427049" w14:textId="529FACAB" w:rsidR="00AF1A18" w:rsidRPr="002C2C75" w:rsidRDefault="00AF1A18" w:rsidP="0080458A">
            <w:pPr>
              <w:spacing w:after="0"/>
              <w:rPr>
                <w:rFonts w:eastAsia="Calibri" w:cstheme="minorHAnsi"/>
                <w:b/>
                <w:bCs/>
                <w:sz w:val="16"/>
                <w:szCs w:val="16"/>
              </w:rPr>
            </w:pPr>
            <w:r w:rsidRPr="002C2C75">
              <w:rPr>
                <w:rFonts w:eastAsia="Calibri" w:cstheme="minorHAnsi"/>
                <w:sz w:val="16"/>
                <w:szCs w:val="16"/>
              </w:rPr>
              <w:t>GFATM</w:t>
            </w:r>
            <w:r w:rsidR="000B7DED" w:rsidRPr="002C2C75">
              <w:rPr>
                <w:rFonts w:eastAsia="Calibri" w:cstheme="minorHAnsi"/>
                <w:sz w:val="16"/>
                <w:szCs w:val="16"/>
              </w:rPr>
              <w:t xml:space="preserve"> (2025/26)</w:t>
            </w:r>
            <w:r w:rsidRPr="002C2C75">
              <w:rPr>
                <w:rFonts w:eastAsia="Calibri" w:cstheme="minorHAnsi"/>
                <w:sz w:val="16"/>
                <w:szCs w:val="16"/>
              </w:rPr>
              <w:t xml:space="preserve"> = </w:t>
            </w:r>
            <w:r w:rsidRPr="002C2C75">
              <w:rPr>
                <w:rFonts w:eastAsia="Calibri" w:cstheme="minorHAnsi"/>
                <w:b/>
                <w:bCs/>
                <w:sz w:val="16"/>
                <w:szCs w:val="16"/>
              </w:rPr>
              <w:t>$1,807,205</w:t>
            </w:r>
          </w:p>
          <w:p w14:paraId="39E5F219" w14:textId="77777777" w:rsidR="0080458A" w:rsidRPr="002C2C75" w:rsidRDefault="0080458A" w:rsidP="0080458A">
            <w:pPr>
              <w:spacing w:after="0"/>
              <w:rPr>
                <w:rFonts w:eastAsia="Calibri" w:cstheme="minorHAnsi"/>
                <w:sz w:val="16"/>
                <w:szCs w:val="16"/>
              </w:rPr>
            </w:pPr>
            <w:r w:rsidRPr="002C2C75">
              <w:rPr>
                <w:rFonts w:eastAsia="Calibri" w:cstheme="minorHAnsi"/>
                <w:sz w:val="16"/>
                <w:szCs w:val="16"/>
              </w:rPr>
              <w:t xml:space="preserve">PMI = </w:t>
            </w:r>
            <w:r w:rsidRPr="002C2C75">
              <w:rPr>
                <w:rFonts w:eastAsia="Calibri" w:cstheme="minorHAnsi"/>
                <w:b/>
                <w:bCs/>
                <w:sz w:val="16"/>
                <w:szCs w:val="16"/>
              </w:rPr>
              <w:t xml:space="preserve">Full cost </w:t>
            </w:r>
            <w:r w:rsidRPr="002C2C75">
              <w:rPr>
                <w:rFonts w:eastAsia="Calibri" w:cstheme="minorHAnsi"/>
                <w:sz w:val="16"/>
                <w:szCs w:val="16"/>
              </w:rPr>
              <w:t>(est. $6.6M)</w:t>
            </w:r>
          </w:p>
        </w:tc>
      </w:tr>
      <w:tr w:rsidR="0080458A" w:rsidRPr="002C2C75" w14:paraId="48F852F7" w14:textId="77777777" w:rsidTr="00C00272">
        <w:trPr>
          <w:trHeight w:val="148"/>
        </w:trPr>
        <w:tc>
          <w:tcPr>
            <w:tcW w:w="1247" w:type="dxa"/>
            <w:vMerge/>
          </w:tcPr>
          <w:p w14:paraId="2BC902C1" w14:textId="77777777" w:rsidR="0080458A" w:rsidRPr="002C2C75" w:rsidRDefault="0080458A" w:rsidP="0080458A">
            <w:pPr>
              <w:spacing w:after="0"/>
              <w:rPr>
                <w:rFonts w:eastAsia="Calibri" w:cstheme="minorHAnsi"/>
                <w:sz w:val="16"/>
                <w:szCs w:val="16"/>
              </w:rPr>
            </w:pPr>
          </w:p>
        </w:tc>
        <w:tc>
          <w:tcPr>
            <w:tcW w:w="528" w:type="dxa"/>
          </w:tcPr>
          <w:p w14:paraId="597B8199" w14:textId="77777777" w:rsidR="0080458A" w:rsidRPr="002C2C75" w:rsidRDefault="0080458A" w:rsidP="0080458A">
            <w:pPr>
              <w:spacing w:after="0"/>
              <w:rPr>
                <w:rFonts w:eastAsia="Calibri" w:cstheme="minorHAnsi"/>
                <w:sz w:val="16"/>
                <w:szCs w:val="16"/>
              </w:rPr>
            </w:pPr>
            <w:r w:rsidRPr="002C2C75">
              <w:rPr>
                <w:rFonts w:eastAsia="Calibri" w:cstheme="minorHAnsi"/>
                <w:sz w:val="16"/>
                <w:szCs w:val="16"/>
              </w:rPr>
              <w:t>2c</w:t>
            </w:r>
          </w:p>
        </w:tc>
        <w:tc>
          <w:tcPr>
            <w:tcW w:w="1730" w:type="dxa"/>
          </w:tcPr>
          <w:p w14:paraId="7227C277" w14:textId="77777777" w:rsidR="0080458A" w:rsidRPr="002C2C75" w:rsidRDefault="0080458A" w:rsidP="0080458A">
            <w:pPr>
              <w:spacing w:after="0"/>
              <w:rPr>
                <w:rFonts w:eastAsia="Calibri" w:cstheme="minorHAnsi"/>
                <w:sz w:val="16"/>
                <w:szCs w:val="16"/>
              </w:rPr>
            </w:pPr>
            <w:r w:rsidRPr="002C2C75">
              <w:rPr>
                <w:rFonts w:eastAsia="Calibri" w:cstheme="minorHAnsi"/>
                <w:sz w:val="16"/>
                <w:szCs w:val="16"/>
              </w:rPr>
              <w:t>Malaria vaccine (RTS,S)</w:t>
            </w:r>
          </w:p>
        </w:tc>
        <w:tc>
          <w:tcPr>
            <w:tcW w:w="3780" w:type="dxa"/>
          </w:tcPr>
          <w:p w14:paraId="7A5C410B" w14:textId="3584FDAC" w:rsidR="0080458A" w:rsidRPr="002C2C75" w:rsidRDefault="001D0D37" w:rsidP="0080458A">
            <w:pPr>
              <w:spacing w:after="0"/>
              <w:rPr>
                <w:rFonts w:eastAsia="Calibri" w:cstheme="minorHAnsi"/>
                <w:sz w:val="16"/>
                <w:szCs w:val="16"/>
              </w:rPr>
            </w:pPr>
            <w:r w:rsidRPr="002C2C75">
              <w:rPr>
                <w:rFonts w:eastAsia="Calibri" w:cstheme="minorHAnsi"/>
                <w:sz w:val="16"/>
                <w:szCs w:val="16"/>
              </w:rPr>
              <w:t>18</w:t>
            </w:r>
            <w:r w:rsidR="0080458A" w:rsidRPr="002C2C75">
              <w:rPr>
                <w:rFonts w:eastAsia="Calibri" w:cstheme="minorHAnsi"/>
                <w:sz w:val="16"/>
                <w:szCs w:val="16"/>
              </w:rPr>
              <w:t xml:space="preserve"> districts of Zambezia, 11 districts of Nampula</w:t>
            </w:r>
          </w:p>
        </w:tc>
        <w:tc>
          <w:tcPr>
            <w:tcW w:w="3330" w:type="dxa"/>
          </w:tcPr>
          <w:p w14:paraId="40383FE7" w14:textId="77777777" w:rsidR="0080458A" w:rsidRPr="002C2C75" w:rsidRDefault="0080458A" w:rsidP="0080458A">
            <w:pPr>
              <w:spacing w:after="0"/>
              <w:rPr>
                <w:rFonts w:eastAsia="Calibri" w:cstheme="minorHAnsi"/>
                <w:sz w:val="16"/>
                <w:szCs w:val="16"/>
              </w:rPr>
            </w:pPr>
            <w:r w:rsidRPr="002C2C75">
              <w:rPr>
                <w:rFonts w:eastAsia="Calibri" w:cstheme="minorHAnsi"/>
                <w:sz w:val="16"/>
                <w:szCs w:val="16"/>
              </w:rPr>
              <w:t xml:space="preserve">Gavi = </w:t>
            </w:r>
            <w:r w:rsidRPr="002C2C75">
              <w:rPr>
                <w:rFonts w:eastAsia="Calibri" w:cstheme="minorHAnsi"/>
                <w:b/>
                <w:bCs/>
                <w:sz w:val="16"/>
                <w:szCs w:val="16"/>
              </w:rPr>
              <w:t xml:space="preserve">Full cost </w:t>
            </w:r>
            <w:r w:rsidRPr="002C2C75">
              <w:rPr>
                <w:rFonts w:eastAsia="Calibri" w:cstheme="minorHAnsi"/>
                <w:sz w:val="16"/>
                <w:szCs w:val="16"/>
              </w:rPr>
              <w:t>(est. $42.2M)</w:t>
            </w:r>
          </w:p>
        </w:tc>
      </w:tr>
      <w:tr w:rsidR="0080458A" w:rsidRPr="002C2C75" w14:paraId="5779C554" w14:textId="77777777" w:rsidTr="00C00272">
        <w:trPr>
          <w:trHeight w:val="148"/>
        </w:trPr>
        <w:tc>
          <w:tcPr>
            <w:tcW w:w="1247" w:type="dxa"/>
            <w:vMerge/>
          </w:tcPr>
          <w:p w14:paraId="7993A398" w14:textId="77777777" w:rsidR="0080458A" w:rsidRPr="002C2C75" w:rsidRDefault="0080458A" w:rsidP="0080458A">
            <w:pPr>
              <w:spacing w:after="0"/>
              <w:rPr>
                <w:rFonts w:eastAsia="Calibri" w:cstheme="minorHAnsi"/>
                <w:sz w:val="16"/>
                <w:szCs w:val="16"/>
              </w:rPr>
            </w:pPr>
          </w:p>
        </w:tc>
        <w:tc>
          <w:tcPr>
            <w:tcW w:w="528" w:type="dxa"/>
          </w:tcPr>
          <w:p w14:paraId="2FF80491" w14:textId="77777777" w:rsidR="0080458A" w:rsidRPr="002C2C75" w:rsidRDefault="0080458A" w:rsidP="0080458A">
            <w:pPr>
              <w:spacing w:after="0"/>
              <w:rPr>
                <w:rFonts w:eastAsia="Calibri" w:cstheme="minorHAnsi"/>
                <w:sz w:val="16"/>
                <w:szCs w:val="16"/>
              </w:rPr>
            </w:pPr>
            <w:r w:rsidRPr="002C2C75">
              <w:rPr>
                <w:rFonts w:eastAsia="Calibri" w:cstheme="minorHAnsi"/>
                <w:sz w:val="16"/>
                <w:szCs w:val="16"/>
              </w:rPr>
              <w:t>2d</w:t>
            </w:r>
          </w:p>
        </w:tc>
        <w:tc>
          <w:tcPr>
            <w:tcW w:w="1730" w:type="dxa"/>
          </w:tcPr>
          <w:p w14:paraId="58D3FC60" w14:textId="77777777" w:rsidR="0080458A" w:rsidRPr="002C2C75" w:rsidRDefault="0080458A" w:rsidP="0080458A">
            <w:pPr>
              <w:spacing w:after="0"/>
              <w:rPr>
                <w:rFonts w:eastAsia="Calibri" w:cstheme="minorHAnsi"/>
                <w:sz w:val="16"/>
                <w:szCs w:val="16"/>
              </w:rPr>
            </w:pPr>
            <w:r w:rsidRPr="002C2C75">
              <w:rPr>
                <w:rFonts w:eastAsia="Calibri" w:cstheme="minorHAnsi"/>
                <w:sz w:val="16"/>
                <w:szCs w:val="16"/>
              </w:rPr>
              <w:t>SMC</w:t>
            </w:r>
          </w:p>
        </w:tc>
        <w:tc>
          <w:tcPr>
            <w:tcW w:w="3780" w:type="dxa"/>
          </w:tcPr>
          <w:p w14:paraId="5785D693" w14:textId="650AA065" w:rsidR="0080458A" w:rsidRPr="002C2C75" w:rsidRDefault="0080458A" w:rsidP="0080458A">
            <w:pPr>
              <w:spacing w:after="0"/>
              <w:rPr>
                <w:rFonts w:eastAsia="Calibri" w:cstheme="minorHAnsi"/>
                <w:sz w:val="16"/>
                <w:szCs w:val="16"/>
              </w:rPr>
            </w:pPr>
            <w:r w:rsidRPr="002C2C75">
              <w:rPr>
                <w:rFonts w:eastAsia="Calibri" w:cstheme="minorHAnsi"/>
                <w:sz w:val="16"/>
                <w:szCs w:val="16"/>
              </w:rPr>
              <w:t>6 districts of Cabo Delgado</w:t>
            </w:r>
            <w:r w:rsidR="000B7DED" w:rsidRPr="002C2C75">
              <w:rPr>
                <w:rFonts w:eastAsia="Calibri" w:cstheme="minorHAnsi"/>
                <w:sz w:val="16"/>
                <w:szCs w:val="16"/>
              </w:rPr>
              <w:t xml:space="preserve"> (</w:t>
            </w:r>
            <w:r w:rsidR="000B7DED" w:rsidRPr="002C2C75">
              <w:rPr>
                <w:rFonts w:eastAsia="Calibri" w:cstheme="minorHAnsi"/>
                <w:i/>
                <w:iCs/>
                <w:sz w:val="16"/>
                <w:szCs w:val="16"/>
              </w:rPr>
              <w:t>beginning 2025</w:t>
            </w:r>
            <w:r w:rsidR="000B7DED" w:rsidRPr="002C2C75">
              <w:rPr>
                <w:rFonts w:eastAsia="Calibri" w:cstheme="minorHAnsi"/>
                <w:sz w:val="16"/>
                <w:szCs w:val="16"/>
              </w:rPr>
              <w:t>)</w:t>
            </w:r>
          </w:p>
        </w:tc>
        <w:tc>
          <w:tcPr>
            <w:tcW w:w="3330" w:type="dxa"/>
          </w:tcPr>
          <w:p w14:paraId="4485AE3A" w14:textId="7507CE3A" w:rsidR="0080458A" w:rsidRPr="002C2C75" w:rsidRDefault="0080458A" w:rsidP="0080458A">
            <w:pPr>
              <w:spacing w:after="0"/>
              <w:rPr>
                <w:rFonts w:eastAsia="Calibri" w:cstheme="minorHAnsi"/>
                <w:b/>
                <w:bCs/>
                <w:sz w:val="16"/>
                <w:szCs w:val="16"/>
              </w:rPr>
            </w:pPr>
            <w:r w:rsidRPr="002C2C75">
              <w:rPr>
                <w:rFonts w:eastAsia="Calibri" w:cstheme="minorHAnsi"/>
                <w:sz w:val="16"/>
                <w:szCs w:val="16"/>
              </w:rPr>
              <w:t xml:space="preserve">PAAR = </w:t>
            </w:r>
            <w:r w:rsidRPr="002C2C75">
              <w:rPr>
                <w:rFonts w:eastAsia="Calibri" w:cstheme="minorHAnsi"/>
                <w:b/>
                <w:bCs/>
                <w:sz w:val="16"/>
                <w:szCs w:val="16"/>
              </w:rPr>
              <w:t>$</w:t>
            </w:r>
            <w:r w:rsidR="000B7DED" w:rsidRPr="002C2C75">
              <w:rPr>
                <w:rFonts w:eastAsia="Calibri" w:cstheme="minorHAnsi"/>
                <w:b/>
                <w:bCs/>
                <w:sz w:val="16"/>
                <w:szCs w:val="16"/>
              </w:rPr>
              <w:t>4,</w:t>
            </w:r>
            <w:r w:rsidR="00AA22F2" w:rsidRPr="002C2C75">
              <w:rPr>
                <w:rFonts w:eastAsia="Calibri" w:cstheme="minorHAnsi"/>
                <w:b/>
                <w:bCs/>
                <w:sz w:val="16"/>
                <w:szCs w:val="16"/>
              </w:rPr>
              <w:t>279</w:t>
            </w:r>
            <w:r w:rsidR="000B7DED" w:rsidRPr="002C2C75">
              <w:rPr>
                <w:rFonts w:eastAsia="Calibri" w:cstheme="minorHAnsi"/>
                <w:b/>
                <w:bCs/>
                <w:sz w:val="16"/>
                <w:szCs w:val="16"/>
              </w:rPr>
              <w:t>,</w:t>
            </w:r>
            <w:r w:rsidR="00AA22F2" w:rsidRPr="002C2C75">
              <w:rPr>
                <w:rFonts w:eastAsia="Calibri" w:cstheme="minorHAnsi"/>
                <w:b/>
                <w:bCs/>
                <w:sz w:val="16"/>
                <w:szCs w:val="16"/>
              </w:rPr>
              <w:t>298</w:t>
            </w:r>
          </w:p>
        </w:tc>
      </w:tr>
      <w:tr w:rsidR="0080458A" w:rsidRPr="002C2C75" w14:paraId="6649782F" w14:textId="77777777" w:rsidTr="00C00272">
        <w:trPr>
          <w:trHeight w:val="148"/>
        </w:trPr>
        <w:tc>
          <w:tcPr>
            <w:tcW w:w="1247" w:type="dxa"/>
            <w:vMerge/>
          </w:tcPr>
          <w:p w14:paraId="759414AF" w14:textId="77777777" w:rsidR="0080458A" w:rsidRPr="002C2C75" w:rsidRDefault="0080458A" w:rsidP="0080458A">
            <w:pPr>
              <w:spacing w:after="0"/>
              <w:rPr>
                <w:rFonts w:eastAsia="Calibri" w:cstheme="minorHAnsi"/>
                <w:sz w:val="16"/>
                <w:szCs w:val="16"/>
              </w:rPr>
            </w:pPr>
          </w:p>
        </w:tc>
        <w:tc>
          <w:tcPr>
            <w:tcW w:w="528" w:type="dxa"/>
          </w:tcPr>
          <w:p w14:paraId="4CEA705D" w14:textId="77777777" w:rsidR="0080458A" w:rsidRPr="002C2C75" w:rsidRDefault="0080458A" w:rsidP="0080458A">
            <w:pPr>
              <w:spacing w:after="0"/>
              <w:rPr>
                <w:rFonts w:eastAsia="Calibri" w:cstheme="minorHAnsi"/>
                <w:sz w:val="16"/>
                <w:szCs w:val="16"/>
              </w:rPr>
            </w:pPr>
            <w:r w:rsidRPr="002C2C75">
              <w:rPr>
                <w:rFonts w:eastAsia="Calibri" w:cstheme="minorHAnsi"/>
                <w:sz w:val="16"/>
                <w:szCs w:val="16"/>
              </w:rPr>
              <w:t>2e</w:t>
            </w:r>
          </w:p>
        </w:tc>
        <w:tc>
          <w:tcPr>
            <w:tcW w:w="1730" w:type="dxa"/>
          </w:tcPr>
          <w:p w14:paraId="58E5841D" w14:textId="77777777" w:rsidR="0080458A" w:rsidRPr="002C2C75" w:rsidRDefault="0080458A" w:rsidP="0080458A">
            <w:pPr>
              <w:spacing w:after="0"/>
              <w:rPr>
                <w:rFonts w:eastAsia="Calibri" w:cstheme="minorHAnsi"/>
                <w:sz w:val="16"/>
                <w:szCs w:val="16"/>
              </w:rPr>
            </w:pPr>
            <w:r w:rsidRPr="002C2C75">
              <w:rPr>
                <w:rFonts w:eastAsia="Calibri" w:cstheme="minorHAnsi"/>
                <w:sz w:val="16"/>
                <w:szCs w:val="16"/>
              </w:rPr>
              <w:t>PMC</w:t>
            </w:r>
          </w:p>
        </w:tc>
        <w:tc>
          <w:tcPr>
            <w:tcW w:w="3780" w:type="dxa"/>
          </w:tcPr>
          <w:p w14:paraId="780A2EB0" w14:textId="1ECAFBB2" w:rsidR="0080458A" w:rsidRPr="002C2C75" w:rsidRDefault="0080458A" w:rsidP="0080458A">
            <w:pPr>
              <w:spacing w:after="0"/>
              <w:rPr>
                <w:rFonts w:eastAsia="Calibri" w:cstheme="minorHAnsi"/>
                <w:sz w:val="16"/>
                <w:szCs w:val="16"/>
              </w:rPr>
            </w:pPr>
            <w:r w:rsidRPr="002C2C75">
              <w:rPr>
                <w:rFonts w:eastAsia="Calibri" w:cstheme="minorHAnsi"/>
                <w:sz w:val="16"/>
                <w:szCs w:val="16"/>
              </w:rPr>
              <w:t>11 districts of Cabo Delgado</w:t>
            </w:r>
            <w:r w:rsidR="000B7DED" w:rsidRPr="002C2C75">
              <w:rPr>
                <w:rFonts w:eastAsia="Calibri" w:cstheme="minorHAnsi"/>
                <w:sz w:val="16"/>
                <w:szCs w:val="16"/>
              </w:rPr>
              <w:t xml:space="preserve"> (</w:t>
            </w:r>
            <w:r w:rsidR="000B7DED" w:rsidRPr="002C2C75">
              <w:rPr>
                <w:rFonts w:eastAsia="Calibri" w:cstheme="minorHAnsi"/>
                <w:i/>
                <w:iCs/>
                <w:sz w:val="16"/>
                <w:szCs w:val="16"/>
              </w:rPr>
              <w:t>beginning 2025</w:t>
            </w:r>
            <w:r w:rsidR="000B7DED" w:rsidRPr="002C2C75">
              <w:rPr>
                <w:rFonts w:eastAsia="Calibri" w:cstheme="minorHAnsi"/>
                <w:sz w:val="16"/>
                <w:szCs w:val="16"/>
              </w:rPr>
              <w:t>)</w:t>
            </w:r>
          </w:p>
        </w:tc>
        <w:tc>
          <w:tcPr>
            <w:tcW w:w="3330" w:type="dxa"/>
          </w:tcPr>
          <w:p w14:paraId="39AE1431" w14:textId="4C1BD2B4" w:rsidR="0080458A" w:rsidRPr="002C2C75" w:rsidRDefault="0080458A" w:rsidP="0080458A">
            <w:pPr>
              <w:spacing w:after="0"/>
              <w:rPr>
                <w:rFonts w:eastAsia="Calibri" w:cstheme="minorHAnsi"/>
                <w:b/>
                <w:bCs/>
                <w:sz w:val="16"/>
                <w:szCs w:val="16"/>
              </w:rPr>
            </w:pPr>
            <w:r w:rsidRPr="002C2C75">
              <w:rPr>
                <w:rFonts w:eastAsia="Calibri" w:cstheme="minorHAnsi"/>
                <w:sz w:val="16"/>
                <w:szCs w:val="16"/>
              </w:rPr>
              <w:t xml:space="preserve">PAAR = </w:t>
            </w:r>
            <w:r w:rsidRPr="002C2C75">
              <w:rPr>
                <w:rFonts w:eastAsia="Calibri" w:cstheme="minorHAnsi"/>
                <w:b/>
                <w:bCs/>
                <w:sz w:val="16"/>
                <w:szCs w:val="16"/>
              </w:rPr>
              <w:t>$</w:t>
            </w:r>
            <w:r w:rsidR="000B7DED" w:rsidRPr="002C2C75">
              <w:rPr>
                <w:rFonts w:eastAsia="Calibri" w:cstheme="minorHAnsi"/>
                <w:b/>
                <w:bCs/>
                <w:sz w:val="16"/>
                <w:szCs w:val="16"/>
              </w:rPr>
              <w:t>897,280</w:t>
            </w:r>
          </w:p>
        </w:tc>
      </w:tr>
      <w:tr w:rsidR="0080458A" w:rsidRPr="002C2C75" w14:paraId="01957321" w14:textId="77777777" w:rsidTr="00C00272">
        <w:trPr>
          <w:trHeight w:val="138"/>
        </w:trPr>
        <w:tc>
          <w:tcPr>
            <w:tcW w:w="1247" w:type="dxa"/>
            <w:vMerge w:val="restart"/>
          </w:tcPr>
          <w:p w14:paraId="2B94A1DB" w14:textId="77777777" w:rsidR="0080458A" w:rsidRPr="002C2C75" w:rsidRDefault="0080458A" w:rsidP="0080458A">
            <w:pPr>
              <w:spacing w:after="0"/>
              <w:rPr>
                <w:rFonts w:eastAsia="Calibri" w:cstheme="minorHAnsi"/>
                <w:sz w:val="16"/>
                <w:szCs w:val="16"/>
              </w:rPr>
            </w:pPr>
            <w:r w:rsidRPr="002C2C75">
              <w:rPr>
                <w:rFonts w:eastAsia="Calibri" w:cstheme="minorHAnsi"/>
                <w:sz w:val="16"/>
                <w:szCs w:val="16"/>
              </w:rPr>
              <w:t>Moderate</w:t>
            </w:r>
          </w:p>
        </w:tc>
        <w:tc>
          <w:tcPr>
            <w:tcW w:w="528" w:type="dxa"/>
          </w:tcPr>
          <w:p w14:paraId="00120EED" w14:textId="77777777" w:rsidR="0080458A" w:rsidRPr="002C2C75" w:rsidRDefault="0080458A" w:rsidP="0080458A">
            <w:pPr>
              <w:spacing w:after="0"/>
              <w:rPr>
                <w:rFonts w:eastAsia="Calibri" w:cstheme="minorHAnsi"/>
                <w:sz w:val="16"/>
                <w:szCs w:val="16"/>
              </w:rPr>
            </w:pPr>
            <w:r w:rsidRPr="002C2C75">
              <w:rPr>
                <w:rFonts w:eastAsia="Calibri" w:cstheme="minorHAnsi"/>
                <w:sz w:val="16"/>
                <w:szCs w:val="16"/>
              </w:rPr>
              <w:t>3a</w:t>
            </w:r>
          </w:p>
        </w:tc>
        <w:tc>
          <w:tcPr>
            <w:tcW w:w="1730" w:type="dxa"/>
          </w:tcPr>
          <w:p w14:paraId="4FD34EB2" w14:textId="77777777" w:rsidR="0080458A" w:rsidRPr="002C2C75" w:rsidRDefault="0080458A" w:rsidP="0080458A">
            <w:pPr>
              <w:spacing w:after="0"/>
              <w:rPr>
                <w:rFonts w:eastAsia="Calibri" w:cstheme="minorHAnsi"/>
                <w:sz w:val="16"/>
                <w:szCs w:val="16"/>
              </w:rPr>
            </w:pPr>
            <w:r w:rsidRPr="002C2C75">
              <w:rPr>
                <w:rFonts w:eastAsia="Calibri" w:cstheme="minorHAnsi"/>
                <w:sz w:val="16"/>
                <w:szCs w:val="16"/>
              </w:rPr>
              <w:t>SMC</w:t>
            </w:r>
          </w:p>
        </w:tc>
        <w:tc>
          <w:tcPr>
            <w:tcW w:w="3780" w:type="dxa"/>
          </w:tcPr>
          <w:p w14:paraId="787EF022" w14:textId="228CB8DE" w:rsidR="0080458A" w:rsidRPr="002C2C75" w:rsidRDefault="0080458A" w:rsidP="0080458A">
            <w:pPr>
              <w:spacing w:after="0"/>
              <w:rPr>
                <w:rFonts w:eastAsia="Calibri" w:cstheme="minorHAnsi"/>
                <w:sz w:val="16"/>
                <w:szCs w:val="16"/>
              </w:rPr>
            </w:pPr>
            <w:r w:rsidRPr="002C2C75">
              <w:rPr>
                <w:rFonts w:eastAsia="Calibri" w:cstheme="minorHAnsi"/>
                <w:sz w:val="16"/>
                <w:szCs w:val="16"/>
              </w:rPr>
              <w:t>Manica Province</w:t>
            </w:r>
            <w:r w:rsidR="000B7DED" w:rsidRPr="002C2C75">
              <w:rPr>
                <w:rFonts w:eastAsia="Calibri" w:cstheme="minorHAnsi"/>
                <w:sz w:val="16"/>
                <w:szCs w:val="16"/>
              </w:rPr>
              <w:t xml:space="preserve"> (</w:t>
            </w:r>
            <w:r w:rsidR="000B7DED" w:rsidRPr="002C2C75">
              <w:rPr>
                <w:rFonts w:eastAsia="Calibri" w:cstheme="minorHAnsi"/>
                <w:i/>
                <w:iCs/>
                <w:sz w:val="16"/>
                <w:szCs w:val="16"/>
              </w:rPr>
              <w:t>beginning 2025</w:t>
            </w:r>
            <w:r w:rsidR="000B7DED" w:rsidRPr="002C2C75">
              <w:rPr>
                <w:rFonts w:eastAsia="Calibri" w:cstheme="minorHAnsi"/>
                <w:sz w:val="16"/>
                <w:szCs w:val="16"/>
              </w:rPr>
              <w:t>)</w:t>
            </w:r>
          </w:p>
        </w:tc>
        <w:tc>
          <w:tcPr>
            <w:tcW w:w="3330" w:type="dxa"/>
          </w:tcPr>
          <w:p w14:paraId="38CF3E4A" w14:textId="73560E4A" w:rsidR="0080458A" w:rsidRPr="002C2C75" w:rsidRDefault="0080458A" w:rsidP="0080458A">
            <w:pPr>
              <w:spacing w:after="0"/>
              <w:rPr>
                <w:rFonts w:eastAsia="Calibri" w:cstheme="minorHAnsi"/>
                <w:b/>
                <w:bCs/>
                <w:sz w:val="16"/>
                <w:szCs w:val="16"/>
              </w:rPr>
            </w:pPr>
            <w:r w:rsidRPr="002C2C75">
              <w:rPr>
                <w:rFonts w:eastAsia="Calibri" w:cstheme="minorHAnsi"/>
                <w:sz w:val="16"/>
                <w:szCs w:val="16"/>
              </w:rPr>
              <w:t xml:space="preserve">PAAR = </w:t>
            </w:r>
            <w:r w:rsidRPr="002C2C75">
              <w:rPr>
                <w:rFonts w:eastAsia="Calibri" w:cstheme="minorHAnsi"/>
                <w:b/>
                <w:bCs/>
                <w:sz w:val="16"/>
                <w:szCs w:val="16"/>
              </w:rPr>
              <w:t>$</w:t>
            </w:r>
            <w:r w:rsidR="00AA22F2" w:rsidRPr="002C2C75">
              <w:rPr>
                <w:rFonts w:eastAsia="Calibri" w:cstheme="minorHAnsi"/>
                <w:b/>
                <w:bCs/>
                <w:sz w:val="16"/>
                <w:szCs w:val="16"/>
              </w:rPr>
              <w:t>6</w:t>
            </w:r>
            <w:r w:rsidR="000B7DED" w:rsidRPr="002C2C75">
              <w:rPr>
                <w:rFonts w:eastAsia="Calibri" w:cstheme="minorHAnsi"/>
                <w:b/>
                <w:bCs/>
                <w:sz w:val="16"/>
                <w:szCs w:val="16"/>
              </w:rPr>
              <w:t>,</w:t>
            </w:r>
            <w:r w:rsidR="00AA22F2" w:rsidRPr="002C2C75">
              <w:rPr>
                <w:rFonts w:eastAsia="Calibri" w:cstheme="minorHAnsi"/>
                <w:b/>
                <w:bCs/>
                <w:sz w:val="16"/>
                <w:szCs w:val="16"/>
              </w:rPr>
              <w:t>929,448</w:t>
            </w:r>
          </w:p>
        </w:tc>
      </w:tr>
      <w:tr w:rsidR="0080458A" w:rsidRPr="002C2C75" w14:paraId="30FD41D0" w14:textId="77777777" w:rsidTr="00C00272">
        <w:trPr>
          <w:trHeight w:val="157"/>
        </w:trPr>
        <w:tc>
          <w:tcPr>
            <w:tcW w:w="1247" w:type="dxa"/>
            <w:vMerge/>
          </w:tcPr>
          <w:p w14:paraId="5D6E6F16" w14:textId="77777777" w:rsidR="0080458A" w:rsidRPr="002C2C75" w:rsidRDefault="0080458A" w:rsidP="0080458A">
            <w:pPr>
              <w:spacing w:after="0"/>
              <w:rPr>
                <w:rFonts w:eastAsia="Calibri" w:cstheme="minorHAnsi"/>
                <w:sz w:val="16"/>
                <w:szCs w:val="16"/>
              </w:rPr>
            </w:pPr>
          </w:p>
        </w:tc>
        <w:tc>
          <w:tcPr>
            <w:tcW w:w="528" w:type="dxa"/>
          </w:tcPr>
          <w:p w14:paraId="70A87E60" w14:textId="77777777" w:rsidR="0080458A" w:rsidRPr="002C2C75" w:rsidRDefault="0080458A" w:rsidP="0080458A">
            <w:pPr>
              <w:spacing w:after="0"/>
              <w:rPr>
                <w:rFonts w:eastAsia="Calibri" w:cstheme="minorHAnsi"/>
                <w:sz w:val="16"/>
                <w:szCs w:val="16"/>
              </w:rPr>
            </w:pPr>
            <w:r w:rsidRPr="002C2C75">
              <w:rPr>
                <w:rFonts w:eastAsia="Calibri" w:cstheme="minorHAnsi"/>
                <w:sz w:val="16"/>
                <w:szCs w:val="16"/>
              </w:rPr>
              <w:t>3b</w:t>
            </w:r>
          </w:p>
        </w:tc>
        <w:tc>
          <w:tcPr>
            <w:tcW w:w="1730" w:type="dxa"/>
          </w:tcPr>
          <w:p w14:paraId="0B0516F3" w14:textId="77777777" w:rsidR="0080458A" w:rsidRPr="002C2C75" w:rsidRDefault="0080458A" w:rsidP="0080458A">
            <w:pPr>
              <w:spacing w:after="0"/>
              <w:rPr>
                <w:rFonts w:eastAsia="Calibri" w:cstheme="minorHAnsi"/>
                <w:sz w:val="16"/>
                <w:szCs w:val="16"/>
              </w:rPr>
            </w:pPr>
            <w:r w:rsidRPr="002C2C75">
              <w:rPr>
                <w:rFonts w:eastAsia="Calibri" w:cstheme="minorHAnsi"/>
                <w:sz w:val="16"/>
                <w:szCs w:val="16"/>
              </w:rPr>
              <w:t>PMC</w:t>
            </w:r>
          </w:p>
        </w:tc>
        <w:tc>
          <w:tcPr>
            <w:tcW w:w="3780" w:type="dxa"/>
          </w:tcPr>
          <w:p w14:paraId="5D4E154F" w14:textId="1C1C93F4" w:rsidR="0080458A" w:rsidRPr="002C2C75" w:rsidRDefault="0080458A" w:rsidP="0080458A">
            <w:pPr>
              <w:spacing w:after="0"/>
              <w:rPr>
                <w:rFonts w:eastAsia="Calibri" w:cstheme="minorHAnsi"/>
                <w:sz w:val="16"/>
                <w:szCs w:val="16"/>
              </w:rPr>
            </w:pPr>
            <w:r w:rsidRPr="002C2C75">
              <w:rPr>
                <w:rFonts w:eastAsia="Calibri" w:cstheme="minorHAnsi"/>
                <w:sz w:val="16"/>
                <w:szCs w:val="16"/>
              </w:rPr>
              <w:t>Tete, Inhambane, Gaza</w:t>
            </w:r>
            <w:r w:rsidR="000B7DED" w:rsidRPr="002C2C75">
              <w:rPr>
                <w:rFonts w:eastAsia="Calibri" w:cstheme="minorHAnsi"/>
                <w:sz w:val="16"/>
                <w:szCs w:val="16"/>
              </w:rPr>
              <w:t xml:space="preserve"> (</w:t>
            </w:r>
            <w:r w:rsidR="000B7DED" w:rsidRPr="002C2C75">
              <w:rPr>
                <w:rFonts w:eastAsia="Calibri" w:cstheme="minorHAnsi"/>
                <w:i/>
                <w:iCs/>
                <w:sz w:val="16"/>
                <w:szCs w:val="16"/>
              </w:rPr>
              <w:t>beginning 2025</w:t>
            </w:r>
            <w:r w:rsidR="000B7DED" w:rsidRPr="002C2C75">
              <w:rPr>
                <w:rFonts w:eastAsia="Calibri" w:cstheme="minorHAnsi"/>
                <w:sz w:val="16"/>
                <w:szCs w:val="16"/>
              </w:rPr>
              <w:t>)</w:t>
            </w:r>
          </w:p>
        </w:tc>
        <w:tc>
          <w:tcPr>
            <w:tcW w:w="3330" w:type="dxa"/>
          </w:tcPr>
          <w:p w14:paraId="179457E9" w14:textId="23829161" w:rsidR="0080458A" w:rsidRPr="002C2C75" w:rsidRDefault="0080458A" w:rsidP="0080458A">
            <w:pPr>
              <w:spacing w:after="0"/>
              <w:rPr>
                <w:rFonts w:eastAsia="Calibri" w:cstheme="minorHAnsi"/>
                <w:sz w:val="16"/>
                <w:szCs w:val="16"/>
              </w:rPr>
            </w:pPr>
            <w:r w:rsidRPr="002C2C75">
              <w:rPr>
                <w:rFonts w:eastAsia="Calibri" w:cstheme="minorHAnsi"/>
                <w:sz w:val="16"/>
                <w:szCs w:val="16"/>
              </w:rPr>
              <w:t xml:space="preserve">PAAR = </w:t>
            </w:r>
            <w:r w:rsidRPr="002C2C75">
              <w:rPr>
                <w:rFonts w:eastAsia="Calibri" w:cstheme="minorHAnsi"/>
                <w:b/>
                <w:bCs/>
                <w:sz w:val="16"/>
                <w:szCs w:val="16"/>
              </w:rPr>
              <w:t>$</w:t>
            </w:r>
            <w:r w:rsidR="00A34F91" w:rsidRPr="002C2C75">
              <w:rPr>
                <w:rFonts w:eastAsia="Calibri" w:cstheme="minorHAnsi"/>
                <w:b/>
                <w:bCs/>
                <w:sz w:val="16"/>
                <w:szCs w:val="16"/>
              </w:rPr>
              <w:t>3,725,</w:t>
            </w:r>
            <w:r w:rsidRPr="002C2C75">
              <w:rPr>
                <w:rFonts w:eastAsia="Calibri" w:cstheme="minorHAnsi"/>
                <w:b/>
                <w:bCs/>
                <w:sz w:val="16"/>
                <w:szCs w:val="16"/>
              </w:rPr>
              <w:t>6</w:t>
            </w:r>
            <w:r w:rsidR="00A34F91" w:rsidRPr="002C2C75">
              <w:rPr>
                <w:rFonts w:eastAsia="Calibri" w:cstheme="minorHAnsi"/>
                <w:b/>
                <w:bCs/>
                <w:sz w:val="16"/>
                <w:szCs w:val="16"/>
              </w:rPr>
              <w:t>4</w:t>
            </w:r>
            <w:r w:rsidRPr="002C2C75">
              <w:rPr>
                <w:rFonts w:eastAsia="Calibri" w:cstheme="minorHAnsi"/>
                <w:b/>
                <w:bCs/>
                <w:sz w:val="16"/>
                <w:szCs w:val="16"/>
              </w:rPr>
              <w:t>0</w:t>
            </w:r>
          </w:p>
        </w:tc>
      </w:tr>
      <w:tr w:rsidR="002F4205" w:rsidRPr="002C2C75" w14:paraId="7DF1B413" w14:textId="77777777" w:rsidTr="00C00272">
        <w:trPr>
          <w:trHeight w:val="157"/>
        </w:trPr>
        <w:tc>
          <w:tcPr>
            <w:tcW w:w="1247" w:type="dxa"/>
            <w:vMerge/>
          </w:tcPr>
          <w:p w14:paraId="574798B7" w14:textId="77777777" w:rsidR="002F4205" w:rsidRPr="002C2C75" w:rsidRDefault="002F4205" w:rsidP="0080458A">
            <w:pPr>
              <w:spacing w:after="0"/>
              <w:rPr>
                <w:rFonts w:eastAsia="Calibri" w:cstheme="minorHAnsi"/>
                <w:sz w:val="16"/>
                <w:szCs w:val="16"/>
              </w:rPr>
            </w:pPr>
          </w:p>
        </w:tc>
        <w:tc>
          <w:tcPr>
            <w:tcW w:w="528" w:type="dxa"/>
          </w:tcPr>
          <w:p w14:paraId="70BA8F1A" w14:textId="6CAFCF96" w:rsidR="002F4205" w:rsidRPr="002C2C75" w:rsidRDefault="002F4205" w:rsidP="0080458A">
            <w:pPr>
              <w:spacing w:after="0"/>
              <w:rPr>
                <w:rFonts w:eastAsia="Calibri" w:cstheme="minorHAnsi"/>
                <w:sz w:val="16"/>
                <w:szCs w:val="16"/>
              </w:rPr>
            </w:pPr>
            <w:r w:rsidRPr="002C2C75">
              <w:rPr>
                <w:rFonts w:eastAsia="Calibri" w:cstheme="minorHAnsi"/>
                <w:sz w:val="16"/>
                <w:szCs w:val="16"/>
              </w:rPr>
              <w:t>3c</w:t>
            </w:r>
          </w:p>
        </w:tc>
        <w:tc>
          <w:tcPr>
            <w:tcW w:w="1730" w:type="dxa"/>
          </w:tcPr>
          <w:p w14:paraId="4010C47E" w14:textId="1157738B" w:rsidR="002F4205" w:rsidRPr="002C2C75" w:rsidRDefault="002F4205" w:rsidP="0080458A">
            <w:pPr>
              <w:spacing w:after="0"/>
              <w:rPr>
                <w:rFonts w:eastAsia="Calibri" w:cstheme="minorHAnsi"/>
                <w:sz w:val="16"/>
                <w:szCs w:val="16"/>
              </w:rPr>
            </w:pPr>
            <w:r w:rsidRPr="002C2C75">
              <w:rPr>
                <w:rFonts w:eastAsia="Calibri" w:cstheme="minorHAnsi"/>
                <w:sz w:val="16"/>
                <w:szCs w:val="16"/>
              </w:rPr>
              <w:t>IRS (core targets in Zambezia/Nampula)</w:t>
            </w:r>
          </w:p>
        </w:tc>
        <w:tc>
          <w:tcPr>
            <w:tcW w:w="3780" w:type="dxa"/>
          </w:tcPr>
          <w:p w14:paraId="5E4EECEA" w14:textId="062FB32E" w:rsidR="002F4205" w:rsidRPr="002C2C75" w:rsidRDefault="002F4205" w:rsidP="0080458A">
            <w:pPr>
              <w:spacing w:after="0"/>
              <w:rPr>
                <w:rFonts w:eastAsia="Calibri" w:cstheme="minorHAnsi"/>
                <w:sz w:val="16"/>
                <w:szCs w:val="16"/>
              </w:rPr>
            </w:pPr>
            <w:r w:rsidRPr="002C2C75">
              <w:rPr>
                <w:rFonts w:eastAsia="Calibri" w:cstheme="minorHAnsi"/>
                <w:sz w:val="16"/>
                <w:szCs w:val="16"/>
              </w:rPr>
              <w:t>Maintenance of high-priority targeted districts in Zambezia, Nampula</w:t>
            </w:r>
          </w:p>
        </w:tc>
        <w:tc>
          <w:tcPr>
            <w:tcW w:w="3330" w:type="dxa"/>
          </w:tcPr>
          <w:p w14:paraId="29B221DD" w14:textId="28956FFA" w:rsidR="002F4205" w:rsidRPr="002C2C75" w:rsidRDefault="002F4205" w:rsidP="002F4205">
            <w:pPr>
              <w:spacing w:after="0"/>
              <w:rPr>
                <w:rFonts w:eastAsia="Calibri" w:cstheme="minorHAnsi"/>
                <w:sz w:val="16"/>
                <w:szCs w:val="16"/>
              </w:rPr>
            </w:pPr>
            <w:r w:rsidRPr="002C2C75">
              <w:rPr>
                <w:rFonts w:eastAsia="Calibri" w:cstheme="minorHAnsi"/>
                <w:sz w:val="16"/>
                <w:szCs w:val="16"/>
                <w:u w:val="single"/>
              </w:rPr>
              <w:t>Insecticide:</w:t>
            </w:r>
            <w:r w:rsidRPr="002C2C75">
              <w:rPr>
                <w:rFonts w:eastAsia="Calibri" w:cstheme="minorHAnsi"/>
                <w:sz w:val="16"/>
                <w:szCs w:val="16"/>
              </w:rPr>
              <w:t xml:space="preserve">  PAAR = </w:t>
            </w:r>
            <w:r w:rsidRPr="002C2C75">
              <w:rPr>
                <w:rFonts w:eastAsia="Calibri" w:cstheme="minorHAnsi"/>
                <w:b/>
                <w:bCs/>
                <w:sz w:val="16"/>
                <w:szCs w:val="16"/>
              </w:rPr>
              <w:t>$2</w:t>
            </w:r>
            <w:r w:rsidR="0055692E" w:rsidRPr="002C2C75">
              <w:rPr>
                <w:rFonts w:eastAsia="Calibri" w:cstheme="minorHAnsi"/>
                <w:b/>
                <w:bCs/>
                <w:sz w:val="16"/>
                <w:szCs w:val="16"/>
              </w:rPr>
              <w:t>3</w:t>
            </w:r>
            <w:r w:rsidRPr="002C2C75">
              <w:rPr>
                <w:rFonts w:eastAsia="Calibri" w:cstheme="minorHAnsi"/>
                <w:b/>
                <w:bCs/>
                <w:sz w:val="16"/>
                <w:szCs w:val="16"/>
              </w:rPr>
              <w:t>,</w:t>
            </w:r>
            <w:r w:rsidR="0055692E" w:rsidRPr="002C2C75">
              <w:rPr>
                <w:rFonts w:eastAsia="Calibri" w:cstheme="minorHAnsi"/>
                <w:b/>
                <w:bCs/>
                <w:sz w:val="16"/>
                <w:szCs w:val="16"/>
              </w:rPr>
              <w:t>178</w:t>
            </w:r>
            <w:r w:rsidRPr="002C2C75">
              <w:rPr>
                <w:rFonts w:eastAsia="Calibri" w:cstheme="minorHAnsi"/>
                <w:b/>
                <w:bCs/>
                <w:sz w:val="16"/>
                <w:szCs w:val="16"/>
              </w:rPr>
              <w:t>,</w:t>
            </w:r>
            <w:r w:rsidR="0055692E" w:rsidRPr="002C2C75">
              <w:rPr>
                <w:rFonts w:eastAsia="Calibri" w:cstheme="minorHAnsi"/>
                <w:b/>
                <w:bCs/>
                <w:sz w:val="16"/>
                <w:szCs w:val="16"/>
              </w:rPr>
              <w:t>673</w:t>
            </w:r>
          </w:p>
          <w:p w14:paraId="14E3B05E" w14:textId="31C9E9D0" w:rsidR="002F4205" w:rsidRPr="002C2C75" w:rsidRDefault="002F4205" w:rsidP="002F4205">
            <w:pPr>
              <w:spacing w:after="0"/>
              <w:rPr>
                <w:rFonts w:eastAsia="Calibri" w:cstheme="minorHAnsi"/>
                <w:sz w:val="16"/>
                <w:szCs w:val="16"/>
              </w:rPr>
            </w:pPr>
            <w:r w:rsidRPr="002C2C75">
              <w:rPr>
                <w:rFonts w:eastAsia="Calibri" w:cstheme="minorHAnsi"/>
                <w:sz w:val="16"/>
                <w:szCs w:val="16"/>
              </w:rPr>
              <w:t xml:space="preserve">Operations: PMI, MOH = </w:t>
            </w:r>
            <w:r w:rsidRPr="002C2C75">
              <w:rPr>
                <w:rFonts w:eastAsia="Calibri" w:cstheme="minorHAnsi"/>
                <w:b/>
                <w:bCs/>
                <w:sz w:val="16"/>
                <w:szCs w:val="16"/>
              </w:rPr>
              <w:t>Full cost</w:t>
            </w:r>
          </w:p>
        </w:tc>
      </w:tr>
      <w:tr w:rsidR="0044486E" w:rsidRPr="002C2C75" w14:paraId="5A4A3017" w14:textId="77777777" w:rsidTr="00C00272">
        <w:trPr>
          <w:trHeight w:val="157"/>
        </w:trPr>
        <w:tc>
          <w:tcPr>
            <w:tcW w:w="1247" w:type="dxa"/>
            <w:vMerge/>
          </w:tcPr>
          <w:p w14:paraId="0FB429B3" w14:textId="77777777" w:rsidR="0044486E" w:rsidRPr="002C2C75" w:rsidRDefault="0044486E" w:rsidP="0044486E">
            <w:pPr>
              <w:spacing w:after="0"/>
              <w:rPr>
                <w:rFonts w:eastAsia="Calibri" w:cstheme="minorHAnsi"/>
                <w:sz w:val="16"/>
                <w:szCs w:val="16"/>
              </w:rPr>
            </w:pPr>
          </w:p>
        </w:tc>
        <w:tc>
          <w:tcPr>
            <w:tcW w:w="528" w:type="dxa"/>
          </w:tcPr>
          <w:p w14:paraId="0DB0837C" w14:textId="4DDDF92B" w:rsidR="0044486E" w:rsidRPr="002C2C75" w:rsidRDefault="0044486E" w:rsidP="0044486E">
            <w:pPr>
              <w:spacing w:after="0"/>
              <w:rPr>
                <w:rFonts w:eastAsia="Calibri" w:cstheme="minorHAnsi"/>
                <w:sz w:val="16"/>
                <w:szCs w:val="16"/>
              </w:rPr>
            </w:pPr>
            <w:r w:rsidRPr="002C2C75">
              <w:rPr>
                <w:rFonts w:eastAsia="Calibri" w:cstheme="minorHAnsi"/>
                <w:sz w:val="16"/>
                <w:szCs w:val="16"/>
              </w:rPr>
              <w:t>3</w:t>
            </w:r>
            <w:r w:rsidR="002F4205" w:rsidRPr="002C2C75">
              <w:rPr>
                <w:rFonts w:eastAsia="Calibri" w:cstheme="minorHAnsi"/>
                <w:sz w:val="16"/>
                <w:szCs w:val="16"/>
              </w:rPr>
              <w:t>d</w:t>
            </w:r>
          </w:p>
        </w:tc>
        <w:tc>
          <w:tcPr>
            <w:tcW w:w="1730" w:type="dxa"/>
          </w:tcPr>
          <w:p w14:paraId="47B0DC27" w14:textId="7F1E67E9" w:rsidR="0044486E" w:rsidRPr="002C2C75" w:rsidRDefault="0044486E" w:rsidP="0044486E">
            <w:pPr>
              <w:spacing w:after="0"/>
              <w:rPr>
                <w:rFonts w:eastAsia="Calibri" w:cstheme="minorHAnsi"/>
                <w:sz w:val="16"/>
                <w:szCs w:val="16"/>
              </w:rPr>
            </w:pPr>
            <w:r w:rsidRPr="002C2C75">
              <w:rPr>
                <w:rFonts w:eastAsia="Calibri" w:cstheme="minorHAnsi"/>
                <w:sz w:val="16"/>
                <w:szCs w:val="16"/>
              </w:rPr>
              <w:t>Larval source management</w:t>
            </w:r>
          </w:p>
        </w:tc>
        <w:tc>
          <w:tcPr>
            <w:tcW w:w="3780" w:type="dxa"/>
          </w:tcPr>
          <w:p w14:paraId="4C855CE4" w14:textId="77777777" w:rsidR="0044486E" w:rsidRPr="002C2C75" w:rsidRDefault="0044486E" w:rsidP="0044486E">
            <w:pPr>
              <w:spacing w:after="0"/>
              <w:rPr>
                <w:rFonts w:eastAsia="Calibri" w:cstheme="minorHAnsi"/>
                <w:sz w:val="16"/>
                <w:szCs w:val="16"/>
              </w:rPr>
            </w:pPr>
            <w:r w:rsidRPr="002C2C75">
              <w:rPr>
                <w:rFonts w:eastAsia="Calibri" w:cstheme="minorHAnsi"/>
                <w:sz w:val="16"/>
                <w:szCs w:val="16"/>
              </w:rPr>
              <w:t>Provincial capitals</w:t>
            </w:r>
          </w:p>
          <w:p w14:paraId="33496B6C" w14:textId="77777777" w:rsidR="0044486E" w:rsidRPr="002C2C75" w:rsidRDefault="0044486E" w:rsidP="0044486E">
            <w:pPr>
              <w:spacing w:after="0"/>
              <w:rPr>
                <w:rFonts w:eastAsia="Calibri" w:cstheme="minorHAnsi"/>
                <w:sz w:val="16"/>
                <w:szCs w:val="16"/>
              </w:rPr>
            </w:pPr>
          </w:p>
          <w:p w14:paraId="66FA8F2B" w14:textId="22AAEAD9" w:rsidR="0044486E" w:rsidRPr="002C2C75" w:rsidRDefault="0044486E" w:rsidP="0044486E">
            <w:pPr>
              <w:spacing w:after="0"/>
              <w:rPr>
                <w:rFonts w:eastAsia="Calibri" w:cstheme="minorHAnsi"/>
                <w:sz w:val="16"/>
                <w:szCs w:val="16"/>
              </w:rPr>
            </w:pPr>
            <w:r w:rsidRPr="002C2C75">
              <w:rPr>
                <w:rFonts w:eastAsia="Calibri" w:cstheme="minorHAnsi"/>
                <w:i/>
                <w:iCs/>
                <w:sz w:val="16"/>
                <w:szCs w:val="16"/>
              </w:rPr>
              <w:t>Priority level dependent on A. stephensi surveillance</w:t>
            </w:r>
          </w:p>
        </w:tc>
        <w:tc>
          <w:tcPr>
            <w:tcW w:w="3330" w:type="dxa"/>
          </w:tcPr>
          <w:p w14:paraId="35535E02" w14:textId="12004DCB" w:rsidR="0044486E" w:rsidRPr="002C2C75" w:rsidRDefault="0044486E" w:rsidP="0044486E">
            <w:pPr>
              <w:spacing w:after="0"/>
              <w:rPr>
                <w:rFonts w:eastAsia="Calibri" w:cstheme="minorHAnsi"/>
                <w:sz w:val="16"/>
                <w:szCs w:val="16"/>
              </w:rPr>
            </w:pPr>
            <w:r w:rsidRPr="002C2C75">
              <w:rPr>
                <w:rFonts w:eastAsia="Calibri" w:cstheme="minorHAnsi"/>
                <w:sz w:val="16"/>
                <w:szCs w:val="16"/>
              </w:rPr>
              <w:t xml:space="preserve">PAAR = </w:t>
            </w:r>
            <w:r w:rsidRPr="002C2C75">
              <w:rPr>
                <w:rFonts w:eastAsia="Calibri" w:cstheme="minorHAnsi"/>
                <w:b/>
                <w:bCs/>
                <w:sz w:val="16"/>
                <w:szCs w:val="16"/>
              </w:rPr>
              <w:t>$6,964,062</w:t>
            </w:r>
          </w:p>
        </w:tc>
      </w:tr>
      <w:tr w:rsidR="0044486E" w:rsidRPr="002C2C75" w14:paraId="29564B06" w14:textId="77777777" w:rsidTr="00C00272">
        <w:trPr>
          <w:trHeight w:val="157"/>
        </w:trPr>
        <w:tc>
          <w:tcPr>
            <w:tcW w:w="1247" w:type="dxa"/>
            <w:vMerge/>
          </w:tcPr>
          <w:p w14:paraId="7ED29CEE" w14:textId="77777777" w:rsidR="0044486E" w:rsidRPr="002C2C75" w:rsidRDefault="0044486E" w:rsidP="0044486E">
            <w:pPr>
              <w:spacing w:after="0"/>
              <w:rPr>
                <w:rFonts w:eastAsia="Calibri" w:cstheme="minorHAnsi"/>
                <w:sz w:val="16"/>
                <w:szCs w:val="16"/>
              </w:rPr>
            </w:pPr>
          </w:p>
        </w:tc>
        <w:tc>
          <w:tcPr>
            <w:tcW w:w="528" w:type="dxa"/>
          </w:tcPr>
          <w:p w14:paraId="70DB4487" w14:textId="02B6C3C1" w:rsidR="0044486E" w:rsidRPr="002C2C75" w:rsidRDefault="0044486E" w:rsidP="0044486E">
            <w:pPr>
              <w:spacing w:after="0"/>
              <w:rPr>
                <w:rFonts w:eastAsia="Calibri" w:cstheme="minorHAnsi"/>
                <w:sz w:val="16"/>
                <w:szCs w:val="16"/>
              </w:rPr>
            </w:pPr>
            <w:r w:rsidRPr="002C2C75">
              <w:rPr>
                <w:rFonts w:eastAsia="Calibri" w:cstheme="minorHAnsi"/>
                <w:sz w:val="16"/>
                <w:szCs w:val="16"/>
              </w:rPr>
              <w:t>3</w:t>
            </w:r>
            <w:r w:rsidR="002F4205" w:rsidRPr="002C2C75">
              <w:rPr>
                <w:rFonts w:eastAsia="Calibri" w:cstheme="minorHAnsi"/>
                <w:sz w:val="16"/>
                <w:szCs w:val="16"/>
              </w:rPr>
              <w:t>e</w:t>
            </w:r>
          </w:p>
        </w:tc>
        <w:tc>
          <w:tcPr>
            <w:tcW w:w="1730" w:type="dxa"/>
          </w:tcPr>
          <w:p w14:paraId="26E0E8CE" w14:textId="77777777" w:rsidR="0044486E" w:rsidRPr="002C2C75" w:rsidRDefault="0044486E" w:rsidP="0044486E">
            <w:pPr>
              <w:spacing w:after="0"/>
              <w:rPr>
                <w:rFonts w:eastAsia="Calibri" w:cstheme="minorHAnsi"/>
                <w:sz w:val="16"/>
                <w:szCs w:val="16"/>
              </w:rPr>
            </w:pPr>
            <w:r w:rsidRPr="002C2C75">
              <w:rPr>
                <w:rFonts w:eastAsia="Calibri" w:cstheme="minorHAnsi"/>
                <w:sz w:val="16"/>
                <w:szCs w:val="16"/>
              </w:rPr>
              <w:t>Dual-AI ITNs</w:t>
            </w:r>
          </w:p>
          <w:p w14:paraId="1D4FE0C2" w14:textId="77777777" w:rsidR="0044486E" w:rsidRPr="002C2C75" w:rsidRDefault="0044486E" w:rsidP="0044486E">
            <w:pPr>
              <w:spacing w:after="0"/>
              <w:rPr>
                <w:rFonts w:eastAsia="Calibri" w:cstheme="minorHAnsi"/>
                <w:sz w:val="16"/>
                <w:szCs w:val="16"/>
              </w:rPr>
            </w:pPr>
            <w:r w:rsidRPr="002C2C75">
              <w:rPr>
                <w:rFonts w:eastAsia="Calibri" w:cstheme="minorHAnsi"/>
                <w:sz w:val="16"/>
                <w:szCs w:val="16"/>
              </w:rPr>
              <w:t>(mass distribution)</w:t>
            </w:r>
          </w:p>
        </w:tc>
        <w:tc>
          <w:tcPr>
            <w:tcW w:w="3780" w:type="dxa"/>
          </w:tcPr>
          <w:p w14:paraId="1C6E359D" w14:textId="77777777" w:rsidR="0044486E" w:rsidRPr="002C2C75" w:rsidRDefault="0044486E" w:rsidP="0044486E">
            <w:pPr>
              <w:spacing w:after="0"/>
              <w:rPr>
                <w:rFonts w:eastAsia="Calibri" w:cstheme="minorHAnsi"/>
                <w:sz w:val="16"/>
                <w:szCs w:val="16"/>
              </w:rPr>
            </w:pPr>
            <w:r w:rsidRPr="002C2C75">
              <w:rPr>
                <w:rFonts w:eastAsia="Calibri" w:cstheme="minorHAnsi"/>
                <w:sz w:val="16"/>
                <w:szCs w:val="16"/>
              </w:rPr>
              <w:t>Targeted distribution in provincial capitals</w:t>
            </w:r>
          </w:p>
          <w:p w14:paraId="4B0B9848" w14:textId="77777777" w:rsidR="0044486E" w:rsidRPr="002C2C75" w:rsidRDefault="0044486E" w:rsidP="0044486E">
            <w:pPr>
              <w:spacing w:after="0"/>
              <w:rPr>
                <w:rFonts w:eastAsia="Calibri" w:cstheme="minorHAnsi"/>
                <w:sz w:val="16"/>
                <w:szCs w:val="16"/>
              </w:rPr>
            </w:pPr>
          </w:p>
          <w:p w14:paraId="16DDF09A" w14:textId="77777777" w:rsidR="0044486E" w:rsidRPr="002C2C75" w:rsidRDefault="0044486E" w:rsidP="0044486E">
            <w:pPr>
              <w:spacing w:after="0"/>
              <w:rPr>
                <w:rFonts w:eastAsia="Calibri" w:cstheme="minorHAnsi"/>
                <w:i/>
                <w:iCs/>
                <w:sz w:val="16"/>
                <w:szCs w:val="16"/>
              </w:rPr>
            </w:pPr>
            <w:r w:rsidRPr="002C2C75">
              <w:rPr>
                <w:rFonts w:eastAsia="Calibri" w:cstheme="minorHAnsi"/>
                <w:i/>
                <w:iCs/>
                <w:sz w:val="16"/>
                <w:szCs w:val="16"/>
              </w:rPr>
              <w:t>Except Maputo City and Matola</w:t>
            </w:r>
          </w:p>
        </w:tc>
        <w:tc>
          <w:tcPr>
            <w:tcW w:w="3330" w:type="dxa"/>
          </w:tcPr>
          <w:p w14:paraId="5B6413BE" w14:textId="695E79A9" w:rsidR="0044486E" w:rsidRPr="002C2C75" w:rsidRDefault="0044486E" w:rsidP="0044486E">
            <w:pPr>
              <w:spacing w:after="0"/>
              <w:rPr>
                <w:rFonts w:eastAsia="Calibri" w:cstheme="minorHAnsi"/>
                <w:b/>
                <w:bCs/>
                <w:sz w:val="16"/>
                <w:szCs w:val="16"/>
              </w:rPr>
            </w:pPr>
            <w:r w:rsidRPr="002C2C75">
              <w:rPr>
                <w:rFonts w:eastAsia="Calibri" w:cstheme="minorHAnsi"/>
                <w:sz w:val="16"/>
                <w:szCs w:val="16"/>
              </w:rPr>
              <w:t xml:space="preserve">PAAR = </w:t>
            </w:r>
            <w:r w:rsidRPr="002C2C75">
              <w:rPr>
                <w:rFonts w:eastAsia="Calibri" w:cstheme="minorHAnsi"/>
                <w:b/>
                <w:bCs/>
                <w:sz w:val="16"/>
                <w:szCs w:val="16"/>
              </w:rPr>
              <w:t>$</w:t>
            </w:r>
            <w:r w:rsidR="004A7A8C" w:rsidRPr="002C2C75">
              <w:rPr>
                <w:rFonts w:eastAsia="Arial" w:cstheme="minorHAnsi"/>
                <w:b/>
                <w:color w:val="000000"/>
                <w:sz w:val="16"/>
                <w:szCs w:val="16"/>
              </w:rPr>
              <w:t>5,</w:t>
            </w:r>
            <w:r w:rsidR="00A34F91" w:rsidRPr="002C2C75">
              <w:rPr>
                <w:rFonts w:eastAsia="Arial" w:cstheme="minorHAnsi"/>
                <w:b/>
                <w:color w:val="000000"/>
                <w:sz w:val="16"/>
                <w:szCs w:val="16"/>
              </w:rPr>
              <w:t>092,944</w:t>
            </w:r>
          </w:p>
        </w:tc>
      </w:tr>
      <w:tr w:rsidR="0044486E" w:rsidRPr="002C2C75" w14:paraId="28518960" w14:textId="77777777" w:rsidTr="00C00272">
        <w:trPr>
          <w:trHeight w:val="138"/>
        </w:trPr>
        <w:tc>
          <w:tcPr>
            <w:tcW w:w="1247" w:type="dxa"/>
            <w:vMerge w:val="restart"/>
          </w:tcPr>
          <w:p w14:paraId="251E6504" w14:textId="77777777" w:rsidR="0044486E" w:rsidRPr="002C2C75" w:rsidRDefault="0044486E" w:rsidP="0044486E">
            <w:pPr>
              <w:spacing w:after="0"/>
              <w:rPr>
                <w:rFonts w:eastAsia="Calibri" w:cstheme="minorHAnsi"/>
                <w:sz w:val="16"/>
                <w:szCs w:val="16"/>
              </w:rPr>
            </w:pPr>
            <w:r w:rsidRPr="002C2C75">
              <w:rPr>
                <w:rFonts w:eastAsia="Calibri" w:cstheme="minorHAnsi"/>
                <w:sz w:val="16"/>
                <w:szCs w:val="16"/>
              </w:rPr>
              <w:t>Moderate-low</w:t>
            </w:r>
          </w:p>
        </w:tc>
        <w:tc>
          <w:tcPr>
            <w:tcW w:w="528" w:type="dxa"/>
          </w:tcPr>
          <w:p w14:paraId="1A160C05" w14:textId="77777777" w:rsidR="0044486E" w:rsidRPr="002C2C75" w:rsidRDefault="0044486E" w:rsidP="0044486E">
            <w:pPr>
              <w:spacing w:after="0"/>
              <w:rPr>
                <w:rFonts w:eastAsia="Calibri" w:cstheme="minorHAnsi"/>
                <w:sz w:val="16"/>
                <w:szCs w:val="16"/>
              </w:rPr>
            </w:pPr>
            <w:r w:rsidRPr="002C2C75">
              <w:rPr>
                <w:rFonts w:eastAsia="Calibri" w:cstheme="minorHAnsi"/>
                <w:sz w:val="16"/>
                <w:szCs w:val="16"/>
              </w:rPr>
              <w:t>4a</w:t>
            </w:r>
          </w:p>
        </w:tc>
        <w:tc>
          <w:tcPr>
            <w:tcW w:w="1730" w:type="dxa"/>
          </w:tcPr>
          <w:p w14:paraId="5AD7CCD1" w14:textId="77777777" w:rsidR="0044486E" w:rsidRPr="002C2C75" w:rsidRDefault="0044486E" w:rsidP="0044486E">
            <w:pPr>
              <w:spacing w:after="0"/>
              <w:rPr>
                <w:rFonts w:eastAsia="Calibri" w:cstheme="minorHAnsi"/>
                <w:sz w:val="16"/>
                <w:szCs w:val="16"/>
              </w:rPr>
            </w:pPr>
            <w:r w:rsidRPr="002C2C75">
              <w:rPr>
                <w:rFonts w:eastAsia="Calibri" w:cstheme="minorHAnsi"/>
                <w:sz w:val="16"/>
                <w:szCs w:val="16"/>
              </w:rPr>
              <w:t>IRS expansion</w:t>
            </w:r>
          </w:p>
        </w:tc>
        <w:tc>
          <w:tcPr>
            <w:tcW w:w="3780" w:type="dxa"/>
          </w:tcPr>
          <w:p w14:paraId="23D96630" w14:textId="23A3B3F8" w:rsidR="0044486E" w:rsidRPr="002C2C75" w:rsidRDefault="0044486E" w:rsidP="0044486E">
            <w:pPr>
              <w:spacing w:after="0"/>
              <w:rPr>
                <w:rFonts w:eastAsia="Calibri" w:cstheme="minorHAnsi"/>
                <w:sz w:val="16"/>
                <w:szCs w:val="16"/>
              </w:rPr>
            </w:pPr>
            <w:r w:rsidRPr="002C2C75">
              <w:rPr>
                <w:rFonts w:eastAsia="Calibri" w:cstheme="minorHAnsi"/>
                <w:sz w:val="16"/>
                <w:szCs w:val="16"/>
              </w:rPr>
              <w:t>4 additional districts in Nampula, 6 additional districts in Zambezia, 4 districts in Cabo Delgado, 2 districts in Niassa, 2 districts in Manica, 2 districts in Sofala</w:t>
            </w:r>
            <w:r w:rsidR="000B7DED" w:rsidRPr="002C2C75">
              <w:rPr>
                <w:rFonts w:eastAsia="Calibri" w:cstheme="minorHAnsi"/>
                <w:sz w:val="16"/>
                <w:szCs w:val="16"/>
              </w:rPr>
              <w:t xml:space="preserve"> (</w:t>
            </w:r>
            <w:r w:rsidR="000B7DED" w:rsidRPr="002C2C75">
              <w:rPr>
                <w:rFonts w:eastAsia="Calibri" w:cstheme="minorHAnsi"/>
                <w:i/>
                <w:iCs/>
                <w:sz w:val="16"/>
                <w:szCs w:val="16"/>
              </w:rPr>
              <w:t>beginning 2025</w:t>
            </w:r>
            <w:r w:rsidR="000B7DED" w:rsidRPr="002C2C75">
              <w:rPr>
                <w:rFonts w:eastAsia="Calibri" w:cstheme="minorHAnsi"/>
                <w:sz w:val="16"/>
                <w:szCs w:val="16"/>
              </w:rPr>
              <w:t>)</w:t>
            </w:r>
          </w:p>
        </w:tc>
        <w:tc>
          <w:tcPr>
            <w:tcW w:w="3330" w:type="dxa"/>
          </w:tcPr>
          <w:p w14:paraId="6632075E" w14:textId="25290955" w:rsidR="0044486E" w:rsidRPr="002C2C75" w:rsidRDefault="0044486E" w:rsidP="0044486E">
            <w:pPr>
              <w:spacing w:after="0"/>
              <w:rPr>
                <w:rFonts w:eastAsia="Calibri" w:cstheme="minorHAnsi"/>
                <w:b/>
                <w:bCs/>
                <w:sz w:val="16"/>
                <w:szCs w:val="16"/>
              </w:rPr>
            </w:pPr>
            <w:r w:rsidRPr="002C2C75">
              <w:rPr>
                <w:rFonts w:eastAsia="Calibri" w:cstheme="minorHAnsi"/>
                <w:sz w:val="16"/>
                <w:szCs w:val="16"/>
              </w:rPr>
              <w:t xml:space="preserve">PAAR = </w:t>
            </w:r>
            <w:r w:rsidRPr="002C2C75">
              <w:rPr>
                <w:rFonts w:eastAsia="Calibri" w:cstheme="minorHAnsi"/>
                <w:b/>
                <w:bCs/>
                <w:sz w:val="16"/>
                <w:szCs w:val="16"/>
              </w:rPr>
              <w:t>$</w:t>
            </w:r>
            <w:r w:rsidR="00A34F91" w:rsidRPr="002C2C75">
              <w:rPr>
                <w:rFonts w:eastAsia="Calibri" w:cstheme="minorHAnsi"/>
                <w:b/>
                <w:bCs/>
                <w:sz w:val="16"/>
                <w:szCs w:val="16"/>
              </w:rPr>
              <w:t>28,</w:t>
            </w:r>
            <w:r w:rsidR="0055692E" w:rsidRPr="002C2C75">
              <w:rPr>
                <w:rFonts w:eastAsia="Calibri" w:cstheme="minorHAnsi"/>
                <w:b/>
                <w:bCs/>
                <w:sz w:val="16"/>
                <w:szCs w:val="16"/>
              </w:rPr>
              <w:t>096,444</w:t>
            </w:r>
          </w:p>
        </w:tc>
      </w:tr>
      <w:tr w:rsidR="0044486E" w:rsidRPr="002C2C75" w14:paraId="20B9987B" w14:textId="77777777" w:rsidTr="00C00272">
        <w:trPr>
          <w:trHeight w:val="138"/>
        </w:trPr>
        <w:tc>
          <w:tcPr>
            <w:tcW w:w="1247" w:type="dxa"/>
            <w:vMerge/>
          </w:tcPr>
          <w:p w14:paraId="5B0FF4C0" w14:textId="77777777" w:rsidR="0044486E" w:rsidRPr="002C2C75" w:rsidRDefault="0044486E" w:rsidP="0044486E">
            <w:pPr>
              <w:spacing w:after="0"/>
              <w:rPr>
                <w:rFonts w:eastAsia="Calibri" w:cstheme="minorHAnsi"/>
                <w:sz w:val="16"/>
                <w:szCs w:val="16"/>
              </w:rPr>
            </w:pPr>
          </w:p>
        </w:tc>
        <w:tc>
          <w:tcPr>
            <w:tcW w:w="528" w:type="dxa"/>
          </w:tcPr>
          <w:p w14:paraId="0E2D5187" w14:textId="77777777" w:rsidR="0044486E" w:rsidRPr="002C2C75" w:rsidRDefault="0044486E" w:rsidP="0044486E">
            <w:pPr>
              <w:spacing w:after="0"/>
              <w:rPr>
                <w:rFonts w:eastAsia="Calibri" w:cstheme="minorHAnsi"/>
                <w:sz w:val="16"/>
                <w:szCs w:val="16"/>
              </w:rPr>
            </w:pPr>
            <w:r w:rsidRPr="002C2C75">
              <w:rPr>
                <w:rFonts w:eastAsia="Calibri" w:cstheme="minorHAnsi"/>
                <w:sz w:val="16"/>
                <w:szCs w:val="16"/>
              </w:rPr>
              <w:t>4b</w:t>
            </w:r>
          </w:p>
        </w:tc>
        <w:tc>
          <w:tcPr>
            <w:tcW w:w="1730" w:type="dxa"/>
          </w:tcPr>
          <w:p w14:paraId="7B9D7178" w14:textId="77777777" w:rsidR="0044486E" w:rsidRPr="002C2C75" w:rsidRDefault="0044486E" w:rsidP="0044486E">
            <w:pPr>
              <w:spacing w:after="0"/>
              <w:rPr>
                <w:rFonts w:eastAsia="Calibri" w:cstheme="minorHAnsi"/>
                <w:sz w:val="16"/>
                <w:szCs w:val="16"/>
              </w:rPr>
            </w:pPr>
            <w:r w:rsidRPr="002C2C75">
              <w:rPr>
                <w:rFonts w:eastAsia="Calibri" w:cstheme="minorHAnsi"/>
                <w:sz w:val="16"/>
                <w:szCs w:val="16"/>
              </w:rPr>
              <w:t>Malaria vaccine (RTS,S)</w:t>
            </w:r>
          </w:p>
        </w:tc>
        <w:tc>
          <w:tcPr>
            <w:tcW w:w="3780" w:type="dxa"/>
          </w:tcPr>
          <w:p w14:paraId="62170918" w14:textId="77777777" w:rsidR="0044486E" w:rsidRPr="002C2C75" w:rsidRDefault="0044486E" w:rsidP="0044486E">
            <w:pPr>
              <w:spacing w:after="0"/>
              <w:rPr>
                <w:rFonts w:eastAsia="Calibri" w:cstheme="minorHAnsi"/>
                <w:sz w:val="16"/>
                <w:szCs w:val="16"/>
              </w:rPr>
            </w:pPr>
            <w:r w:rsidRPr="002C2C75">
              <w:rPr>
                <w:rFonts w:eastAsia="Calibri" w:cstheme="minorHAnsi"/>
                <w:sz w:val="16"/>
                <w:szCs w:val="16"/>
              </w:rPr>
              <w:t>Expansion to rest of targeted areas</w:t>
            </w:r>
          </w:p>
        </w:tc>
        <w:tc>
          <w:tcPr>
            <w:tcW w:w="3330" w:type="dxa"/>
          </w:tcPr>
          <w:p w14:paraId="3EDAEDEA" w14:textId="77777777" w:rsidR="00905E7B" w:rsidRPr="002C2C75" w:rsidRDefault="0044486E" w:rsidP="0044486E">
            <w:pPr>
              <w:spacing w:after="0"/>
              <w:rPr>
                <w:rFonts w:eastAsia="Calibri" w:cstheme="minorHAnsi"/>
                <w:sz w:val="16"/>
                <w:szCs w:val="16"/>
              </w:rPr>
            </w:pPr>
            <w:r w:rsidRPr="002C2C75">
              <w:rPr>
                <w:rFonts w:eastAsia="Calibri" w:cstheme="minorHAnsi"/>
                <w:sz w:val="16"/>
                <w:szCs w:val="16"/>
              </w:rPr>
              <w:t xml:space="preserve">Would await future Gavi funding – </w:t>
            </w:r>
          </w:p>
          <w:p w14:paraId="28C4CB57" w14:textId="6F4ED8AA" w:rsidR="0044486E" w:rsidRPr="002C2C75" w:rsidRDefault="0044486E" w:rsidP="0044486E">
            <w:pPr>
              <w:spacing w:after="0"/>
              <w:rPr>
                <w:rFonts w:eastAsia="Calibri" w:cstheme="minorHAnsi"/>
                <w:b/>
                <w:bCs/>
                <w:sz w:val="16"/>
                <w:szCs w:val="16"/>
              </w:rPr>
            </w:pPr>
            <w:r w:rsidRPr="002C2C75">
              <w:rPr>
                <w:rFonts w:eastAsia="Calibri" w:cstheme="minorHAnsi"/>
                <w:sz w:val="16"/>
                <w:szCs w:val="16"/>
              </w:rPr>
              <w:t>Need = $81,694,944</w:t>
            </w:r>
          </w:p>
        </w:tc>
      </w:tr>
      <w:tr w:rsidR="0044486E" w:rsidRPr="002C2C75" w14:paraId="4853D5AE" w14:textId="77777777" w:rsidTr="00C00272">
        <w:trPr>
          <w:trHeight w:val="138"/>
        </w:trPr>
        <w:tc>
          <w:tcPr>
            <w:tcW w:w="1247" w:type="dxa"/>
          </w:tcPr>
          <w:p w14:paraId="0B1B724A" w14:textId="77777777" w:rsidR="0044486E" w:rsidRPr="002C2C75" w:rsidRDefault="0044486E" w:rsidP="0044486E">
            <w:pPr>
              <w:spacing w:after="0"/>
              <w:rPr>
                <w:rFonts w:eastAsia="Calibri" w:cstheme="minorHAnsi"/>
                <w:sz w:val="16"/>
                <w:szCs w:val="16"/>
              </w:rPr>
            </w:pPr>
            <w:r w:rsidRPr="002C2C75">
              <w:rPr>
                <w:rFonts w:eastAsia="Calibri" w:cstheme="minorHAnsi"/>
                <w:sz w:val="16"/>
                <w:szCs w:val="16"/>
              </w:rPr>
              <w:t>Low</w:t>
            </w:r>
          </w:p>
        </w:tc>
        <w:tc>
          <w:tcPr>
            <w:tcW w:w="528" w:type="dxa"/>
          </w:tcPr>
          <w:p w14:paraId="36FC3EED" w14:textId="77777777" w:rsidR="0044486E" w:rsidRPr="002C2C75" w:rsidRDefault="0044486E" w:rsidP="0044486E">
            <w:pPr>
              <w:spacing w:after="0"/>
              <w:rPr>
                <w:rFonts w:eastAsia="Calibri" w:cstheme="minorHAnsi"/>
                <w:sz w:val="16"/>
                <w:szCs w:val="16"/>
              </w:rPr>
            </w:pPr>
            <w:r w:rsidRPr="002C2C75">
              <w:rPr>
                <w:rFonts w:eastAsia="Calibri" w:cstheme="minorHAnsi"/>
                <w:sz w:val="16"/>
                <w:szCs w:val="16"/>
              </w:rPr>
              <w:t>5a</w:t>
            </w:r>
          </w:p>
        </w:tc>
        <w:tc>
          <w:tcPr>
            <w:tcW w:w="1730" w:type="dxa"/>
          </w:tcPr>
          <w:p w14:paraId="0606CCDD" w14:textId="77777777" w:rsidR="0044486E" w:rsidRPr="002C2C75" w:rsidRDefault="0044486E" w:rsidP="0044486E">
            <w:pPr>
              <w:spacing w:after="0"/>
              <w:rPr>
                <w:rFonts w:eastAsia="Calibri" w:cstheme="minorHAnsi"/>
                <w:sz w:val="16"/>
                <w:szCs w:val="16"/>
              </w:rPr>
            </w:pPr>
            <w:r w:rsidRPr="002C2C75">
              <w:rPr>
                <w:rFonts w:eastAsia="Calibri" w:cstheme="minorHAnsi"/>
                <w:sz w:val="16"/>
                <w:szCs w:val="16"/>
              </w:rPr>
              <w:t>Dual-AI ITNs</w:t>
            </w:r>
          </w:p>
        </w:tc>
        <w:tc>
          <w:tcPr>
            <w:tcW w:w="3780" w:type="dxa"/>
          </w:tcPr>
          <w:p w14:paraId="4DEDE7B1" w14:textId="77777777" w:rsidR="0044486E" w:rsidRPr="002C2C75" w:rsidRDefault="0044486E" w:rsidP="0044486E">
            <w:pPr>
              <w:spacing w:after="0"/>
              <w:rPr>
                <w:rFonts w:eastAsia="Calibri" w:cstheme="minorHAnsi"/>
                <w:sz w:val="16"/>
                <w:szCs w:val="16"/>
              </w:rPr>
            </w:pPr>
          </w:p>
          <w:p w14:paraId="3ADE4DFD" w14:textId="77777777" w:rsidR="0044486E" w:rsidRPr="002C2C75" w:rsidRDefault="0044486E" w:rsidP="0044486E">
            <w:pPr>
              <w:spacing w:after="0"/>
              <w:rPr>
                <w:rFonts w:eastAsia="Calibri" w:cstheme="minorHAnsi"/>
                <w:sz w:val="16"/>
                <w:szCs w:val="16"/>
              </w:rPr>
            </w:pPr>
            <w:r w:rsidRPr="002C2C75">
              <w:rPr>
                <w:rFonts w:eastAsia="Calibri" w:cstheme="minorHAnsi"/>
                <w:sz w:val="16"/>
                <w:szCs w:val="16"/>
              </w:rPr>
              <w:t>Untargeted portions of provincial capitals</w:t>
            </w:r>
          </w:p>
          <w:p w14:paraId="7D62B0D5" w14:textId="77777777" w:rsidR="0044486E" w:rsidRPr="002C2C75" w:rsidRDefault="0044486E" w:rsidP="0044486E">
            <w:pPr>
              <w:spacing w:after="0"/>
              <w:rPr>
                <w:rFonts w:eastAsia="Calibri" w:cstheme="minorHAnsi"/>
                <w:sz w:val="16"/>
                <w:szCs w:val="16"/>
              </w:rPr>
            </w:pPr>
            <w:r w:rsidRPr="002C2C75">
              <w:rPr>
                <w:rFonts w:eastAsia="Calibri" w:cstheme="minorHAnsi"/>
                <w:sz w:val="16"/>
                <w:szCs w:val="16"/>
              </w:rPr>
              <w:t>Maputo Province</w:t>
            </w:r>
          </w:p>
          <w:p w14:paraId="4E26D7FC" w14:textId="77777777" w:rsidR="0044486E" w:rsidRPr="002C2C75" w:rsidRDefault="0044486E" w:rsidP="0044486E">
            <w:pPr>
              <w:spacing w:after="0"/>
              <w:rPr>
                <w:rFonts w:eastAsia="Calibri" w:cstheme="minorHAnsi"/>
                <w:sz w:val="16"/>
                <w:szCs w:val="16"/>
              </w:rPr>
            </w:pPr>
            <w:r w:rsidRPr="002C2C75">
              <w:rPr>
                <w:rFonts w:eastAsia="Calibri" w:cstheme="minorHAnsi"/>
                <w:sz w:val="16"/>
                <w:szCs w:val="16"/>
              </w:rPr>
              <w:t>Maputo City</w:t>
            </w:r>
          </w:p>
        </w:tc>
        <w:tc>
          <w:tcPr>
            <w:tcW w:w="3330" w:type="dxa"/>
          </w:tcPr>
          <w:p w14:paraId="4338BB15" w14:textId="77777777" w:rsidR="0044486E" w:rsidRPr="002C2C75" w:rsidRDefault="0044486E" w:rsidP="0044486E">
            <w:pPr>
              <w:spacing w:after="0"/>
              <w:rPr>
                <w:rFonts w:eastAsia="Calibri" w:cstheme="minorHAnsi"/>
                <w:sz w:val="16"/>
                <w:szCs w:val="16"/>
              </w:rPr>
            </w:pPr>
            <w:r w:rsidRPr="002C2C75">
              <w:rPr>
                <w:rFonts w:eastAsia="Calibri" w:cstheme="minorHAnsi"/>
                <w:sz w:val="16"/>
                <w:szCs w:val="16"/>
              </w:rPr>
              <w:t>No funding sought, exclusion savings:</w:t>
            </w:r>
          </w:p>
          <w:p w14:paraId="726DFAFA" w14:textId="77777777" w:rsidR="0044486E" w:rsidRPr="002C2C75" w:rsidRDefault="0044486E" w:rsidP="0044486E">
            <w:pPr>
              <w:spacing w:after="0"/>
              <w:rPr>
                <w:rFonts w:eastAsia="Calibri" w:cstheme="minorHAnsi"/>
                <w:sz w:val="16"/>
                <w:szCs w:val="16"/>
              </w:rPr>
            </w:pPr>
            <w:r w:rsidRPr="002C2C75">
              <w:rPr>
                <w:rFonts w:eastAsia="Calibri" w:cstheme="minorHAnsi"/>
                <w:sz w:val="16"/>
                <w:szCs w:val="16"/>
              </w:rPr>
              <w:t>$8,210,735</w:t>
            </w:r>
          </w:p>
          <w:p w14:paraId="00424DAC" w14:textId="77777777" w:rsidR="0044486E" w:rsidRPr="002C2C75" w:rsidRDefault="0044486E" w:rsidP="0044486E">
            <w:pPr>
              <w:spacing w:after="0"/>
              <w:rPr>
                <w:rFonts w:eastAsia="Calibri" w:cstheme="minorHAnsi"/>
                <w:sz w:val="16"/>
                <w:szCs w:val="16"/>
              </w:rPr>
            </w:pPr>
            <w:r w:rsidRPr="002C2C75">
              <w:rPr>
                <w:rFonts w:eastAsia="Calibri" w:cstheme="minorHAnsi"/>
                <w:sz w:val="16"/>
                <w:szCs w:val="16"/>
              </w:rPr>
              <w:t>$3,675,100</w:t>
            </w:r>
          </w:p>
          <w:p w14:paraId="0AAA74E9" w14:textId="77777777" w:rsidR="0044486E" w:rsidRPr="002C2C75" w:rsidRDefault="0044486E" w:rsidP="0044486E">
            <w:pPr>
              <w:spacing w:after="0"/>
              <w:rPr>
                <w:rFonts w:eastAsia="Calibri" w:cstheme="minorHAnsi"/>
                <w:sz w:val="16"/>
                <w:szCs w:val="16"/>
              </w:rPr>
            </w:pPr>
            <w:r w:rsidRPr="002C2C75">
              <w:rPr>
                <w:rFonts w:eastAsia="Calibri" w:cstheme="minorHAnsi"/>
                <w:sz w:val="16"/>
                <w:szCs w:val="16"/>
              </w:rPr>
              <w:t>$2,803,309</w:t>
            </w:r>
          </w:p>
        </w:tc>
      </w:tr>
    </w:tbl>
    <w:p w14:paraId="6CA0BE5B" w14:textId="77777777" w:rsidR="00AE6657" w:rsidRPr="002C2C75" w:rsidRDefault="00AE6657" w:rsidP="00AE6657">
      <w:pPr>
        <w:pStyle w:val="BodyText"/>
        <w:tabs>
          <w:tab w:val="left" w:pos="1080"/>
        </w:tabs>
        <w:rPr>
          <w:sz w:val="22"/>
        </w:rPr>
      </w:pPr>
    </w:p>
    <w:p w14:paraId="76E2271F" w14:textId="1E772AB2" w:rsidR="00C35812" w:rsidRPr="002C2C75" w:rsidRDefault="004A2872" w:rsidP="004A2872">
      <w:pPr>
        <w:pStyle w:val="BodyText"/>
        <w:tabs>
          <w:tab w:val="left" w:pos="1080"/>
        </w:tabs>
        <w:jc w:val="both"/>
        <w:rPr>
          <w:sz w:val="22"/>
        </w:rPr>
      </w:pPr>
      <w:r w:rsidRPr="002C2C75">
        <w:rPr>
          <w:sz w:val="22"/>
        </w:rPr>
        <w:t>Additional to this, the country considers investment in s</w:t>
      </w:r>
      <w:r w:rsidR="00C35812" w:rsidRPr="002C2C75">
        <w:rPr>
          <w:sz w:val="22"/>
        </w:rPr>
        <w:t xml:space="preserve">urveillance and </w:t>
      </w:r>
      <w:r w:rsidRPr="002C2C75">
        <w:rPr>
          <w:sz w:val="22"/>
        </w:rPr>
        <w:t xml:space="preserve">M&amp;E </w:t>
      </w:r>
      <w:r w:rsidR="00C35812" w:rsidRPr="002C2C75">
        <w:rPr>
          <w:sz w:val="22"/>
        </w:rPr>
        <w:t xml:space="preserve">data systems as a </w:t>
      </w:r>
      <w:r w:rsidRPr="002C2C75">
        <w:rPr>
          <w:sz w:val="22"/>
        </w:rPr>
        <w:t xml:space="preserve">high </w:t>
      </w:r>
      <w:r w:rsidR="00C35812" w:rsidRPr="002C2C75">
        <w:rPr>
          <w:sz w:val="22"/>
        </w:rPr>
        <w:t>priority</w:t>
      </w:r>
      <w:r w:rsidRPr="002C2C75">
        <w:rPr>
          <w:sz w:val="22"/>
        </w:rPr>
        <w:t>, in order to improve programmatic</w:t>
      </w:r>
      <w:r w:rsidR="00C35812" w:rsidRPr="002C2C75">
        <w:rPr>
          <w:sz w:val="22"/>
        </w:rPr>
        <w:t xml:space="preserve"> decision-making and measur</w:t>
      </w:r>
      <w:r w:rsidRPr="002C2C75">
        <w:rPr>
          <w:sz w:val="22"/>
        </w:rPr>
        <w:t>e</w:t>
      </w:r>
      <w:r w:rsidR="00C35812" w:rsidRPr="002C2C75">
        <w:rPr>
          <w:sz w:val="22"/>
        </w:rPr>
        <w:t xml:space="preserve"> progress</w:t>
      </w:r>
      <w:r w:rsidRPr="002C2C75">
        <w:rPr>
          <w:sz w:val="22"/>
        </w:rPr>
        <w:t>. In the past these systems were under-invested in relative to commodities and this resulted in the</w:t>
      </w:r>
      <w:r w:rsidR="0029754F" w:rsidRPr="002C2C75">
        <w:rPr>
          <w:sz w:val="22"/>
        </w:rPr>
        <w:t>se systems</w:t>
      </w:r>
      <w:r w:rsidRPr="002C2C75">
        <w:rPr>
          <w:sz w:val="22"/>
        </w:rPr>
        <w:t xml:space="preserve"> not improving as hoped. Significant investment has occurred in recent years through other partners (e.g. BMGF in surveillance, and GF C19RM for campaign digitization), and the country has reaped the benefits with better intervention targeting and quality as a result. </w:t>
      </w:r>
      <w:r w:rsidR="008839A9" w:rsidRPr="002C2C75">
        <w:rPr>
          <w:sz w:val="22"/>
        </w:rPr>
        <w:t xml:space="preserve"> </w:t>
      </w:r>
      <w:r w:rsidRPr="002C2C75">
        <w:rPr>
          <w:sz w:val="22"/>
        </w:rPr>
        <w:t xml:space="preserve">The country will work </w:t>
      </w:r>
      <w:r w:rsidR="00A62420" w:rsidRPr="002C2C75">
        <w:rPr>
          <w:sz w:val="22"/>
        </w:rPr>
        <w:t>its campaign donors share costs for these activities</w:t>
      </w:r>
      <w:r w:rsidRPr="002C2C75">
        <w:rPr>
          <w:sz w:val="22"/>
        </w:rPr>
        <w:t>,</w:t>
      </w:r>
      <w:r w:rsidR="00A62420" w:rsidRPr="002C2C75">
        <w:rPr>
          <w:sz w:val="22"/>
        </w:rPr>
        <w:t xml:space="preserve"> but</w:t>
      </w:r>
      <w:r w:rsidRPr="002C2C75">
        <w:rPr>
          <w:sz w:val="22"/>
        </w:rPr>
        <w:t xml:space="preserve"> investment in them through GF is considered a high priority. </w:t>
      </w:r>
    </w:p>
    <w:p w14:paraId="106A6BA9" w14:textId="300640D9" w:rsidR="005E25BF" w:rsidRPr="002C2C75" w:rsidRDefault="005E25BF" w:rsidP="005E25BF">
      <w:pPr>
        <w:pStyle w:val="BodyText"/>
        <w:tabs>
          <w:tab w:val="left" w:pos="990"/>
          <w:tab w:val="left" w:pos="1080"/>
        </w:tabs>
        <w:rPr>
          <w:b/>
          <w:bCs/>
          <w:sz w:val="22"/>
          <w:lang w:val="en-US"/>
        </w:rPr>
      </w:pPr>
      <w:r w:rsidRPr="002C2C75">
        <w:rPr>
          <w:b/>
          <w:bCs/>
          <w:sz w:val="22"/>
          <w:lang w:val="en-US"/>
        </w:rPr>
        <w:t>Cross-cutting RSSH prioritization</w:t>
      </w:r>
    </w:p>
    <w:p w14:paraId="7AF2A33D" w14:textId="0C71FC6D" w:rsidR="005E25BF" w:rsidRPr="002C2C75" w:rsidRDefault="005E25BF" w:rsidP="005E25BF">
      <w:pPr>
        <w:pStyle w:val="BodyText"/>
        <w:tabs>
          <w:tab w:val="left" w:pos="990"/>
          <w:tab w:val="left" w:pos="1080"/>
        </w:tabs>
        <w:jc w:val="both"/>
        <w:rPr>
          <w:sz w:val="22"/>
          <w:lang w:val="en-US"/>
        </w:rPr>
      </w:pPr>
      <w:r w:rsidRPr="002C2C75">
        <w:rPr>
          <w:sz w:val="22"/>
          <w:lang w:val="en-US"/>
        </w:rPr>
        <w:t>The 8.5% funding allocation to RSSH proved to be insufficient to achieve intended results and effectively tackle programmatic gaps. Therefore, some relevant interventions and activities to increase RSSH impact on diseases performance are proposed to be funded under PAAR. E.g. one intermediate warehouse to meet storage capacity needs and upgrades of four provincial warehouses are anticipated in the PAAR. Consideration of other donors’ contributions were taken into account during this process to prevent duplications and ensure complementarity.</w:t>
      </w:r>
    </w:p>
    <w:p w14:paraId="4C413060" w14:textId="15A164EF" w:rsidR="00B97E2B" w:rsidRPr="002C2C75" w:rsidRDefault="00B97E2B">
      <w:pPr>
        <w:pStyle w:val="Heading2"/>
        <w:numPr>
          <w:ilvl w:val="1"/>
          <w:numId w:val="13"/>
        </w:numPr>
      </w:pPr>
      <w:r w:rsidRPr="002C2C75">
        <w:t>Context</w:t>
      </w:r>
    </w:p>
    <w:p w14:paraId="68C2FD4C" w14:textId="5361D129" w:rsidR="00B97E2B" w:rsidRPr="002C2C75" w:rsidRDefault="000050E1" w:rsidP="00B97E2B">
      <w:pPr>
        <w:pStyle w:val="BodyText"/>
        <w:rPr>
          <w:sz w:val="22"/>
          <w:lang w:val="en-US"/>
        </w:rPr>
      </w:pPr>
      <w:r w:rsidRPr="002C2C75">
        <w:rPr>
          <w:sz w:val="22"/>
          <w:lang w:val="en-US"/>
        </w:rPr>
        <w:t>D</w:t>
      </w:r>
      <w:r w:rsidR="00B97E2B" w:rsidRPr="002C2C75">
        <w:rPr>
          <w:sz w:val="22"/>
          <w:lang w:val="en-US"/>
        </w:rPr>
        <w:t xml:space="preserve">escribe the main changes to the country context since </w:t>
      </w:r>
      <w:r w:rsidR="00E04366" w:rsidRPr="002C2C75">
        <w:rPr>
          <w:sz w:val="22"/>
          <w:lang w:val="en-US"/>
        </w:rPr>
        <w:t xml:space="preserve">the </w:t>
      </w:r>
      <w:r w:rsidR="001B7212" w:rsidRPr="002C2C75">
        <w:rPr>
          <w:sz w:val="22"/>
          <w:lang w:val="en-US"/>
        </w:rPr>
        <w:t>previous funding request submission</w:t>
      </w:r>
      <w:r w:rsidR="00B97E2B" w:rsidRPr="002C2C75">
        <w:rPr>
          <w:sz w:val="22"/>
          <w:lang w:val="en-US"/>
        </w:rPr>
        <w:t xml:space="preserve"> to the Global Fund.</w:t>
      </w:r>
    </w:p>
    <w:p w14:paraId="0B6CFF3F" w14:textId="77777777" w:rsidR="00621197" w:rsidRPr="002C2C75" w:rsidRDefault="00621197" w:rsidP="00F3215C">
      <w:pPr>
        <w:pStyle w:val="BodyText"/>
        <w:jc w:val="both"/>
        <w:rPr>
          <w:sz w:val="22"/>
          <w:lang w:val="en-US"/>
        </w:rPr>
      </w:pPr>
      <w:r w:rsidRPr="002C2C75">
        <w:rPr>
          <w:sz w:val="22"/>
          <w:lang w:val="en-US"/>
        </w:rPr>
        <w:t xml:space="preserve">The public health system in Mozambique is largely unchanged since the previous funding request, though it has certainly been stretched to its limits with the Covid-19 pandemic, multiple natural disasters, and a conflict-related displacement in Cabo Delgado. Due to these issues, Government budgets, staff morale, and partner support systems have been deeply affected. Covid-19 required some adaptations in the health system to mitigate the spread of Covid. For example, malaria services during the pandemic were encouraged to be taken at the community level through SBCC messaging, which resulted in an increase to over 12% of all cases being detected at that level in 2020 and 2021, compared to 8% in 2019 (MPR Report, p. 22). </w:t>
      </w:r>
    </w:p>
    <w:p w14:paraId="592C91DB" w14:textId="061269AF" w:rsidR="001236AF" w:rsidRPr="002C2C75" w:rsidRDefault="001236AF" w:rsidP="00F3215C">
      <w:pPr>
        <w:pStyle w:val="BodyText"/>
        <w:jc w:val="both"/>
        <w:rPr>
          <w:b/>
          <w:bCs/>
          <w:sz w:val="22"/>
          <w:lang w:val="en-US"/>
        </w:rPr>
      </w:pPr>
      <w:r w:rsidRPr="002C2C75">
        <w:rPr>
          <w:b/>
          <w:bCs/>
          <w:sz w:val="22"/>
          <w:lang w:val="en-US"/>
        </w:rPr>
        <w:t>Epidemiological and entomological context</w:t>
      </w:r>
    </w:p>
    <w:p w14:paraId="318DB3E3" w14:textId="77777777" w:rsidR="00621197" w:rsidRPr="002C2C75" w:rsidRDefault="00621197" w:rsidP="00621197">
      <w:pPr>
        <w:pStyle w:val="BodyText"/>
        <w:jc w:val="both"/>
        <w:rPr>
          <w:sz w:val="22"/>
          <w:lang w:val="en-US"/>
        </w:rPr>
      </w:pPr>
      <w:r w:rsidRPr="002C2C75">
        <w:rPr>
          <w:sz w:val="22"/>
          <w:lang w:val="en-US"/>
        </w:rPr>
        <w:t xml:space="preserve">Malaria remains a top public health issue in Mozambique, with the entire population of 32.4 million inhabitants at risk of infection. However, as described in the stratification description in Section 1.2, that risk falls on a continuum that is largely driven by the environmental and social conditions of a geographic area. The consistently high burden of malaria in Mozambique places it amongst the highest endemic countries in the world (World Malaria Report, 2022). Although the disease is endemic throughout the country, its transmission is, in general, higher in northern and coastal areas of the country (MPR Report, p. 18). </w:t>
      </w:r>
    </w:p>
    <w:p w14:paraId="243AD45F" w14:textId="77777777" w:rsidR="00621197" w:rsidRPr="002C2C75" w:rsidRDefault="00621197" w:rsidP="00621197">
      <w:pPr>
        <w:pStyle w:val="BodyText"/>
        <w:jc w:val="both"/>
        <w:rPr>
          <w:sz w:val="22"/>
          <w:lang w:val="en-US"/>
        </w:rPr>
      </w:pPr>
      <w:r w:rsidRPr="002C2C75">
        <w:rPr>
          <w:sz w:val="22"/>
          <w:lang w:val="en-US"/>
        </w:rPr>
        <w:t xml:space="preserve">The malaria burden in Mozambique accounted for 23% of outpatient consultations in 2021 (compared with 24% in 2017), 10% of inpatient admissions in 2021 (24% in 2017), and 1.2% of inpatient deaths in 2021 (5.6% in 2017), which is illustrative of malaria’s declining but still significant contribution to morbidity and mortality in the country (MPR Report, p.16).  Data from the national health information system (SIS-MA) show that malaria incidence declined by 12.5% from 2020 to 2021. As is described later, this is at least partially explained by the targeted introduction of next-generation ITNs. However, the malaria incidence increased by 19.5% from 2021 to 2022 to return to the upward incidence trend observed from 2016 to 2019. An analysis was done during the 2020 MTR to understand this trend, and it was subsequently followed-up with an analysis at the subnational level in 2021. The two analyses showed several factors likely have contributed to the incidence growth, including: </w:t>
      </w:r>
    </w:p>
    <w:p w14:paraId="7FF2103B" w14:textId="77777777" w:rsidR="00621197" w:rsidRPr="002C2C75" w:rsidRDefault="00621197">
      <w:pPr>
        <w:pStyle w:val="BodyText"/>
        <w:numPr>
          <w:ilvl w:val="0"/>
          <w:numId w:val="59"/>
        </w:numPr>
        <w:spacing w:after="0"/>
        <w:jc w:val="both"/>
        <w:rPr>
          <w:sz w:val="22"/>
          <w:lang w:val="en-US"/>
        </w:rPr>
      </w:pPr>
      <w:r w:rsidRPr="002C2C75">
        <w:rPr>
          <w:sz w:val="22"/>
          <w:lang w:val="en-US"/>
        </w:rPr>
        <w:t>The reporting bias created by the successful scale up of confirmatory diagnosis using RDTs (MTR Report, Section 1.1.1, p. 10)</w:t>
      </w:r>
    </w:p>
    <w:p w14:paraId="0465B1D5" w14:textId="77777777" w:rsidR="00621197" w:rsidRPr="002C2C75" w:rsidRDefault="00621197">
      <w:pPr>
        <w:pStyle w:val="BodyText"/>
        <w:numPr>
          <w:ilvl w:val="0"/>
          <w:numId w:val="59"/>
        </w:numPr>
        <w:spacing w:after="0"/>
        <w:jc w:val="both"/>
        <w:rPr>
          <w:sz w:val="22"/>
          <w:lang w:val="en-US"/>
        </w:rPr>
      </w:pPr>
      <w:r w:rsidRPr="002C2C75">
        <w:rPr>
          <w:sz w:val="22"/>
          <w:lang w:val="en-US"/>
        </w:rPr>
        <w:t>Increases in health facility reporting completeness, which followed investments to improve the health information system</w:t>
      </w:r>
    </w:p>
    <w:p w14:paraId="4C63D85F" w14:textId="77777777" w:rsidR="00621197" w:rsidRPr="002C2C75" w:rsidRDefault="00621197">
      <w:pPr>
        <w:pStyle w:val="BodyText"/>
        <w:numPr>
          <w:ilvl w:val="0"/>
          <w:numId w:val="59"/>
        </w:numPr>
        <w:spacing w:after="0"/>
        <w:jc w:val="both"/>
        <w:rPr>
          <w:sz w:val="22"/>
          <w:lang w:val="en-US"/>
        </w:rPr>
      </w:pPr>
      <w:r w:rsidRPr="002C2C75">
        <w:rPr>
          <w:sz w:val="22"/>
          <w:lang w:val="en-US"/>
        </w:rPr>
        <w:t>The inclusion of previously unaccounted cases treated at the community level and now reported by the increasing number of APS</w:t>
      </w:r>
    </w:p>
    <w:p w14:paraId="2D70A3DB" w14:textId="77777777" w:rsidR="00621197" w:rsidRPr="002C2C75" w:rsidRDefault="00621197">
      <w:pPr>
        <w:pStyle w:val="BodyText"/>
        <w:numPr>
          <w:ilvl w:val="0"/>
          <w:numId w:val="59"/>
        </w:numPr>
        <w:spacing w:after="0"/>
        <w:jc w:val="both"/>
        <w:rPr>
          <w:sz w:val="22"/>
          <w:lang w:val="en-US"/>
        </w:rPr>
      </w:pPr>
      <w:r w:rsidRPr="002C2C75">
        <w:rPr>
          <w:sz w:val="22"/>
          <w:lang w:val="en-US"/>
        </w:rPr>
        <w:t>Resistance of the vectors to pyrethroids, which has been partially addressed through IRS and next-generation but which will only reach full scale in 2023</w:t>
      </w:r>
    </w:p>
    <w:p w14:paraId="554ADF40" w14:textId="77777777" w:rsidR="00621197" w:rsidRPr="002C2C75" w:rsidRDefault="00621197">
      <w:pPr>
        <w:pStyle w:val="BodyText"/>
        <w:numPr>
          <w:ilvl w:val="0"/>
          <w:numId w:val="59"/>
        </w:numPr>
        <w:jc w:val="both"/>
        <w:rPr>
          <w:sz w:val="22"/>
          <w:lang w:val="en-US"/>
        </w:rPr>
      </w:pPr>
      <w:r w:rsidRPr="002C2C75">
        <w:rPr>
          <w:sz w:val="22"/>
          <w:lang w:val="en-US"/>
        </w:rPr>
        <w:t xml:space="preserve">Year-on-year climatic fluctuations. </w:t>
      </w:r>
    </w:p>
    <w:p w14:paraId="34637A29" w14:textId="77777777" w:rsidR="00621197" w:rsidRPr="002C2C75" w:rsidRDefault="00621197" w:rsidP="00621197">
      <w:pPr>
        <w:pStyle w:val="BodyText"/>
        <w:jc w:val="both"/>
        <w:rPr>
          <w:sz w:val="22"/>
          <w:lang w:val="en-US"/>
        </w:rPr>
      </w:pPr>
      <w:r w:rsidRPr="002C2C75">
        <w:rPr>
          <w:sz w:val="22"/>
          <w:lang w:val="en-US"/>
        </w:rPr>
        <w:t xml:space="preserve">Annual Blood Examination Rate has risen from 58% in 2016 to 73% in 2022, while test positivity rate (TPR) has remained quite stable since 2016, moving from 55% in that year to 54% in 2022, lending support to the conclusion that after controlling for increased testing and surveillance the true incidence of malaria has remained somewhat flat. As described with robust data from the New Nets Project evaluation, it is possible that the 2022 rebound in incidence in Cabo Delgado, Tete, Niassa, and Manica stems from durability challenges with distributed ITNs. Details on this data, as well as response to the challenge of durability, is described in the vector control portions of sections 1.2 and 1.3.  </w:t>
      </w:r>
    </w:p>
    <w:p w14:paraId="67523D8D" w14:textId="6E42317D" w:rsidR="00621197" w:rsidRPr="002C2C75" w:rsidRDefault="00621197" w:rsidP="00621197">
      <w:pPr>
        <w:pStyle w:val="BodyText"/>
        <w:jc w:val="both"/>
        <w:rPr>
          <w:sz w:val="22"/>
          <w:lang w:val="en-US"/>
        </w:rPr>
      </w:pPr>
      <w:r w:rsidRPr="002C2C75">
        <w:rPr>
          <w:sz w:val="22"/>
          <w:lang w:val="en-US"/>
        </w:rPr>
        <w:t xml:space="preserve">Unfortunately, under 5 prevalence data still has not been updated since the 2018 Malaria Indicator Survey (MIS). However, a survey has just been completed with preliminary results promised to the NMCP by end of May 2023. </w:t>
      </w:r>
    </w:p>
    <w:p w14:paraId="7C7168EA" w14:textId="0DA23008" w:rsidR="0075551B" w:rsidRPr="002C2C75" w:rsidRDefault="0075551B" w:rsidP="00621197">
      <w:pPr>
        <w:pStyle w:val="BodyText"/>
        <w:jc w:val="both"/>
        <w:rPr>
          <w:sz w:val="22"/>
          <w:lang w:val="en-US"/>
        </w:rPr>
      </w:pPr>
      <w:r w:rsidRPr="002C2C75">
        <w:rPr>
          <w:sz w:val="22"/>
          <w:lang w:val="en-US"/>
        </w:rPr>
        <w:t>In response to comments from the Global Fund Technical Review Panel in 2020, the NMCP and its partners conducted a “Sub-national Analysis of Malaria Situation in Mozambique”, first in the north and central provinces and expanded to all provinces for use in the 2022 MPR (see reference “Subnational Analysis”).  The objective of this analysis was to understand trends and driver of malaria burden in each province, and thus provide specific recommendations for each to drive improvement. At an aggregate level the findings were quite similar to the five factors referenced above, with nuance in each province providing valuable insights to drive implementation improvements.</w:t>
      </w:r>
      <w:r w:rsidR="00A530D9" w:rsidRPr="002C2C75">
        <w:rPr>
          <w:rStyle w:val="FootnoteReference"/>
          <w:sz w:val="22"/>
          <w:lang w:val="en-US"/>
        </w:rPr>
        <w:footnoteReference w:id="7"/>
      </w:r>
    </w:p>
    <w:p w14:paraId="0DAC7DB9" w14:textId="77777777" w:rsidR="00621197" w:rsidRPr="002C2C75" w:rsidRDefault="00621197" w:rsidP="00621197">
      <w:pPr>
        <w:jc w:val="both"/>
        <w:rPr>
          <w:iCs/>
          <w:sz w:val="21"/>
          <w:szCs w:val="21"/>
        </w:rPr>
      </w:pPr>
      <w:r w:rsidRPr="002C2C75">
        <w:rPr>
          <w:iCs/>
          <w:sz w:val="21"/>
          <w:szCs w:val="21"/>
        </w:rPr>
        <w:t>Figure 5: Trends in incidence (SIS-MA), prevalence (MIS/IMASIDA/DHS), ABER (SIS-MA), and inpatient deaths (SIS-MA)</w:t>
      </w:r>
    </w:p>
    <w:p w14:paraId="2D5FDB01" w14:textId="77777777" w:rsidR="00621197" w:rsidRPr="002C2C75" w:rsidRDefault="00621197" w:rsidP="00621197">
      <w:pPr>
        <w:jc w:val="both"/>
      </w:pPr>
      <w:r w:rsidRPr="002C2C75">
        <w:rPr>
          <w:noProof/>
        </w:rPr>
        <w:drawing>
          <wp:inline distT="0" distB="0" distL="0" distR="0" wp14:anchorId="0BC62CE0" wp14:editId="4CB443C6">
            <wp:extent cx="5041900" cy="3001843"/>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2902" cy="3038162"/>
                    </a:xfrm>
                    <a:prstGeom prst="rect">
                      <a:avLst/>
                    </a:prstGeom>
                    <a:noFill/>
                  </pic:spPr>
                </pic:pic>
              </a:graphicData>
            </a:graphic>
          </wp:inline>
        </w:drawing>
      </w:r>
    </w:p>
    <w:p w14:paraId="4DF7EDC7" w14:textId="77777777" w:rsidR="0075301C" w:rsidRPr="002C2C75" w:rsidRDefault="0075301C" w:rsidP="00621197">
      <w:pPr>
        <w:pBdr>
          <w:top w:val="nil"/>
          <w:left w:val="nil"/>
          <w:bottom w:val="nil"/>
          <w:right w:val="nil"/>
          <w:between w:val="nil"/>
        </w:pBdr>
        <w:spacing w:line="240" w:lineRule="auto"/>
        <w:rPr>
          <w:rFonts w:eastAsia="Arial" w:cstheme="minorHAnsi"/>
          <w:color w:val="000000"/>
        </w:rPr>
      </w:pPr>
      <w:bookmarkStart w:id="1" w:name="_heading=h.35nkun2" w:colFirst="0" w:colLast="0"/>
      <w:bookmarkEnd w:id="1"/>
    </w:p>
    <w:p w14:paraId="655A6866" w14:textId="77777777" w:rsidR="0075301C" w:rsidRPr="002C2C75" w:rsidRDefault="0075301C" w:rsidP="00621197">
      <w:pPr>
        <w:pBdr>
          <w:top w:val="nil"/>
          <w:left w:val="nil"/>
          <w:bottom w:val="nil"/>
          <w:right w:val="nil"/>
          <w:between w:val="nil"/>
        </w:pBdr>
        <w:spacing w:line="240" w:lineRule="auto"/>
        <w:rPr>
          <w:rFonts w:eastAsia="Arial" w:cstheme="minorHAnsi"/>
          <w:color w:val="000000"/>
        </w:rPr>
      </w:pPr>
    </w:p>
    <w:p w14:paraId="51618310" w14:textId="3B69CFEC" w:rsidR="00621197" w:rsidRPr="002C2C75" w:rsidRDefault="00621197" w:rsidP="00621197">
      <w:pPr>
        <w:pBdr>
          <w:top w:val="nil"/>
          <w:left w:val="nil"/>
          <w:bottom w:val="nil"/>
          <w:right w:val="nil"/>
          <w:between w:val="nil"/>
        </w:pBdr>
        <w:spacing w:line="240" w:lineRule="auto"/>
        <w:rPr>
          <w:rFonts w:eastAsia="Arial" w:cstheme="minorHAnsi"/>
          <w:color w:val="000000"/>
        </w:rPr>
      </w:pPr>
      <w:r w:rsidRPr="002C2C75">
        <w:rPr>
          <w:rFonts w:eastAsia="Arial" w:cstheme="minorHAnsi"/>
          <w:color w:val="000000"/>
        </w:rPr>
        <w:t xml:space="preserve">Table 6: Malaria cases per 1000 population in Mozambique (2017-2022). (Source, SIS-MA, </w:t>
      </w:r>
      <w:sdt>
        <w:sdtPr>
          <w:rPr>
            <w:rFonts w:eastAsia="Arial" w:cstheme="minorHAnsi"/>
          </w:rPr>
          <w:tag w:val="goog_rdk_19"/>
          <w:id w:val="1911724457"/>
        </w:sdtPr>
        <w:sdtContent/>
      </w:sdt>
      <w:sdt>
        <w:sdtPr>
          <w:rPr>
            <w:rFonts w:eastAsia="Arial" w:cstheme="minorHAnsi"/>
          </w:rPr>
          <w:tag w:val="goog_rdk_20"/>
          <w:id w:val="1051501384"/>
        </w:sdtPr>
        <w:sdtContent/>
      </w:sdt>
      <w:r w:rsidRPr="002C2C75">
        <w:rPr>
          <w:rFonts w:eastAsia="Arial" w:cstheme="minorHAnsi"/>
          <w:color w:val="000000"/>
        </w:rPr>
        <w:t>2023)</w:t>
      </w:r>
    </w:p>
    <w:tbl>
      <w:tblPr>
        <w:tblW w:w="10530" w:type="dxa"/>
        <w:tblInd w:w="-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00" w:firstRow="0" w:lastRow="0" w:firstColumn="0" w:lastColumn="0" w:noHBand="0" w:noVBand="1"/>
      </w:tblPr>
      <w:tblGrid>
        <w:gridCol w:w="1530"/>
        <w:gridCol w:w="720"/>
        <w:gridCol w:w="720"/>
        <w:gridCol w:w="720"/>
        <w:gridCol w:w="720"/>
        <w:gridCol w:w="720"/>
        <w:gridCol w:w="720"/>
        <w:gridCol w:w="4680"/>
      </w:tblGrid>
      <w:tr w:rsidR="00621197" w:rsidRPr="002C2C75" w14:paraId="622B448D" w14:textId="77777777" w:rsidTr="0075301C">
        <w:trPr>
          <w:trHeight w:val="41"/>
        </w:trPr>
        <w:tc>
          <w:tcPr>
            <w:tcW w:w="1530" w:type="dxa"/>
            <w:shd w:val="clear" w:color="auto" w:fill="ED7D31"/>
            <w:vAlign w:val="bottom"/>
          </w:tcPr>
          <w:p w14:paraId="24EDE484" w14:textId="77777777" w:rsidR="00621197" w:rsidRPr="002C2C75" w:rsidRDefault="00621197" w:rsidP="001B7A18">
            <w:pPr>
              <w:spacing w:after="0" w:line="240" w:lineRule="auto"/>
              <w:jc w:val="both"/>
              <w:rPr>
                <w:rFonts w:ascii="Calibri" w:eastAsia="Calibri" w:hAnsi="Calibri" w:cs="Calibri"/>
                <w:b/>
                <w:color w:val="FFFFFF"/>
                <w:lang w:val="en-GB"/>
              </w:rPr>
            </w:pPr>
            <w:r w:rsidRPr="002C2C75">
              <w:rPr>
                <w:rFonts w:ascii="Calibri" w:eastAsia="Calibri" w:hAnsi="Calibri" w:cs="Calibri"/>
                <w:b/>
                <w:color w:val="FFFFFF"/>
                <w:lang w:val="en-GB"/>
              </w:rPr>
              <w:t>Province</w:t>
            </w:r>
          </w:p>
        </w:tc>
        <w:tc>
          <w:tcPr>
            <w:tcW w:w="720" w:type="dxa"/>
            <w:shd w:val="clear" w:color="auto" w:fill="ED7D31"/>
            <w:vAlign w:val="bottom"/>
          </w:tcPr>
          <w:p w14:paraId="55645E6A" w14:textId="77777777" w:rsidR="00621197" w:rsidRPr="002C2C75" w:rsidRDefault="00621197" w:rsidP="001B7A18">
            <w:pPr>
              <w:spacing w:after="0" w:line="240" w:lineRule="auto"/>
              <w:jc w:val="both"/>
              <w:rPr>
                <w:rFonts w:ascii="Calibri" w:eastAsia="Calibri" w:hAnsi="Calibri" w:cs="Calibri"/>
                <w:b/>
                <w:color w:val="FFFFFF"/>
                <w:lang w:val="en-GB"/>
              </w:rPr>
            </w:pPr>
            <w:r w:rsidRPr="002C2C75">
              <w:rPr>
                <w:rFonts w:ascii="Calibri" w:eastAsia="Calibri" w:hAnsi="Calibri" w:cs="Calibri"/>
                <w:b/>
                <w:color w:val="FFFFFF"/>
                <w:lang w:val="en-GB"/>
              </w:rPr>
              <w:t>2017</w:t>
            </w:r>
          </w:p>
        </w:tc>
        <w:tc>
          <w:tcPr>
            <w:tcW w:w="720" w:type="dxa"/>
            <w:shd w:val="clear" w:color="auto" w:fill="ED7D31"/>
            <w:vAlign w:val="bottom"/>
          </w:tcPr>
          <w:p w14:paraId="0686E6C5" w14:textId="77777777" w:rsidR="00621197" w:rsidRPr="002C2C75" w:rsidRDefault="00621197" w:rsidP="001B7A18">
            <w:pPr>
              <w:spacing w:after="0" w:line="240" w:lineRule="auto"/>
              <w:jc w:val="both"/>
              <w:rPr>
                <w:rFonts w:ascii="Calibri" w:eastAsia="Calibri" w:hAnsi="Calibri" w:cs="Calibri"/>
                <w:b/>
                <w:color w:val="FFFFFF"/>
                <w:lang w:val="en-GB"/>
              </w:rPr>
            </w:pPr>
            <w:r w:rsidRPr="002C2C75">
              <w:rPr>
                <w:rFonts w:ascii="Calibri" w:eastAsia="Calibri" w:hAnsi="Calibri" w:cs="Calibri"/>
                <w:b/>
                <w:color w:val="FFFFFF"/>
                <w:lang w:val="en-GB"/>
              </w:rPr>
              <w:t>2018</w:t>
            </w:r>
          </w:p>
        </w:tc>
        <w:tc>
          <w:tcPr>
            <w:tcW w:w="720" w:type="dxa"/>
            <w:shd w:val="clear" w:color="auto" w:fill="ED7D31"/>
            <w:vAlign w:val="bottom"/>
          </w:tcPr>
          <w:p w14:paraId="004FDA61" w14:textId="77777777" w:rsidR="00621197" w:rsidRPr="002C2C75" w:rsidRDefault="00621197" w:rsidP="001B7A18">
            <w:pPr>
              <w:spacing w:after="0" w:line="240" w:lineRule="auto"/>
              <w:jc w:val="both"/>
              <w:rPr>
                <w:rFonts w:ascii="Calibri" w:eastAsia="Calibri" w:hAnsi="Calibri" w:cs="Calibri"/>
                <w:b/>
                <w:color w:val="FFFFFF"/>
                <w:lang w:val="en-GB"/>
              </w:rPr>
            </w:pPr>
            <w:r w:rsidRPr="002C2C75">
              <w:rPr>
                <w:rFonts w:ascii="Calibri" w:eastAsia="Calibri" w:hAnsi="Calibri" w:cs="Calibri"/>
                <w:b/>
                <w:color w:val="FFFFFF"/>
                <w:lang w:val="en-GB"/>
              </w:rPr>
              <w:t>2019</w:t>
            </w:r>
          </w:p>
        </w:tc>
        <w:tc>
          <w:tcPr>
            <w:tcW w:w="720" w:type="dxa"/>
            <w:shd w:val="clear" w:color="auto" w:fill="ED7D31"/>
          </w:tcPr>
          <w:p w14:paraId="1279614E" w14:textId="77777777" w:rsidR="00621197" w:rsidRPr="002C2C75" w:rsidRDefault="00621197" w:rsidP="001B7A18">
            <w:pPr>
              <w:spacing w:after="0" w:line="240" w:lineRule="auto"/>
              <w:jc w:val="both"/>
              <w:rPr>
                <w:rFonts w:ascii="Calibri" w:eastAsia="Calibri" w:hAnsi="Calibri" w:cs="Calibri"/>
                <w:b/>
                <w:color w:val="FFFFFF"/>
                <w:lang w:val="en-GB"/>
              </w:rPr>
            </w:pPr>
            <w:r w:rsidRPr="002C2C75">
              <w:rPr>
                <w:rFonts w:ascii="Calibri" w:eastAsia="Calibri" w:hAnsi="Calibri" w:cs="Calibri"/>
                <w:b/>
                <w:color w:val="FFFFFF"/>
                <w:lang w:val="en-GB"/>
              </w:rPr>
              <w:t>2020</w:t>
            </w:r>
          </w:p>
        </w:tc>
        <w:tc>
          <w:tcPr>
            <w:tcW w:w="720" w:type="dxa"/>
            <w:shd w:val="clear" w:color="auto" w:fill="ED7D31"/>
          </w:tcPr>
          <w:p w14:paraId="5596AB4D" w14:textId="77777777" w:rsidR="00621197" w:rsidRPr="002C2C75" w:rsidRDefault="00621197" w:rsidP="001B7A18">
            <w:pPr>
              <w:spacing w:after="0" w:line="240" w:lineRule="auto"/>
              <w:jc w:val="both"/>
              <w:rPr>
                <w:rFonts w:ascii="Calibri" w:eastAsia="Calibri" w:hAnsi="Calibri" w:cs="Calibri"/>
                <w:b/>
                <w:color w:val="FFFFFF"/>
                <w:lang w:val="en-GB"/>
              </w:rPr>
            </w:pPr>
            <w:r w:rsidRPr="002C2C75">
              <w:rPr>
                <w:rFonts w:ascii="Calibri" w:eastAsia="Calibri" w:hAnsi="Calibri" w:cs="Calibri"/>
                <w:b/>
                <w:color w:val="FFFFFF"/>
                <w:lang w:val="en-GB"/>
              </w:rPr>
              <w:t>2021</w:t>
            </w:r>
          </w:p>
        </w:tc>
        <w:tc>
          <w:tcPr>
            <w:tcW w:w="720" w:type="dxa"/>
            <w:shd w:val="clear" w:color="auto" w:fill="ED7D31"/>
          </w:tcPr>
          <w:p w14:paraId="10369980" w14:textId="77777777" w:rsidR="00621197" w:rsidRPr="002C2C75" w:rsidRDefault="00621197" w:rsidP="001B7A18">
            <w:pPr>
              <w:spacing w:after="0" w:line="240" w:lineRule="auto"/>
              <w:jc w:val="both"/>
              <w:rPr>
                <w:rFonts w:ascii="Calibri" w:eastAsia="Calibri" w:hAnsi="Calibri" w:cs="Calibri"/>
                <w:b/>
                <w:color w:val="FFFFFF"/>
                <w:lang w:val="en-GB"/>
              </w:rPr>
            </w:pPr>
            <w:r w:rsidRPr="002C2C75">
              <w:rPr>
                <w:rFonts w:ascii="Calibri" w:eastAsia="Calibri" w:hAnsi="Calibri" w:cs="Calibri"/>
                <w:b/>
                <w:color w:val="FFFFFF"/>
                <w:lang w:val="en-GB"/>
              </w:rPr>
              <w:t>2022</w:t>
            </w:r>
          </w:p>
        </w:tc>
        <w:tc>
          <w:tcPr>
            <w:tcW w:w="4680" w:type="dxa"/>
            <w:shd w:val="clear" w:color="auto" w:fill="ED7D31"/>
          </w:tcPr>
          <w:p w14:paraId="19AB781A" w14:textId="77777777" w:rsidR="00621197" w:rsidRPr="002C2C75" w:rsidRDefault="00621197" w:rsidP="001B7A18">
            <w:pPr>
              <w:spacing w:after="0" w:line="240" w:lineRule="auto"/>
              <w:jc w:val="both"/>
              <w:rPr>
                <w:rFonts w:ascii="Calibri" w:eastAsia="Calibri" w:hAnsi="Calibri" w:cs="Calibri"/>
                <w:b/>
                <w:color w:val="FFFFFF"/>
                <w:sz w:val="24"/>
                <w:szCs w:val="24"/>
                <w:lang w:val="en-GB"/>
              </w:rPr>
            </w:pPr>
            <w:r w:rsidRPr="002C2C75">
              <w:rPr>
                <w:rFonts w:ascii="Calibri" w:eastAsia="Calibri" w:hAnsi="Calibri" w:cs="Calibri"/>
                <w:b/>
                <w:color w:val="FFFFFF"/>
                <w:sz w:val="24"/>
                <w:szCs w:val="24"/>
                <w:lang w:val="en-GB"/>
              </w:rPr>
              <w:t>Major intervention changes during period</w:t>
            </w:r>
          </w:p>
        </w:tc>
      </w:tr>
      <w:tr w:rsidR="00621197" w:rsidRPr="002C2C75" w14:paraId="4C589C78" w14:textId="77777777" w:rsidTr="0075301C">
        <w:trPr>
          <w:trHeight w:val="191"/>
        </w:trPr>
        <w:tc>
          <w:tcPr>
            <w:tcW w:w="1530" w:type="dxa"/>
            <w:shd w:val="clear" w:color="auto" w:fill="auto"/>
          </w:tcPr>
          <w:p w14:paraId="30F1BD86"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color w:val="000000"/>
                <w:lang w:val="en-GB"/>
              </w:rPr>
              <w:t>Niassa</w:t>
            </w:r>
          </w:p>
        </w:tc>
        <w:tc>
          <w:tcPr>
            <w:tcW w:w="720" w:type="dxa"/>
            <w:shd w:val="clear" w:color="auto" w:fill="auto"/>
          </w:tcPr>
          <w:p w14:paraId="45009186"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408</w:t>
            </w:r>
          </w:p>
        </w:tc>
        <w:tc>
          <w:tcPr>
            <w:tcW w:w="720" w:type="dxa"/>
            <w:shd w:val="clear" w:color="auto" w:fill="auto"/>
          </w:tcPr>
          <w:p w14:paraId="41DBA556"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425</w:t>
            </w:r>
          </w:p>
        </w:tc>
        <w:tc>
          <w:tcPr>
            <w:tcW w:w="720" w:type="dxa"/>
            <w:shd w:val="clear" w:color="auto" w:fill="auto"/>
          </w:tcPr>
          <w:p w14:paraId="22629E0C"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434</w:t>
            </w:r>
          </w:p>
        </w:tc>
        <w:tc>
          <w:tcPr>
            <w:tcW w:w="720" w:type="dxa"/>
          </w:tcPr>
          <w:p w14:paraId="3C5608FA" w14:textId="77777777" w:rsidR="00621197" w:rsidRPr="002C2C75" w:rsidRDefault="00621197" w:rsidP="001B7A18">
            <w:pPr>
              <w:spacing w:after="0" w:line="240" w:lineRule="auto"/>
              <w:rPr>
                <w:rFonts w:ascii="Calibri" w:eastAsia="Calibri" w:hAnsi="Calibri" w:cs="Calibri"/>
                <w:lang w:val="en-GB"/>
              </w:rPr>
            </w:pPr>
            <w:r w:rsidRPr="002C2C75">
              <w:rPr>
                <w:rFonts w:ascii="Calibri" w:eastAsia="Calibri" w:hAnsi="Calibri" w:cs="Calibri"/>
                <w:lang w:val="en-GB"/>
              </w:rPr>
              <w:t>449</w:t>
            </w:r>
          </w:p>
        </w:tc>
        <w:tc>
          <w:tcPr>
            <w:tcW w:w="720" w:type="dxa"/>
          </w:tcPr>
          <w:p w14:paraId="4BA337C3" w14:textId="77777777" w:rsidR="00621197" w:rsidRPr="002C2C75" w:rsidRDefault="00621197" w:rsidP="001B7A18">
            <w:pPr>
              <w:spacing w:after="0" w:line="240" w:lineRule="auto"/>
              <w:rPr>
                <w:rFonts w:ascii="Calibri" w:eastAsia="Calibri" w:hAnsi="Calibri" w:cs="Calibri"/>
                <w:lang w:val="en-GB"/>
              </w:rPr>
            </w:pPr>
            <w:r w:rsidRPr="002C2C75">
              <w:rPr>
                <w:rFonts w:ascii="Calibri" w:eastAsia="Calibri" w:hAnsi="Calibri" w:cs="Calibri"/>
                <w:lang w:val="en-GB"/>
              </w:rPr>
              <w:t>252</w:t>
            </w:r>
          </w:p>
        </w:tc>
        <w:tc>
          <w:tcPr>
            <w:tcW w:w="720" w:type="dxa"/>
          </w:tcPr>
          <w:p w14:paraId="4F9EFE9E" w14:textId="77777777" w:rsidR="00621197" w:rsidRPr="002C2C75" w:rsidRDefault="00621197" w:rsidP="001B7A18">
            <w:pPr>
              <w:spacing w:after="0" w:line="240" w:lineRule="auto"/>
              <w:jc w:val="both"/>
              <w:rPr>
                <w:rFonts w:ascii="Calibri" w:eastAsia="Calibri" w:hAnsi="Calibri" w:cs="Calibri"/>
                <w:bCs/>
                <w:lang w:val="en-GB"/>
              </w:rPr>
            </w:pPr>
            <w:r w:rsidRPr="002C2C75">
              <w:rPr>
                <w:rFonts w:ascii="Calibri" w:eastAsia="Calibri" w:hAnsi="Calibri" w:cs="Calibri"/>
                <w:bCs/>
                <w:lang w:val="en-GB"/>
              </w:rPr>
              <w:t>342</w:t>
            </w:r>
          </w:p>
        </w:tc>
        <w:tc>
          <w:tcPr>
            <w:tcW w:w="4680" w:type="dxa"/>
          </w:tcPr>
          <w:p w14:paraId="219AD7E1" w14:textId="77777777" w:rsidR="00621197" w:rsidRPr="002C2C75" w:rsidRDefault="00621197" w:rsidP="001B7A18">
            <w:pPr>
              <w:spacing w:after="0" w:line="240" w:lineRule="auto"/>
              <w:rPr>
                <w:rFonts w:ascii="Calibri" w:eastAsia="Calibri" w:hAnsi="Calibri" w:cs="Calibri"/>
                <w:color w:val="000000"/>
                <w:sz w:val="16"/>
                <w:szCs w:val="16"/>
                <w:lang w:val="en-GB"/>
              </w:rPr>
            </w:pPr>
            <w:r w:rsidRPr="002C2C75">
              <w:rPr>
                <w:rFonts w:ascii="Calibri" w:eastAsia="Calibri" w:hAnsi="Calibri" w:cs="Calibri"/>
                <w:color w:val="000000"/>
                <w:sz w:val="16"/>
                <w:szCs w:val="16"/>
                <w:lang w:val="en-GB"/>
              </w:rPr>
              <w:t>Dual-AI LLINs in Oct 2020</w:t>
            </w:r>
          </w:p>
        </w:tc>
      </w:tr>
      <w:tr w:rsidR="00621197" w:rsidRPr="002C2C75" w14:paraId="41D21EFC" w14:textId="77777777" w:rsidTr="0075301C">
        <w:trPr>
          <w:trHeight w:val="191"/>
        </w:trPr>
        <w:tc>
          <w:tcPr>
            <w:tcW w:w="1530" w:type="dxa"/>
            <w:shd w:val="clear" w:color="auto" w:fill="auto"/>
          </w:tcPr>
          <w:p w14:paraId="7E77773D"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color w:val="000000"/>
                <w:lang w:val="en-GB"/>
              </w:rPr>
              <w:t>Cabo Delgado</w:t>
            </w:r>
          </w:p>
        </w:tc>
        <w:tc>
          <w:tcPr>
            <w:tcW w:w="720" w:type="dxa"/>
            <w:shd w:val="clear" w:color="auto" w:fill="auto"/>
          </w:tcPr>
          <w:p w14:paraId="48266296"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374</w:t>
            </w:r>
          </w:p>
        </w:tc>
        <w:tc>
          <w:tcPr>
            <w:tcW w:w="720" w:type="dxa"/>
            <w:shd w:val="clear" w:color="auto" w:fill="auto"/>
          </w:tcPr>
          <w:p w14:paraId="03A0DF0D"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418</w:t>
            </w:r>
          </w:p>
        </w:tc>
        <w:tc>
          <w:tcPr>
            <w:tcW w:w="720" w:type="dxa"/>
            <w:shd w:val="clear" w:color="auto" w:fill="auto"/>
          </w:tcPr>
          <w:p w14:paraId="4D999EEF"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386</w:t>
            </w:r>
          </w:p>
        </w:tc>
        <w:tc>
          <w:tcPr>
            <w:tcW w:w="720" w:type="dxa"/>
          </w:tcPr>
          <w:p w14:paraId="19730CEB" w14:textId="77777777" w:rsidR="00621197" w:rsidRPr="002C2C75" w:rsidRDefault="00621197" w:rsidP="001B7A18">
            <w:pPr>
              <w:spacing w:after="0" w:line="240" w:lineRule="auto"/>
              <w:rPr>
                <w:rFonts w:ascii="Calibri" w:eastAsia="Calibri" w:hAnsi="Calibri" w:cs="Calibri"/>
                <w:lang w:val="en-GB"/>
              </w:rPr>
            </w:pPr>
            <w:r w:rsidRPr="002C2C75">
              <w:rPr>
                <w:rFonts w:ascii="Calibri" w:eastAsia="Calibri" w:hAnsi="Calibri" w:cs="Calibri"/>
                <w:lang w:val="en-GB"/>
              </w:rPr>
              <w:t>293</w:t>
            </w:r>
          </w:p>
        </w:tc>
        <w:tc>
          <w:tcPr>
            <w:tcW w:w="720" w:type="dxa"/>
          </w:tcPr>
          <w:p w14:paraId="6DC361E5" w14:textId="77777777" w:rsidR="00621197" w:rsidRPr="002C2C75" w:rsidRDefault="00621197" w:rsidP="001B7A18">
            <w:pPr>
              <w:spacing w:after="0" w:line="240" w:lineRule="auto"/>
              <w:rPr>
                <w:rFonts w:ascii="Calibri" w:eastAsia="Calibri" w:hAnsi="Calibri" w:cs="Calibri"/>
                <w:lang w:val="en-GB"/>
              </w:rPr>
            </w:pPr>
            <w:r w:rsidRPr="002C2C75">
              <w:rPr>
                <w:rFonts w:ascii="Calibri" w:eastAsia="Calibri" w:hAnsi="Calibri" w:cs="Calibri"/>
                <w:lang w:val="en-GB"/>
              </w:rPr>
              <w:t>431</w:t>
            </w:r>
          </w:p>
        </w:tc>
        <w:tc>
          <w:tcPr>
            <w:tcW w:w="720" w:type="dxa"/>
          </w:tcPr>
          <w:p w14:paraId="7B8F75D0" w14:textId="77777777" w:rsidR="00621197" w:rsidRPr="002C2C75" w:rsidRDefault="00621197" w:rsidP="001B7A18">
            <w:pPr>
              <w:spacing w:after="0" w:line="240" w:lineRule="auto"/>
              <w:jc w:val="both"/>
              <w:rPr>
                <w:rFonts w:ascii="Calibri" w:eastAsia="Calibri" w:hAnsi="Calibri" w:cs="Calibri"/>
                <w:bCs/>
                <w:lang w:val="en-GB"/>
              </w:rPr>
            </w:pPr>
            <w:r w:rsidRPr="002C2C75">
              <w:rPr>
                <w:rFonts w:ascii="Calibri" w:eastAsia="Calibri" w:hAnsi="Calibri" w:cs="Calibri"/>
                <w:bCs/>
                <w:lang w:val="en-GB"/>
              </w:rPr>
              <w:t>484</w:t>
            </w:r>
          </w:p>
        </w:tc>
        <w:tc>
          <w:tcPr>
            <w:tcW w:w="4680" w:type="dxa"/>
          </w:tcPr>
          <w:p w14:paraId="49A7B4DB" w14:textId="77777777" w:rsidR="00621197" w:rsidRPr="002C2C75" w:rsidRDefault="00621197" w:rsidP="001B7A18">
            <w:pPr>
              <w:spacing w:after="0" w:line="240" w:lineRule="auto"/>
              <w:rPr>
                <w:rFonts w:ascii="Calibri" w:eastAsia="Calibri" w:hAnsi="Calibri" w:cs="Calibri"/>
                <w:color w:val="000000"/>
                <w:sz w:val="16"/>
                <w:szCs w:val="16"/>
                <w:lang w:val="en-GB"/>
              </w:rPr>
            </w:pPr>
            <w:r w:rsidRPr="002C2C75">
              <w:rPr>
                <w:rFonts w:ascii="Calibri" w:eastAsia="Calibri" w:hAnsi="Calibri" w:cs="Calibri"/>
                <w:color w:val="000000"/>
                <w:sz w:val="16"/>
                <w:szCs w:val="16"/>
                <w:lang w:val="en-GB"/>
              </w:rPr>
              <w:t>PBO LLINs in Jul 2019; displacement surge in 2020/21</w:t>
            </w:r>
          </w:p>
        </w:tc>
      </w:tr>
      <w:tr w:rsidR="00621197" w:rsidRPr="002C2C75" w14:paraId="1FE52CC6" w14:textId="77777777" w:rsidTr="0075301C">
        <w:trPr>
          <w:trHeight w:val="191"/>
        </w:trPr>
        <w:tc>
          <w:tcPr>
            <w:tcW w:w="1530" w:type="dxa"/>
            <w:shd w:val="clear" w:color="auto" w:fill="auto"/>
          </w:tcPr>
          <w:p w14:paraId="34FB72D4"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color w:val="000000"/>
                <w:lang w:val="en-GB"/>
              </w:rPr>
              <w:t>Nampula</w:t>
            </w:r>
          </w:p>
        </w:tc>
        <w:tc>
          <w:tcPr>
            <w:tcW w:w="720" w:type="dxa"/>
            <w:shd w:val="clear" w:color="auto" w:fill="auto"/>
          </w:tcPr>
          <w:p w14:paraId="2D70FB38"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328</w:t>
            </w:r>
          </w:p>
        </w:tc>
        <w:tc>
          <w:tcPr>
            <w:tcW w:w="720" w:type="dxa"/>
            <w:shd w:val="clear" w:color="auto" w:fill="auto"/>
          </w:tcPr>
          <w:p w14:paraId="626262C4"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398</w:t>
            </w:r>
          </w:p>
        </w:tc>
        <w:tc>
          <w:tcPr>
            <w:tcW w:w="720" w:type="dxa"/>
            <w:shd w:val="clear" w:color="auto" w:fill="auto"/>
          </w:tcPr>
          <w:p w14:paraId="7373E7B8"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378</w:t>
            </w:r>
          </w:p>
        </w:tc>
        <w:tc>
          <w:tcPr>
            <w:tcW w:w="720" w:type="dxa"/>
          </w:tcPr>
          <w:p w14:paraId="408D7AF9" w14:textId="77777777" w:rsidR="00621197" w:rsidRPr="002C2C75" w:rsidRDefault="00621197" w:rsidP="001B7A18">
            <w:pPr>
              <w:spacing w:after="0" w:line="240" w:lineRule="auto"/>
              <w:rPr>
                <w:rFonts w:ascii="Calibri" w:eastAsia="Calibri" w:hAnsi="Calibri" w:cs="Calibri"/>
                <w:lang w:val="en-GB"/>
              </w:rPr>
            </w:pPr>
            <w:r w:rsidRPr="002C2C75">
              <w:rPr>
                <w:rFonts w:ascii="Calibri" w:eastAsia="Calibri" w:hAnsi="Calibri" w:cs="Calibri"/>
                <w:lang w:val="en-GB"/>
              </w:rPr>
              <w:t>379</w:t>
            </w:r>
          </w:p>
        </w:tc>
        <w:tc>
          <w:tcPr>
            <w:tcW w:w="720" w:type="dxa"/>
          </w:tcPr>
          <w:p w14:paraId="0EB3897D" w14:textId="77777777" w:rsidR="00621197" w:rsidRPr="002C2C75" w:rsidRDefault="00621197" w:rsidP="001B7A18">
            <w:pPr>
              <w:spacing w:after="0" w:line="240" w:lineRule="auto"/>
              <w:rPr>
                <w:rFonts w:ascii="Calibri" w:eastAsia="Calibri" w:hAnsi="Calibri" w:cs="Calibri"/>
                <w:lang w:val="en-GB"/>
              </w:rPr>
            </w:pPr>
            <w:r w:rsidRPr="002C2C75">
              <w:rPr>
                <w:rFonts w:ascii="Calibri" w:eastAsia="Calibri" w:hAnsi="Calibri" w:cs="Calibri"/>
                <w:lang w:val="en-GB"/>
              </w:rPr>
              <w:t>412</w:t>
            </w:r>
          </w:p>
        </w:tc>
        <w:tc>
          <w:tcPr>
            <w:tcW w:w="720" w:type="dxa"/>
          </w:tcPr>
          <w:p w14:paraId="18AE2A86" w14:textId="77777777" w:rsidR="00621197" w:rsidRPr="002C2C75" w:rsidRDefault="00621197" w:rsidP="001B7A18">
            <w:pPr>
              <w:spacing w:after="0" w:line="240" w:lineRule="auto"/>
              <w:jc w:val="both"/>
              <w:rPr>
                <w:rFonts w:ascii="Calibri" w:eastAsia="Calibri" w:hAnsi="Calibri" w:cs="Calibri"/>
                <w:bCs/>
                <w:lang w:val="en-GB"/>
              </w:rPr>
            </w:pPr>
            <w:r w:rsidRPr="002C2C75">
              <w:rPr>
                <w:rFonts w:ascii="Calibri" w:eastAsia="Calibri" w:hAnsi="Calibri" w:cs="Calibri"/>
                <w:bCs/>
                <w:lang w:val="en-GB"/>
              </w:rPr>
              <w:t>468</w:t>
            </w:r>
          </w:p>
        </w:tc>
        <w:tc>
          <w:tcPr>
            <w:tcW w:w="4680" w:type="dxa"/>
          </w:tcPr>
          <w:p w14:paraId="6CA20D4D" w14:textId="77777777" w:rsidR="00621197" w:rsidRPr="002C2C75" w:rsidRDefault="00621197" w:rsidP="001B7A18">
            <w:pPr>
              <w:spacing w:after="0" w:line="240" w:lineRule="auto"/>
              <w:rPr>
                <w:rFonts w:ascii="Calibri" w:eastAsia="Calibri" w:hAnsi="Calibri" w:cs="Calibri"/>
                <w:color w:val="000000"/>
                <w:sz w:val="16"/>
                <w:szCs w:val="16"/>
                <w:lang w:val="en-GB"/>
              </w:rPr>
            </w:pPr>
            <w:r w:rsidRPr="002C2C75">
              <w:rPr>
                <w:rFonts w:ascii="Calibri" w:eastAsia="Calibri" w:hAnsi="Calibri" w:cs="Calibri"/>
                <w:color w:val="000000"/>
                <w:sz w:val="16"/>
                <w:szCs w:val="16"/>
                <w:lang w:val="en-GB"/>
              </w:rPr>
              <w:t>Pyr. LLIN + targeted non-pyrethroid IRS through full period; SMC pilot 2020-22</w:t>
            </w:r>
          </w:p>
        </w:tc>
      </w:tr>
      <w:tr w:rsidR="00621197" w:rsidRPr="002C2C75" w14:paraId="48EA0780" w14:textId="77777777" w:rsidTr="0075301C">
        <w:trPr>
          <w:trHeight w:val="191"/>
        </w:trPr>
        <w:tc>
          <w:tcPr>
            <w:tcW w:w="1530" w:type="dxa"/>
            <w:shd w:val="clear" w:color="auto" w:fill="auto"/>
          </w:tcPr>
          <w:p w14:paraId="35F36DB0"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color w:val="000000"/>
                <w:lang w:val="en-GB"/>
              </w:rPr>
              <w:t>Zambezia</w:t>
            </w:r>
          </w:p>
        </w:tc>
        <w:tc>
          <w:tcPr>
            <w:tcW w:w="720" w:type="dxa"/>
            <w:shd w:val="clear" w:color="auto" w:fill="auto"/>
          </w:tcPr>
          <w:p w14:paraId="56C3D6E6"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318</w:t>
            </w:r>
          </w:p>
        </w:tc>
        <w:tc>
          <w:tcPr>
            <w:tcW w:w="720" w:type="dxa"/>
            <w:shd w:val="clear" w:color="auto" w:fill="auto"/>
          </w:tcPr>
          <w:p w14:paraId="321806DA"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362</w:t>
            </w:r>
          </w:p>
        </w:tc>
        <w:tc>
          <w:tcPr>
            <w:tcW w:w="720" w:type="dxa"/>
            <w:shd w:val="clear" w:color="auto" w:fill="auto"/>
          </w:tcPr>
          <w:p w14:paraId="5ECBB61B"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436</w:t>
            </w:r>
          </w:p>
        </w:tc>
        <w:tc>
          <w:tcPr>
            <w:tcW w:w="720" w:type="dxa"/>
          </w:tcPr>
          <w:p w14:paraId="48160CA4" w14:textId="77777777" w:rsidR="00621197" w:rsidRPr="002C2C75" w:rsidRDefault="00621197" w:rsidP="001B7A18">
            <w:pPr>
              <w:spacing w:after="0" w:line="240" w:lineRule="auto"/>
              <w:rPr>
                <w:rFonts w:ascii="Calibri" w:eastAsia="Calibri" w:hAnsi="Calibri" w:cs="Calibri"/>
                <w:lang w:val="en-GB"/>
              </w:rPr>
            </w:pPr>
            <w:r w:rsidRPr="002C2C75">
              <w:rPr>
                <w:rFonts w:ascii="Calibri" w:eastAsia="Calibri" w:hAnsi="Calibri" w:cs="Calibri"/>
                <w:lang w:val="en-GB"/>
              </w:rPr>
              <w:t>489</w:t>
            </w:r>
          </w:p>
        </w:tc>
        <w:tc>
          <w:tcPr>
            <w:tcW w:w="720" w:type="dxa"/>
          </w:tcPr>
          <w:p w14:paraId="10EFB976" w14:textId="77777777" w:rsidR="00621197" w:rsidRPr="002C2C75" w:rsidRDefault="00621197" w:rsidP="001B7A18">
            <w:pPr>
              <w:spacing w:after="0" w:line="240" w:lineRule="auto"/>
              <w:rPr>
                <w:rFonts w:ascii="Calibri" w:eastAsia="Calibri" w:hAnsi="Calibri" w:cs="Calibri"/>
                <w:lang w:val="en-GB"/>
              </w:rPr>
            </w:pPr>
            <w:r w:rsidRPr="002C2C75">
              <w:rPr>
                <w:rFonts w:ascii="Calibri" w:eastAsia="Calibri" w:hAnsi="Calibri" w:cs="Calibri"/>
                <w:lang w:val="en-GB"/>
              </w:rPr>
              <w:t>463</w:t>
            </w:r>
          </w:p>
        </w:tc>
        <w:tc>
          <w:tcPr>
            <w:tcW w:w="720" w:type="dxa"/>
          </w:tcPr>
          <w:p w14:paraId="57AA9B17" w14:textId="77777777" w:rsidR="00621197" w:rsidRPr="002C2C75" w:rsidRDefault="00621197" w:rsidP="001B7A18">
            <w:pPr>
              <w:spacing w:after="0" w:line="240" w:lineRule="auto"/>
              <w:jc w:val="both"/>
              <w:rPr>
                <w:rFonts w:ascii="Calibri" w:eastAsia="Calibri" w:hAnsi="Calibri" w:cs="Calibri"/>
                <w:bCs/>
                <w:lang w:val="en-GB"/>
              </w:rPr>
            </w:pPr>
            <w:r w:rsidRPr="002C2C75">
              <w:rPr>
                <w:rFonts w:ascii="Calibri" w:eastAsia="Calibri" w:hAnsi="Calibri" w:cs="Calibri"/>
                <w:bCs/>
                <w:lang w:val="en-GB"/>
              </w:rPr>
              <w:t>553</w:t>
            </w:r>
          </w:p>
        </w:tc>
        <w:tc>
          <w:tcPr>
            <w:tcW w:w="4680" w:type="dxa"/>
          </w:tcPr>
          <w:p w14:paraId="470C962D" w14:textId="77777777" w:rsidR="00621197" w:rsidRPr="002C2C75" w:rsidRDefault="00621197" w:rsidP="001B7A18">
            <w:pPr>
              <w:spacing w:after="0" w:line="240" w:lineRule="auto"/>
              <w:rPr>
                <w:rFonts w:ascii="Calibri" w:eastAsia="Calibri" w:hAnsi="Calibri" w:cs="Calibri"/>
                <w:color w:val="000000"/>
                <w:sz w:val="16"/>
                <w:szCs w:val="16"/>
                <w:lang w:val="en-GB"/>
              </w:rPr>
            </w:pPr>
            <w:r w:rsidRPr="002C2C75">
              <w:rPr>
                <w:rFonts w:ascii="Calibri" w:eastAsia="Calibri" w:hAnsi="Calibri" w:cs="Calibri"/>
                <w:color w:val="000000"/>
                <w:sz w:val="16"/>
                <w:szCs w:val="16"/>
                <w:lang w:val="en-GB"/>
              </w:rPr>
              <w:t>Pyr. LLIN + targeted non-pyrethroid IRS through full period</w:t>
            </w:r>
          </w:p>
        </w:tc>
      </w:tr>
      <w:tr w:rsidR="00621197" w:rsidRPr="002C2C75" w14:paraId="195F1CEF" w14:textId="77777777" w:rsidTr="0075301C">
        <w:trPr>
          <w:trHeight w:val="191"/>
        </w:trPr>
        <w:tc>
          <w:tcPr>
            <w:tcW w:w="1530" w:type="dxa"/>
            <w:shd w:val="clear" w:color="auto" w:fill="auto"/>
          </w:tcPr>
          <w:p w14:paraId="552E9A75"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color w:val="000000"/>
                <w:lang w:val="en-GB"/>
              </w:rPr>
              <w:t>Sofala</w:t>
            </w:r>
          </w:p>
        </w:tc>
        <w:tc>
          <w:tcPr>
            <w:tcW w:w="720" w:type="dxa"/>
            <w:shd w:val="clear" w:color="auto" w:fill="auto"/>
          </w:tcPr>
          <w:p w14:paraId="77E855FD"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465</w:t>
            </w:r>
          </w:p>
        </w:tc>
        <w:tc>
          <w:tcPr>
            <w:tcW w:w="720" w:type="dxa"/>
            <w:shd w:val="clear" w:color="auto" w:fill="auto"/>
          </w:tcPr>
          <w:p w14:paraId="2737C2CC"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439</w:t>
            </w:r>
          </w:p>
        </w:tc>
        <w:tc>
          <w:tcPr>
            <w:tcW w:w="720" w:type="dxa"/>
            <w:shd w:val="clear" w:color="auto" w:fill="auto"/>
          </w:tcPr>
          <w:p w14:paraId="2138D790"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468</w:t>
            </w:r>
          </w:p>
        </w:tc>
        <w:tc>
          <w:tcPr>
            <w:tcW w:w="720" w:type="dxa"/>
          </w:tcPr>
          <w:p w14:paraId="1CB285C8" w14:textId="77777777" w:rsidR="00621197" w:rsidRPr="002C2C75" w:rsidRDefault="00621197" w:rsidP="001B7A18">
            <w:pPr>
              <w:spacing w:after="0" w:line="240" w:lineRule="auto"/>
              <w:rPr>
                <w:rFonts w:ascii="Calibri" w:eastAsia="Calibri" w:hAnsi="Calibri" w:cs="Calibri"/>
                <w:lang w:val="en-GB"/>
              </w:rPr>
            </w:pPr>
            <w:r w:rsidRPr="002C2C75">
              <w:rPr>
                <w:rFonts w:ascii="Calibri" w:eastAsia="Calibri" w:hAnsi="Calibri" w:cs="Calibri"/>
                <w:lang w:val="en-GB"/>
              </w:rPr>
              <w:t>464</w:t>
            </w:r>
          </w:p>
        </w:tc>
        <w:tc>
          <w:tcPr>
            <w:tcW w:w="720" w:type="dxa"/>
          </w:tcPr>
          <w:p w14:paraId="07C314AA" w14:textId="77777777" w:rsidR="00621197" w:rsidRPr="002C2C75" w:rsidRDefault="00621197" w:rsidP="001B7A18">
            <w:pPr>
              <w:spacing w:after="0" w:line="240" w:lineRule="auto"/>
              <w:rPr>
                <w:rFonts w:ascii="Calibri" w:eastAsia="Calibri" w:hAnsi="Calibri" w:cs="Calibri"/>
                <w:lang w:val="en-GB"/>
              </w:rPr>
            </w:pPr>
            <w:r w:rsidRPr="002C2C75">
              <w:rPr>
                <w:rFonts w:ascii="Calibri" w:eastAsia="Calibri" w:hAnsi="Calibri" w:cs="Calibri"/>
                <w:lang w:val="en-GB"/>
              </w:rPr>
              <w:t>425</w:t>
            </w:r>
          </w:p>
        </w:tc>
        <w:tc>
          <w:tcPr>
            <w:tcW w:w="720" w:type="dxa"/>
          </w:tcPr>
          <w:p w14:paraId="61FC6A6A" w14:textId="77777777" w:rsidR="00621197" w:rsidRPr="002C2C75" w:rsidRDefault="00621197" w:rsidP="001B7A18">
            <w:pPr>
              <w:spacing w:after="0" w:line="240" w:lineRule="auto"/>
              <w:jc w:val="both"/>
              <w:rPr>
                <w:rFonts w:ascii="Calibri" w:eastAsia="Calibri" w:hAnsi="Calibri" w:cs="Calibri"/>
                <w:bCs/>
                <w:lang w:val="en-GB"/>
              </w:rPr>
            </w:pPr>
            <w:r w:rsidRPr="002C2C75">
              <w:rPr>
                <w:rFonts w:ascii="Calibri" w:eastAsia="Calibri" w:hAnsi="Calibri" w:cs="Calibri"/>
                <w:bCs/>
                <w:lang w:val="en-GB"/>
              </w:rPr>
              <w:t>556</w:t>
            </w:r>
          </w:p>
        </w:tc>
        <w:tc>
          <w:tcPr>
            <w:tcW w:w="4680" w:type="dxa"/>
          </w:tcPr>
          <w:p w14:paraId="2B8B483D" w14:textId="77777777" w:rsidR="00621197" w:rsidRPr="002C2C75" w:rsidRDefault="00621197" w:rsidP="001B7A18">
            <w:pPr>
              <w:spacing w:after="0" w:line="240" w:lineRule="auto"/>
              <w:rPr>
                <w:rFonts w:ascii="Calibri" w:eastAsia="Calibri" w:hAnsi="Calibri" w:cs="Calibri"/>
                <w:color w:val="000000"/>
                <w:sz w:val="16"/>
                <w:szCs w:val="16"/>
                <w:lang w:val="en-GB"/>
              </w:rPr>
            </w:pPr>
            <w:r w:rsidRPr="002C2C75">
              <w:rPr>
                <w:rFonts w:ascii="Calibri" w:eastAsia="Calibri" w:hAnsi="Calibri" w:cs="Calibri"/>
                <w:color w:val="000000"/>
                <w:sz w:val="16"/>
                <w:szCs w:val="16"/>
                <w:lang w:val="en-GB"/>
              </w:rPr>
              <w:t>Pyr. LLIN throughout; Cyclone IDAI related displacement in 2019</w:t>
            </w:r>
          </w:p>
        </w:tc>
      </w:tr>
      <w:tr w:rsidR="00621197" w:rsidRPr="002C2C75" w14:paraId="4C81EBE4" w14:textId="77777777" w:rsidTr="0075301C">
        <w:trPr>
          <w:trHeight w:val="191"/>
        </w:trPr>
        <w:tc>
          <w:tcPr>
            <w:tcW w:w="1530" w:type="dxa"/>
            <w:shd w:val="clear" w:color="auto" w:fill="auto"/>
          </w:tcPr>
          <w:p w14:paraId="70E5CF51"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color w:val="000000"/>
                <w:lang w:val="en-GB"/>
              </w:rPr>
              <w:t>Tete</w:t>
            </w:r>
          </w:p>
        </w:tc>
        <w:tc>
          <w:tcPr>
            <w:tcW w:w="720" w:type="dxa"/>
            <w:shd w:val="clear" w:color="auto" w:fill="auto"/>
          </w:tcPr>
          <w:p w14:paraId="3B4F561B"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289</w:t>
            </w:r>
          </w:p>
        </w:tc>
        <w:tc>
          <w:tcPr>
            <w:tcW w:w="720" w:type="dxa"/>
            <w:shd w:val="clear" w:color="auto" w:fill="auto"/>
          </w:tcPr>
          <w:p w14:paraId="6DA71110"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217</w:t>
            </w:r>
          </w:p>
        </w:tc>
        <w:tc>
          <w:tcPr>
            <w:tcW w:w="720" w:type="dxa"/>
            <w:shd w:val="clear" w:color="auto" w:fill="auto"/>
          </w:tcPr>
          <w:p w14:paraId="3D46890D"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258</w:t>
            </w:r>
          </w:p>
        </w:tc>
        <w:tc>
          <w:tcPr>
            <w:tcW w:w="720" w:type="dxa"/>
          </w:tcPr>
          <w:p w14:paraId="56048379" w14:textId="77777777" w:rsidR="00621197" w:rsidRPr="002C2C75" w:rsidRDefault="00621197" w:rsidP="001B7A18">
            <w:pPr>
              <w:spacing w:after="0" w:line="240" w:lineRule="auto"/>
              <w:rPr>
                <w:rFonts w:ascii="Calibri" w:eastAsia="Calibri" w:hAnsi="Calibri" w:cs="Calibri"/>
                <w:lang w:val="en-GB"/>
              </w:rPr>
            </w:pPr>
            <w:r w:rsidRPr="002C2C75">
              <w:rPr>
                <w:rFonts w:ascii="Calibri" w:eastAsia="Calibri" w:hAnsi="Calibri" w:cs="Calibri"/>
                <w:lang w:val="en-GB"/>
              </w:rPr>
              <w:t>279</w:t>
            </w:r>
          </w:p>
        </w:tc>
        <w:tc>
          <w:tcPr>
            <w:tcW w:w="720" w:type="dxa"/>
          </w:tcPr>
          <w:p w14:paraId="0634AB4D" w14:textId="77777777" w:rsidR="00621197" w:rsidRPr="002C2C75" w:rsidRDefault="00621197" w:rsidP="001B7A18">
            <w:pPr>
              <w:spacing w:after="0" w:line="240" w:lineRule="auto"/>
              <w:rPr>
                <w:rFonts w:ascii="Calibri" w:eastAsia="Calibri" w:hAnsi="Calibri" w:cs="Calibri"/>
                <w:lang w:val="en-GB"/>
              </w:rPr>
            </w:pPr>
            <w:r w:rsidRPr="002C2C75">
              <w:rPr>
                <w:rFonts w:ascii="Calibri" w:eastAsia="Calibri" w:hAnsi="Calibri" w:cs="Calibri"/>
                <w:lang w:val="en-GB"/>
              </w:rPr>
              <w:t>133</w:t>
            </w:r>
          </w:p>
        </w:tc>
        <w:tc>
          <w:tcPr>
            <w:tcW w:w="720" w:type="dxa"/>
          </w:tcPr>
          <w:p w14:paraId="2D9C637E" w14:textId="77777777" w:rsidR="00621197" w:rsidRPr="002C2C75" w:rsidRDefault="00621197" w:rsidP="001B7A18">
            <w:pPr>
              <w:spacing w:after="0" w:line="240" w:lineRule="auto"/>
              <w:jc w:val="both"/>
              <w:rPr>
                <w:rFonts w:ascii="Calibri" w:eastAsia="Calibri" w:hAnsi="Calibri" w:cs="Calibri"/>
                <w:bCs/>
                <w:lang w:val="en-GB"/>
              </w:rPr>
            </w:pPr>
            <w:r w:rsidRPr="002C2C75">
              <w:rPr>
                <w:rFonts w:ascii="Calibri" w:eastAsia="Calibri" w:hAnsi="Calibri" w:cs="Calibri"/>
                <w:bCs/>
                <w:lang w:val="en-GB"/>
              </w:rPr>
              <w:t>184</w:t>
            </w:r>
          </w:p>
        </w:tc>
        <w:tc>
          <w:tcPr>
            <w:tcW w:w="4680" w:type="dxa"/>
          </w:tcPr>
          <w:p w14:paraId="63A1AD4A" w14:textId="77777777" w:rsidR="00621197" w:rsidRPr="002C2C75" w:rsidRDefault="00621197" w:rsidP="001B7A18">
            <w:pPr>
              <w:spacing w:after="0" w:line="240" w:lineRule="auto"/>
              <w:rPr>
                <w:rFonts w:ascii="Calibri" w:eastAsia="Calibri" w:hAnsi="Calibri" w:cs="Calibri"/>
                <w:color w:val="000000"/>
                <w:sz w:val="16"/>
                <w:szCs w:val="16"/>
                <w:lang w:val="en-GB"/>
              </w:rPr>
            </w:pPr>
            <w:r w:rsidRPr="002C2C75">
              <w:rPr>
                <w:rFonts w:ascii="Calibri" w:eastAsia="Calibri" w:hAnsi="Calibri" w:cs="Calibri"/>
                <w:color w:val="000000"/>
                <w:sz w:val="16"/>
                <w:szCs w:val="16"/>
                <w:lang w:val="en-GB"/>
              </w:rPr>
              <w:t>PBO LLINs in Jun 2020</w:t>
            </w:r>
          </w:p>
        </w:tc>
      </w:tr>
      <w:tr w:rsidR="00621197" w:rsidRPr="002C2C75" w14:paraId="1F7AE4CC" w14:textId="77777777" w:rsidTr="0075301C">
        <w:trPr>
          <w:trHeight w:val="191"/>
        </w:trPr>
        <w:tc>
          <w:tcPr>
            <w:tcW w:w="1530" w:type="dxa"/>
            <w:shd w:val="clear" w:color="auto" w:fill="auto"/>
          </w:tcPr>
          <w:p w14:paraId="2F4354E8"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color w:val="000000"/>
                <w:lang w:val="en-GB"/>
              </w:rPr>
              <w:t>Manica</w:t>
            </w:r>
          </w:p>
        </w:tc>
        <w:tc>
          <w:tcPr>
            <w:tcW w:w="720" w:type="dxa"/>
            <w:shd w:val="clear" w:color="auto" w:fill="auto"/>
          </w:tcPr>
          <w:p w14:paraId="451D2245"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530</w:t>
            </w:r>
          </w:p>
        </w:tc>
        <w:tc>
          <w:tcPr>
            <w:tcW w:w="720" w:type="dxa"/>
            <w:shd w:val="clear" w:color="auto" w:fill="auto"/>
          </w:tcPr>
          <w:p w14:paraId="09B890AE"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470</w:t>
            </w:r>
          </w:p>
        </w:tc>
        <w:tc>
          <w:tcPr>
            <w:tcW w:w="720" w:type="dxa"/>
            <w:shd w:val="clear" w:color="auto" w:fill="auto"/>
          </w:tcPr>
          <w:p w14:paraId="08930E00"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617</w:t>
            </w:r>
          </w:p>
        </w:tc>
        <w:tc>
          <w:tcPr>
            <w:tcW w:w="720" w:type="dxa"/>
          </w:tcPr>
          <w:p w14:paraId="0C8CBE9D" w14:textId="77777777" w:rsidR="00621197" w:rsidRPr="002C2C75" w:rsidRDefault="00621197" w:rsidP="001B7A18">
            <w:pPr>
              <w:spacing w:after="0" w:line="240" w:lineRule="auto"/>
              <w:rPr>
                <w:rFonts w:ascii="Calibri" w:eastAsia="Calibri" w:hAnsi="Calibri" w:cs="Calibri"/>
                <w:lang w:val="en-GB"/>
              </w:rPr>
            </w:pPr>
            <w:r w:rsidRPr="002C2C75">
              <w:rPr>
                <w:rFonts w:ascii="Calibri" w:eastAsia="Calibri" w:hAnsi="Calibri" w:cs="Calibri"/>
                <w:lang w:val="en-GB"/>
              </w:rPr>
              <w:t>755</w:t>
            </w:r>
          </w:p>
        </w:tc>
        <w:tc>
          <w:tcPr>
            <w:tcW w:w="720" w:type="dxa"/>
          </w:tcPr>
          <w:p w14:paraId="0E7951BF" w14:textId="77777777" w:rsidR="00621197" w:rsidRPr="002C2C75" w:rsidRDefault="00621197" w:rsidP="001B7A18">
            <w:pPr>
              <w:spacing w:after="0" w:line="240" w:lineRule="auto"/>
              <w:rPr>
                <w:rFonts w:ascii="Calibri" w:eastAsia="Calibri" w:hAnsi="Calibri" w:cs="Calibri"/>
                <w:lang w:val="en-GB"/>
              </w:rPr>
            </w:pPr>
            <w:r w:rsidRPr="002C2C75">
              <w:rPr>
                <w:rFonts w:ascii="Calibri" w:eastAsia="Calibri" w:hAnsi="Calibri" w:cs="Calibri"/>
                <w:lang w:val="en-GB"/>
              </w:rPr>
              <w:t>310</w:t>
            </w:r>
          </w:p>
        </w:tc>
        <w:tc>
          <w:tcPr>
            <w:tcW w:w="720" w:type="dxa"/>
          </w:tcPr>
          <w:p w14:paraId="5F41D584" w14:textId="77777777" w:rsidR="00621197" w:rsidRPr="002C2C75" w:rsidRDefault="00621197" w:rsidP="001B7A18">
            <w:pPr>
              <w:spacing w:after="0" w:line="240" w:lineRule="auto"/>
              <w:jc w:val="both"/>
              <w:rPr>
                <w:rFonts w:ascii="Calibri" w:eastAsia="Calibri" w:hAnsi="Calibri" w:cs="Calibri"/>
                <w:bCs/>
                <w:lang w:val="en-GB"/>
              </w:rPr>
            </w:pPr>
            <w:r w:rsidRPr="002C2C75">
              <w:rPr>
                <w:rFonts w:ascii="Calibri" w:eastAsia="Calibri" w:hAnsi="Calibri" w:cs="Calibri"/>
                <w:bCs/>
                <w:lang w:val="en-GB"/>
              </w:rPr>
              <w:t>311</w:t>
            </w:r>
          </w:p>
        </w:tc>
        <w:tc>
          <w:tcPr>
            <w:tcW w:w="4680" w:type="dxa"/>
          </w:tcPr>
          <w:p w14:paraId="7BA90D94" w14:textId="77777777" w:rsidR="00621197" w:rsidRPr="002C2C75" w:rsidRDefault="00621197" w:rsidP="001B7A18">
            <w:pPr>
              <w:spacing w:after="0" w:line="240" w:lineRule="auto"/>
              <w:rPr>
                <w:rFonts w:ascii="Calibri" w:eastAsia="Calibri" w:hAnsi="Calibri" w:cs="Calibri"/>
                <w:color w:val="000000"/>
                <w:sz w:val="16"/>
                <w:szCs w:val="16"/>
                <w:lang w:val="en-GB"/>
              </w:rPr>
            </w:pPr>
            <w:r w:rsidRPr="002C2C75">
              <w:rPr>
                <w:rFonts w:ascii="Calibri" w:eastAsia="Calibri" w:hAnsi="Calibri" w:cs="Calibri"/>
                <w:color w:val="000000"/>
                <w:sz w:val="16"/>
                <w:szCs w:val="16"/>
                <w:lang w:val="en-GB"/>
              </w:rPr>
              <w:t>Dual-AI LLINs in Nov 2020</w:t>
            </w:r>
          </w:p>
        </w:tc>
      </w:tr>
      <w:tr w:rsidR="00621197" w:rsidRPr="002C2C75" w14:paraId="54C71801" w14:textId="77777777" w:rsidTr="0075301C">
        <w:trPr>
          <w:trHeight w:val="191"/>
        </w:trPr>
        <w:tc>
          <w:tcPr>
            <w:tcW w:w="1530" w:type="dxa"/>
            <w:shd w:val="clear" w:color="auto" w:fill="auto"/>
          </w:tcPr>
          <w:p w14:paraId="48A82DAA"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color w:val="000000"/>
                <w:lang w:val="en-GB"/>
              </w:rPr>
              <w:t>Inhambane</w:t>
            </w:r>
          </w:p>
        </w:tc>
        <w:tc>
          <w:tcPr>
            <w:tcW w:w="720" w:type="dxa"/>
            <w:shd w:val="clear" w:color="auto" w:fill="auto"/>
          </w:tcPr>
          <w:p w14:paraId="76ECBE80"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667</w:t>
            </w:r>
          </w:p>
        </w:tc>
        <w:tc>
          <w:tcPr>
            <w:tcW w:w="720" w:type="dxa"/>
            <w:shd w:val="clear" w:color="auto" w:fill="auto"/>
          </w:tcPr>
          <w:p w14:paraId="73553C58"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683</w:t>
            </w:r>
          </w:p>
        </w:tc>
        <w:tc>
          <w:tcPr>
            <w:tcW w:w="720" w:type="dxa"/>
            <w:shd w:val="clear" w:color="auto" w:fill="auto"/>
          </w:tcPr>
          <w:p w14:paraId="27F8E1F3"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561</w:t>
            </w:r>
          </w:p>
        </w:tc>
        <w:tc>
          <w:tcPr>
            <w:tcW w:w="720" w:type="dxa"/>
          </w:tcPr>
          <w:p w14:paraId="1200E300" w14:textId="77777777" w:rsidR="00621197" w:rsidRPr="002C2C75" w:rsidRDefault="00621197" w:rsidP="001B7A18">
            <w:pPr>
              <w:spacing w:after="0" w:line="240" w:lineRule="auto"/>
              <w:rPr>
                <w:rFonts w:ascii="Calibri" w:eastAsia="Calibri" w:hAnsi="Calibri" w:cs="Calibri"/>
                <w:lang w:val="en-GB"/>
              </w:rPr>
            </w:pPr>
            <w:r w:rsidRPr="002C2C75">
              <w:rPr>
                <w:rFonts w:ascii="Calibri" w:eastAsia="Calibri" w:hAnsi="Calibri" w:cs="Calibri"/>
                <w:lang w:val="en-GB"/>
              </w:rPr>
              <w:t>378</w:t>
            </w:r>
          </w:p>
        </w:tc>
        <w:tc>
          <w:tcPr>
            <w:tcW w:w="720" w:type="dxa"/>
          </w:tcPr>
          <w:p w14:paraId="4711218F" w14:textId="77777777" w:rsidR="00621197" w:rsidRPr="002C2C75" w:rsidRDefault="00621197" w:rsidP="001B7A18">
            <w:pPr>
              <w:spacing w:after="0" w:line="240" w:lineRule="auto"/>
              <w:rPr>
                <w:rFonts w:ascii="Calibri" w:eastAsia="Calibri" w:hAnsi="Calibri" w:cs="Calibri"/>
                <w:lang w:val="en-GB"/>
              </w:rPr>
            </w:pPr>
            <w:r w:rsidRPr="002C2C75">
              <w:rPr>
                <w:rFonts w:ascii="Calibri" w:eastAsia="Calibri" w:hAnsi="Calibri" w:cs="Calibri"/>
                <w:lang w:val="en-GB"/>
              </w:rPr>
              <w:t>444</w:t>
            </w:r>
          </w:p>
        </w:tc>
        <w:tc>
          <w:tcPr>
            <w:tcW w:w="720" w:type="dxa"/>
          </w:tcPr>
          <w:p w14:paraId="77414B61" w14:textId="77777777" w:rsidR="00621197" w:rsidRPr="002C2C75" w:rsidRDefault="00621197" w:rsidP="001B7A18">
            <w:pPr>
              <w:spacing w:after="0" w:line="240" w:lineRule="auto"/>
              <w:jc w:val="both"/>
              <w:rPr>
                <w:rFonts w:ascii="Calibri" w:eastAsia="Calibri" w:hAnsi="Calibri" w:cs="Calibri"/>
                <w:bCs/>
                <w:lang w:val="en-GB"/>
              </w:rPr>
            </w:pPr>
            <w:r w:rsidRPr="002C2C75">
              <w:rPr>
                <w:rFonts w:ascii="Calibri" w:eastAsia="Calibri" w:hAnsi="Calibri" w:cs="Calibri"/>
                <w:bCs/>
                <w:lang w:val="en-GB"/>
              </w:rPr>
              <w:t>595</w:t>
            </w:r>
          </w:p>
        </w:tc>
        <w:tc>
          <w:tcPr>
            <w:tcW w:w="4680" w:type="dxa"/>
          </w:tcPr>
          <w:p w14:paraId="1EF5BFAD" w14:textId="77777777" w:rsidR="00621197" w:rsidRPr="002C2C75" w:rsidRDefault="00621197" w:rsidP="001B7A18">
            <w:pPr>
              <w:spacing w:after="0" w:line="240" w:lineRule="auto"/>
              <w:rPr>
                <w:rFonts w:ascii="Calibri" w:eastAsia="Calibri" w:hAnsi="Calibri" w:cs="Calibri"/>
                <w:color w:val="000000"/>
                <w:sz w:val="16"/>
                <w:szCs w:val="16"/>
                <w:lang w:val="en-GB"/>
              </w:rPr>
            </w:pPr>
            <w:r w:rsidRPr="002C2C75">
              <w:rPr>
                <w:rFonts w:ascii="Calibri" w:eastAsia="Calibri" w:hAnsi="Calibri" w:cs="Calibri"/>
                <w:color w:val="000000"/>
                <w:sz w:val="16"/>
                <w:szCs w:val="16"/>
                <w:lang w:val="en-GB"/>
              </w:rPr>
              <w:t>Pyr. LLIN; targeted IRS begun in 2019</w:t>
            </w:r>
          </w:p>
        </w:tc>
      </w:tr>
      <w:tr w:rsidR="00621197" w:rsidRPr="002C2C75" w14:paraId="7F226F91" w14:textId="77777777" w:rsidTr="0075301C">
        <w:trPr>
          <w:trHeight w:val="191"/>
        </w:trPr>
        <w:tc>
          <w:tcPr>
            <w:tcW w:w="1530" w:type="dxa"/>
            <w:shd w:val="clear" w:color="auto" w:fill="auto"/>
          </w:tcPr>
          <w:p w14:paraId="74F0B521"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color w:val="000000"/>
                <w:lang w:val="en-GB"/>
              </w:rPr>
              <w:t>Gaza</w:t>
            </w:r>
          </w:p>
        </w:tc>
        <w:tc>
          <w:tcPr>
            <w:tcW w:w="720" w:type="dxa"/>
            <w:shd w:val="clear" w:color="auto" w:fill="auto"/>
          </w:tcPr>
          <w:p w14:paraId="516199DD"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599</w:t>
            </w:r>
          </w:p>
        </w:tc>
        <w:tc>
          <w:tcPr>
            <w:tcW w:w="720" w:type="dxa"/>
            <w:shd w:val="clear" w:color="auto" w:fill="auto"/>
          </w:tcPr>
          <w:p w14:paraId="28589C43"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423</w:t>
            </w:r>
          </w:p>
        </w:tc>
        <w:tc>
          <w:tcPr>
            <w:tcW w:w="720" w:type="dxa"/>
            <w:shd w:val="clear" w:color="auto" w:fill="auto"/>
          </w:tcPr>
          <w:p w14:paraId="6A6F7C2C"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312</w:t>
            </w:r>
          </w:p>
        </w:tc>
        <w:tc>
          <w:tcPr>
            <w:tcW w:w="720" w:type="dxa"/>
          </w:tcPr>
          <w:p w14:paraId="51FB88E9" w14:textId="77777777" w:rsidR="00621197" w:rsidRPr="002C2C75" w:rsidRDefault="00621197" w:rsidP="001B7A18">
            <w:pPr>
              <w:spacing w:after="0" w:line="240" w:lineRule="auto"/>
              <w:rPr>
                <w:rFonts w:ascii="Calibri" w:eastAsia="Calibri" w:hAnsi="Calibri" w:cs="Calibri"/>
                <w:lang w:val="en-GB"/>
              </w:rPr>
            </w:pPr>
            <w:r w:rsidRPr="002C2C75">
              <w:rPr>
                <w:rFonts w:ascii="Calibri" w:eastAsia="Calibri" w:hAnsi="Calibri" w:cs="Calibri"/>
                <w:lang w:val="en-GB"/>
              </w:rPr>
              <w:t>260</w:t>
            </w:r>
          </w:p>
        </w:tc>
        <w:tc>
          <w:tcPr>
            <w:tcW w:w="720" w:type="dxa"/>
          </w:tcPr>
          <w:p w14:paraId="39C0462F" w14:textId="77777777" w:rsidR="00621197" w:rsidRPr="002C2C75" w:rsidRDefault="00621197" w:rsidP="001B7A18">
            <w:pPr>
              <w:spacing w:after="0" w:line="240" w:lineRule="auto"/>
              <w:rPr>
                <w:rFonts w:ascii="Calibri" w:eastAsia="Calibri" w:hAnsi="Calibri" w:cs="Calibri"/>
                <w:lang w:val="en-GB"/>
              </w:rPr>
            </w:pPr>
            <w:r w:rsidRPr="002C2C75">
              <w:rPr>
                <w:rFonts w:ascii="Calibri" w:eastAsia="Calibri" w:hAnsi="Calibri" w:cs="Calibri"/>
                <w:lang w:val="en-GB"/>
              </w:rPr>
              <w:t>216</w:t>
            </w:r>
          </w:p>
        </w:tc>
        <w:tc>
          <w:tcPr>
            <w:tcW w:w="720" w:type="dxa"/>
          </w:tcPr>
          <w:p w14:paraId="2051565D" w14:textId="77777777" w:rsidR="00621197" w:rsidRPr="002C2C75" w:rsidRDefault="00621197" w:rsidP="001B7A18">
            <w:pPr>
              <w:spacing w:after="0" w:line="240" w:lineRule="auto"/>
              <w:jc w:val="both"/>
              <w:rPr>
                <w:rFonts w:ascii="Calibri" w:eastAsia="Calibri" w:hAnsi="Calibri" w:cs="Calibri"/>
                <w:bCs/>
                <w:lang w:val="en-GB"/>
              </w:rPr>
            </w:pPr>
            <w:r w:rsidRPr="002C2C75">
              <w:rPr>
                <w:rFonts w:ascii="Calibri" w:eastAsia="Calibri" w:hAnsi="Calibri" w:cs="Calibri"/>
                <w:bCs/>
                <w:lang w:val="en-GB"/>
              </w:rPr>
              <w:t>273</w:t>
            </w:r>
          </w:p>
        </w:tc>
        <w:tc>
          <w:tcPr>
            <w:tcW w:w="4680" w:type="dxa"/>
          </w:tcPr>
          <w:p w14:paraId="6B6AE6BA" w14:textId="77777777" w:rsidR="00621197" w:rsidRPr="002C2C75" w:rsidRDefault="00621197" w:rsidP="001B7A18">
            <w:pPr>
              <w:spacing w:after="0" w:line="240" w:lineRule="auto"/>
              <w:rPr>
                <w:rFonts w:ascii="Calibri" w:eastAsia="Calibri" w:hAnsi="Calibri" w:cs="Calibri"/>
                <w:color w:val="000000"/>
                <w:sz w:val="16"/>
                <w:szCs w:val="16"/>
                <w:lang w:val="en-GB"/>
              </w:rPr>
            </w:pPr>
            <w:r w:rsidRPr="002C2C75">
              <w:rPr>
                <w:rFonts w:ascii="Calibri" w:eastAsia="Calibri" w:hAnsi="Calibri" w:cs="Calibri"/>
                <w:color w:val="000000"/>
                <w:sz w:val="16"/>
                <w:szCs w:val="16"/>
                <w:lang w:val="en-GB"/>
              </w:rPr>
              <w:t>Pyr. LLIN; targeted IRS begun in 2019</w:t>
            </w:r>
          </w:p>
        </w:tc>
      </w:tr>
      <w:tr w:rsidR="00621197" w:rsidRPr="002C2C75" w14:paraId="539638EB" w14:textId="77777777" w:rsidTr="0075301C">
        <w:trPr>
          <w:trHeight w:val="191"/>
        </w:trPr>
        <w:tc>
          <w:tcPr>
            <w:tcW w:w="1530" w:type="dxa"/>
            <w:shd w:val="clear" w:color="auto" w:fill="auto"/>
          </w:tcPr>
          <w:p w14:paraId="671F1392"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color w:val="000000"/>
                <w:lang w:val="en-GB"/>
              </w:rPr>
              <w:t>Maputo Prov.</w:t>
            </w:r>
          </w:p>
        </w:tc>
        <w:tc>
          <w:tcPr>
            <w:tcW w:w="720" w:type="dxa"/>
            <w:shd w:val="clear" w:color="auto" w:fill="auto"/>
          </w:tcPr>
          <w:p w14:paraId="2E3EB8A8"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51</w:t>
            </w:r>
          </w:p>
        </w:tc>
        <w:tc>
          <w:tcPr>
            <w:tcW w:w="720" w:type="dxa"/>
            <w:shd w:val="clear" w:color="auto" w:fill="auto"/>
          </w:tcPr>
          <w:p w14:paraId="373EDF19"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35</w:t>
            </w:r>
          </w:p>
        </w:tc>
        <w:tc>
          <w:tcPr>
            <w:tcW w:w="720" w:type="dxa"/>
            <w:shd w:val="clear" w:color="auto" w:fill="auto"/>
          </w:tcPr>
          <w:p w14:paraId="0201824D"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33</w:t>
            </w:r>
          </w:p>
        </w:tc>
        <w:tc>
          <w:tcPr>
            <w:tcW w:w="720" w:type="dxa"/>
          </w:tcPr>
          <w:p w14:paraId="0EF06AA4" w14:textId="77777777" w:rsidR="00621197" w:rsidRPr="002C2C75" w:rsidRDefault="00621197" w:rsidP="001B7A18">
            <w:pPr>
              <w:spacing w:after="0" w:line="240" w:lineRule="auto"/>
              <w:rPr>
                <w:rFonts w:ascii="Calibri" w:eastAsia="Calibri" w:hAnsi="Calibri" w:cs="Calibri"/>
                <w:lang w:val="en-GB"/>
              </w:rPr>
            </w:pPr>
            <w:r w:rsidRPr="002C2C75">
              <w:rPr>
                <w:rFonts w:ascii="Calibri" w:eastAsia="Calibri" w:hAnsi="Calibri" w:cs="Calibri"/>
                <w:lang w:val="en-GB"/>
              </w:rPr>
              <w:t>25</w:t>
            </w:r>
          </w:p>
        </w:tc>
        <w:tc>
          <w:tcPr>
            <w:tcW w:w="720" w:type="dxa"/>
          </w:tcPr>
          <w:p w14:paraId="3837BE91" w14:textId="77777777" w:rsidR="00621197" w:rsidRPr="002C2C75" w:rsidRDefault="00621197" w:rsidP="001B7A18">
            <w:pPr>
              <w:spacing w:after="0" w:line="240" w:lineRule="auto"/>
              <w:rPr>
                <w:rFonts w:ascii="Calibri" w:eastAsia="Calibri" w:hAnsi="Calibri" w:cs="Calibri"/>
                <w:lang w:val="en-GB"/>
              </w:rPr>
            </w:pPr>
            <w:r w:rsidRPr="002C2C75">
              <w:rPr>
                <w:rFonts w:ascii="Calibri" w:eastAsia="Calibri" w:hAnsi="Calibri" w:cs="Calibri"/>
                <w:lang w:val="en-GB"/>
              </w:rPr>
              <w:t>24</w:t>
            </w:r>
          </w:p>
        </w:tc>
        <w:tc>
          <w:tcPr>
            <w:tcW w:w="720" w:type="dxa"/>
          </w:tcPr>
          <w:p w14:paraId="4D9698DE" w14:textId="77777777" w:rsidR="00621197" w:rsidRPr="002C2C75" w:rsidRDefault="00621197" w:rsidP="001B7A18">
            <w:pPr>
              <w:spacing w:after="0" w:line="240" w:lineRule="auto"/>
              <w:jc w:val="both"/>
              <w:rPr>
                <w:rFonts w:ascii="Calibri" w:eastAsia="Calibri" w:hAnsi="Calibri" w:cs="Calibri"/>
                <w:bCs/>
                <w:lang w:val="en-GB"/>
              </w:rPr>
            </w:pPr>
            <w:r w:rsidRPr="002C2C75">
              <w:rPr>
                <w:rFonts w:ascii="Calibri" w:eastAsia="Calibri" w:hAnsi="Calibri" w:cs="Calibri"/>
                <w:bCs/>
                <w:lang w:val="en-GB"/>
              </w:rPr>
              <w:t>19</w:t>
            </w:r>
          </w:p>
        </w:tc>
        <w:tc>
          <w:tcPr>
            <w:tcW w:w="4680" w:type="dxa"/>
          </w:tcPr>
          <w:p w14:paraId="25734E79" w14:textId="77777777" w:rsidR="00621197" w:rsidRPr="002C2C75" w:rsidRDefault="00621197" w:rsidP="001B7A18">
            <w:pPr>
              <w:spacing w:after="0" w:line="240" w:lineRule="auto"/>
              <w:rPr>
                <w:rFonts w:ascii="Calibri" w:eastAsia="Calibri" w:hAnsi="Calibri" w:cs="Calibri"/>
                <w:color w:val="000000"/>
                <w:sz w:val="16"/>
                <w:szCs w:val="16"/>
                <w:lang w:val="en-GB"/>
              </w:rPr>
            </w:pPr>
            <w:r w:rsidRPr="002C2C75">
              <w:rPr>
                <w:rFonts w:ascii="Calibri" w:eastAsia="Calibri" w:hAnsi="Calibri" w:cs="Calibri"/>
                <w:color w:val="000000"/>
                <w:sz w:val="16"/>
                <w:szCs w:val="16"/>
                <w:lang w:val="en-GB"/>
              </w:rPr>
              <w:t>Targeted IRS throughout; bairro-level targeting beginning in 2020</w:t>
            </w:r>
          </w:p>
        </w:tc>
      </w:tr>
      <w:tr w:rsidR="00621197" w:rsidRPr="002C2C75" w14:paraId="0D64D7DC" w14:textId="77777777" w:rsidTr="0075301C">
        <w:trPr>
          <w:trHeight w:val="191"/>
        </w:trPr>
        <w:tc>
          <w:tcPr>
            <w:tcW w:w="1530" w:type="dxa"/>
            <w:shd w:val="clear" w:color="auto" w:fill="auto"/>
          </w:tcPr>
          <w:p w14:paraId="45127BB8"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color w:val="000000"/>
                <w:lang w:val="en-GB"/>
              </w:rPr>
              <w:t>Maputo City</w:t>
            </w:r>
          </w:p>
        </w:tc>
        <w:tc>
          <w:tcPr>
            <w:tcW w:w="720" w:type="dxa"/>
            <w:shd w:val="clear" w:color="auto" w:fill="auto"/>
          </w:tcPr>
          <w:p w14:paraId="71210E58"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46</w:t>
            </w:r>
          </w:p>
        </w:tc>
        <w:tc>
          <w:tcPr>
            <w:tcW w:w="720" w:type="dxa"/>
            <w:shd w:val="clear" w:color="auto" w:fill="auto"/>
          </w:tcPr>
          <w:p w14:paraId="1C303145"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31</w:t>
            </w:r>
          </w:p>
        </w:tc>
        <w:tc>
          <w:tcPr>
            <w:tcW w:w="720" w:type="dxa"/>
            <w:shd w:val="clear" w:color="auto" w:fill="auto"/>
          </w:tcPr>
          <w:p w14:paraId="7FDEDBBC" w14:textId="77777777" w:rsidR="00621197" w:rsidRPr="002C2C75" w:rsidRDefault="00621197" w:rsidP="001B7A18">
            <w:pPr>
              <w:spacing w:after="0" w:line="240" w:lineRule="auto"/>
              <w:rPr>
                <w:rFonts w:ascii="Calibri" w:eastAsia="Calibri" w:hAnsi="Calibri" w:cs="Calibri"/>
                <w:color w:val="000000"/>
                <w:lang w:val="en-GB"/>
              </w:rPr>
            </w:pPr>
            <w:r w:rsidRPr="002C2C75">
              <w:rPr>
                <w:rFonts w:ascii="Calibri" w:eastAsia="Calibri" w:hAnsi="Calibri" w:cs="Calibri"/>
                <w:lang w:val="en-GB"/>
              </w:rPr>
              <w:t>19</w:t>
            </w:r>
          </w:p>
        </w:tc>
        <w:tc>
          <w:tcPr>
            <w:tcW w:w="720" w:type="dxa"/>
          </w:tcPr>
          <w:p w14:paraId="23A0B9EE" w14:textId="77777777" w:rsidR="00621197" w:rsidRPr="002C2C75" w:rsidRDefault="00621197" w:rsidP="001B7A18">
            <w:pPr>
              <w:spacing w:after="0" w:line="240" w:lineRule="auto"/>
              <w:rPr>
                <w:rFonts w:ascii="Calibri" w:eastAsia="Calibri" w:hAnsi="Calibri" w:cs="Calibri"/>
                <w:lang w:val="en-GB"/>
              </w:rPr>
            </w:pPr>
            <w:r w:rsidRPr="002C2C75">
              <w:rPr>
                <w:rFonts w:ascii="Calibri" w:eastAsia="Calibri" w:hAnsi="Calibri" w:cs="Calibri"/>
                <w:lang w:val="en-GB"/>
              </w:rPr>
              <w:t>11</w:t>
            </w:r>
          </w:p>
        </w:tc>
        <w:tc>
          <w:tcPr>
            <w:tcW w:w="720" w:type="dxa"/>
          </w:tcPr>
          <w:p w14:paraId="68099209" w14:textId="77777777" w:rsidR="00621197" w:rsidRPr="002C2C75" w:rsidRDefault="00621197" w:rsidP="001B7A18">
            <w:pPr>
              <w:spacing w:after="0" w:line="240" w:lineRule="auto"/>
              <w:rPr>
                <w:rFonts w:ascii="Calibri" w:eastAsia="Calibri" w:hAnsi="Calibri" w:cs="Calibri"/>
                <w:lang w:val="en-GB"/>
              </w:rPr>
            </w:pPr>
            <w:r w:rsidRPr="002C2C75">
              <w:rPr>
                <w:rFonts w:ascii="Calibri" w:eastAsia="Calibri" w:hAnsi="Calibri" w:cs="Calibri"/>
                <w:lang w:val="en-GB"/>
              </w:rPr>
              <w:t>11</w:t>
            </w:r>
          </w:p>
        </w:tc>
        <w:tc>
          <w:tcPr>
            <w:tcW w:w="720" w:type="dxa"/>
          </w:tcPr>
          <w:p w14:paraId="52345469" w14:textId="77777777" w:rsidR="00621197" w:rsidRPr="002C2C75" w:rsidRDefault="00621197" w:rsidP="001B7A18">
            <w:pPr>
              <w:spacing w:after="0" w:line="240" w:lineRule="auto"/>
              <w:jc w:val="both"/>
              <w:rPr>
                <w:rFonts w:ascii="Calibri" w:eastAsia="Calibri" w:hAnsi="Calibri" w:cs="Calibri"/>
                <w:bCs/>
                <w:lang w:val="en-GB"/>
              </w:rPr>
            </w:pPr>
            <w:r w:rsidRPr="002C2C75">
              <w:rPr>
                <w:rFonts w:ascii="Calibri" w:eastAsia="Calibri" w:hAnsi="Calibri" w:cs="Calibri"/>
                <w:bCs/>
                <w:lang w:val="en-GB"/>
              </w:rPr>
              <w:t>13</w:t>
            </w:r>
          </w:p>
        </w:tc>
        <w:tc>
          <w:tcPr>
            <w:tcW w:w="4680" w:type="dxa"/>
          </w:tcPr>
          <w:p w14:paraId="3C9724A0" w14:textId="77777777" w:rsidR="00621197" w:rsidRPr="002C2C75" w:rsidRDefault="00621197" w:rsidP="001B7A18">
            <w:pPr>
              <w:spacing w:after="0" w:line="240" w:lineRule="auto"/>
              <w:rPr>
                <w:rFonts w:ascii="Calibri" w:eastAsia="Calibri" w:hAnsi="Calibri" w:cs="Calibri"/>
                <w:color w:val="000000"/>
                <w:sz w:val="18"/>
                <w:szCs w:val="18"/>
                <w:lang w:val="en-GB"/>
              </w:rPr>
            </w:pPr>
          </w:p>
        </w:tc>
      </w:tr>
      <w:tr w:rsidR="00621197" w:rsidRPr="002C2C75" w14:paraId="77D094FC" w14:textId="77777777" w:rsidTr="0075301C">
        <w:trPr>
          <w:trHeight w:val="191"/>
        </w:trPr>
        <w:tc>
          <w:tcPr>
            <w:tcW w:w="1530" w:type="dxa"/>
            <w:shd w:val="clear" w:color="auto" w:fill="auto"/>
          </w:tcPr>
          <w:p w14:paraId="70B9BC34" w14:textId="77777777" w:rsidR="00621197" w:rsidRPr="002C2C75" w:rsidRDefault="00621197" w:rsidP="001B7A18">
            <w:pPr>
              <w:spacing w:after="0" w:line="240" w:lineRule="auto"/>
              <w:rPr>
                <w:rFonts w:ascii="Calibri" w:eastAsia="Calibri" w:hAnsi="Calibri" w:cs="Calibri"/>
                <w:b/>
                <w:color w:val="000000"/>
                <w:lang w:val="en-GB"/>
              </w:rPr>
            </w:pPr>
            <w:r w:rsidRPr="002C2C75">
              <w:rPr>
                <w:rFonts w:ascii="Calibri" w:eastAsia="Calibri" w:hAnsi="Calibri" w:cs="Calibri"/>
                <w:b/>
                <w:color w:val="000000"/>
                <w:lang w:val="en-GB"/>
              </w:rPr>
              <w:t>Mozambique</w:t>
            </w:r>
          </w:p>
        </w:tc>
        <w:tc>
          <w:tcPr>
            <w:tcW w:w="720" w:type="dxa"/>
            <w:shd w:val="clear" w:color="auto" w:fill="auto"/>
          </w:tcPr>
          <w:p w14:paraId="20761A51" w14:textId="77777777" w:rsidR="00621197" w:rsidRPr="002C2C75" w:rsidRDefault="00621197" w:rsidP="001B7A18">
            <w:pPr>
              <w:spacing w:after="0" w:line="240" w:lineRule="auto"/>
              <w:jc w:val="both"/>
              <w:rPr>
                <w:rFonts w:ascii="Calibri" w:eastAsia="Calibri" w:hAnsi="Calibri" w:cs="Calibri"/>
                <w:b/>
                <w:color w:val="000000"/>
                <w:lang w:val="en-GB"/>
              </w:rPr>
            </w:pPr>
            <w:r w:rsidRPr="002C2C75">
              <w:rPr>
                <w:rFonts w:ascii="Calibri" w:eastAsia="Calibri" w:hAnsi="Calibri" w:cs="Calibri"/>
                <w:b/>
                <w:lang w:val="en-GB"/>
              </w:rPr>
              <w:t>358</w:t>
            </w:r>
          </w:p>
        </w:tc>
        <w:tc>
          <w:tcPr>
            <w:tcW w:w="720" w:type="dxa"/>
            <w:shd w:val="clear" w:color="auto" w:fill="auto"/>
          </w:tcPr>
          <w:p w14:paraId="6DDC5FFA" w14:textId="77777777" w:rsidR="00621197" w:rsidRPr="002C2C75" w:rsidRDefault="00621197" w:rsidP="001B7A18">
            <w:pPr>
              <w:spacing w:after="0" w:line="240" w:lineRule="auto"/>
              <w:jc w:val="both"/>
              <w:rPr>
                <w:rFonts w:ascii="Calibri" w:eastAsia="Calibri" w:hAnsi="Calibri" w:cs="Calibri"/>
                <w:b/>
                <w:color w:val="000000"/>
                <w:lang w:val="en-GB"/>
              </w:rPr>
            </w:pPr>
            <w:r w:rsidRPr="002C2C75">
              <w:rPr>
                <w:rFonts w:ascii="Calibri" w:eastAsia="Calibri" w:hAnsi="Calibri" w:cs="Calibri"/>
                <w:b/>
                <w:lang w:val="en-GB"/>
              </w:rPr>
              <w:t>362</w:t>
            </w:r>
          </w:p>
        </w:tc>
        <w:tc>
          <w:tcPr>
            <w:tcW w:w="720" w:type="dxa"/>
            <w:shd w:val="clear" w:color="auto" w:fill="auto"/>
          </w:tcPr>
          <w:p w14:paraId="3A5AEFC2" w14:textId="77777777" w:rsidR="00621197" w:rsidRPr="002C2C75" w:rsidRDefault="00621197" w:rsidP="001B7A18">
            <w:pPr>
              <w:spacing w:after="0" w:line="240" w:lineRule="auto"/>
              <w:jc w:val="both"/>
              <w:rPr>
                <w:rFonts w:ascii="Calibri" w:eastAsia="Calibri" w:hAnsi="Calibri" w:cs="Calibri"/>
                <w:b/>
                <w:color w:val="000000"/>
                <w:lang w:val="en-GB"/>
              </w:rPr>
            </w:pPr>
            <w:r w:rsidRPr="002C2C75">
              <w:rPr>
                <w:rFonts w:ascii="Calibri" w:eastAsia="Calibri" w:hAnsi="Calibri" w:cs="Calibri"/>
                <w:b/>
                <w:lang w:val="en-GB"/>
              </w:rPr>
              <w:t>372</w:t>
            </w:r>
          </w:p>
        </w:tc>
        <w:tc>
          <w:tcPr>
            <w:tcW w:w="720" w:type="dxa"/>
          </w:tcPr>
          <w:p w14:paraId="4DACBBB8" w14:textId="77777777" w:rsidR="00621197" w:rsidRPr="002C2C75" w:rsidRDefault="00621197" w:rsidP="001B7A18">
            <w:pPr>
              <w:spacing w:after="0" w:line="240" w:lineRule="auto"/>
              <w:jc w:val="both"/>
              <w:rPr>
                <w:rFonts w:ascii="Calibri" w:eastAsia="Calibri" w:hAnsi="Calibri" w:cs="Calibri"/>
                <w:b/>
                <w:lang w:val="en-GB"/>
              </w:rPr>
            </w:pPr>
            <w:r w:rsidRPr="002C2C75">
              <w:rPr>
                <w:rFonts w:ascii="Calibri" w:eastAsia="Calibri" w:hAnsi="Calibri" w:cs="Calibri"/>
                <w:b/>
                <w:lang w:val="en-GB"/>
              </w:rPr>
              <w:t>375</w:t>
            </w:r>
          </w:p>
        </w:tc>
        <w:tc>
          <w:tcPr>
            <w:tcW w:w="720" w:type="dxa"/>
          </w:tcPr>
          <w:p w14:paraId="76AA5E4D" w14:textId="77777777" w:rsidR="00621197" w:rsidRPr="002C2C75" w:rsidRDefault="00621197" w:rsidP="001B7A18">
            <w:pPr>
              <w:spacing w:after="0" w:line="240" w:lineRule="auto"/>
              <w:jc w:val="both"/>
              <w:rPr>
                <w:rFonts w:ascii="Calibri" w:eastAsia="Calibri" w:hAnsi="Calibri" w:cs="Calibri"/>
                <w:b/>
                <w:lang w:val="en-GB"/>
              </w:rPr>
            </w:pPr>
            <w:r w:rsidRPr="002C2C75">
              <w:rPr>
                <w:rFonts w:ascii="Calibri" w:eastAsia="Calibri" w:hAnsi="Calibri" w:cs="Calibri"/>
                <w:b/>
                <w:lang w:val="en-GB"/>
              </w:rPr>
              <w:t>328</w:t>
            </w:r>
          </w:p>
        </w:tc>
        <w:tc>
          <w:tcPr>
            <w:tcW w:w="720" w:type="dxa"/>
          </w:tcPr>
          <w:p w14:paraId="00F0B5B9" w14:textId="77777777" w:rsidR="00621197" w:rsidRPr="002C2C75" w:rsidRDefault="00621197" w:rsidP="001B7A18">
            <w:pPr>
              <w:spacing w:after="0" w:line="240" w:lineRule="auto"/>
              <w:jc w:val="both"/>
              <w:rPr>
                <w:rFonts w:ascii="Calibri" w:eastAsia="Calibri" w:hAnsi="Calibri" w:cs="Calibri"/>
                <w:b/>
                <w:lang w:val="en-GB"/>
              </w:rPr>
            </w:pPr>
            <w:r w:rsidRPr="002C2C75">
              <w:rPr>
                <w:rFonts w:ascii="Calibri" w:eastAsia="Calibri" w:hAnsi="Calibri" w:cs="Calibri"/>
                <w:b/>
                <w:lang w:val="en-GB"/>
              </w:rPr>
              <w:t>392</w:t>
            </w:r>
          </w:p>
        </w:tc>
        <w:tc>
          <w:tcPr>
            <w:tcW w:w="4680" w:type="dxa"/>
          </w:tcPr>
          <w:p w14:paraId="2D783687" w14:textId="77777777" w:rsidR="00621197" w:rsidRPr="002C2C75" w:rsidRDefault="00621197" w:rsidP="001B7A18">
            <w:pPr>
              <w:spacing w:after="0" w:line="240" w:lineRule="auto"/>
              <w:rPr>
                <w:rFonts w:ascii="Calibri" w:eastAsia="Calibri" w:hAnsi="Calibri" w:cs="Calibri"/>
                <w:b/>
                <w:sz w:val="18"/>
                <w:szCs w:val="18"/>
                <w:lang w:val="en-GB"/>
              </w:rPr>
            </w:pPr>
          </w:p>
        </w:tc>
      </w:tr>
    </w:tbl>
    <w:p w14:paraId="17F078E1" w14:textId="77777777" w:rsidR="00621197" w:rsidRPr="002C2C75" w:rsidRDefault="00621197" w:rsidP="00621197">
      <w:pPr>
        <w:pStyle w:val="BodyText"/>
        <w:rPr>
          <w:sz w:val="22"/>
          <w:lang w:val="en-US"/>
        </w:rPr>
      </w:pPr>
    </w:p>
    <w:p w14:paraId="7F5A0C34" w14:textId="77777777" w:rsidR="00621197" w:rsidRPr="002C2C75" w:rsidRDefault="00621197" w:rsidP="00621197">
      <w:pPr>
        <w:pStyle w:val="BodyText"/>
        <w:jc w:val="both"/>
        <w:rPr>
          <w:sz w:val="22"/>
          <w:lang w:val="en-US"/>
        </w:rPr>
      </w:pPr>
      <w:r w:rsidRPr="002C2C75">
        <w:rPr>
          <w:sz w:val="22"/>
          <w:lang w:val="en-US"/>
        </w:rPr>
        <w:t>Figure 6: Malaria incidence 2017-2021. SIS-MA</w:t>
      </w:r>
    </w:p>
    <w:p w14:paraId="3C931722" w14:textId="77777777" w:rsidR="00621197" w:rsidRPr="002C2C75" w:rsidRDefault="00621197" w:rsidP="00621197">
      <w:pPr>
        <w:pStyle w:val="BodyText"/>
        <w:jc w:val="both"/>
        <w:rPr>
          <w:sz w:val="22"/>
          <w:lang w:val="en-US"/>
        </w:rPr>
      </w:pPr>
      <w:r w:rsidRPr="002C2C75">
        <w:rPr>
          <w:noProof/>
          <w:sz w:val="22"/>
          <w:lang w:val="en-US"/>
        </w:rPr>
        <w:drawing>
          <wp:inline distT="0" distB="0" distL="0" distR="0" wp14:anchorId="3A98D7D3" wp14:editId="149C8BC7">
            <wp:extent cx="6479540" cy="1875790"/>
            <wp:effectExtent l="0" t="0" r="0" b="0"/>
            <wp:docPr id="4" name="Picture 11">
              <a:extLst xmlns:a="http://schemas.openxmlformats.org/drawingml/2006/main">
                <a:ext uri="{FF2B5EF4-FFF2-40B4-BE49-F238E27FC236}">
                  <a16:creationId xmlns:a16="http://schemas.microsoft.com/office/drawing/2014/main" id="{B16DE773-15C4-07AF-4406-5699BBE161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B16DE773-15C4-07AF-4406-5699BBE16151}"/>
                        </a:ext>
                      </a:extLst>
                    </pic:cNvPr>
                    <pic:cNvPicPr>
                      <a:picLocks noChangeAspect="1"/>
                    </pic:cNvPicPr>
                  </pic:nvPicPr>
                  <pic:blipFill>
                    <a:blip r:embed="rId40"/>
                    <a:stretch>
                      <a:fillRect/>
                    </a:stretch>
                  </pic:blipFill>
                  <pic:spPr>
                    <a:xfrm>
                      <a:off x="0" y="0"/>
                      <a:ext cx="6479540" cy="1875790"/>
                    </a:xfrm>
                    <a:prstGeom prst="rect">
                      <a:avLst/>
                    </a:prstGeom>
                  </pic:spPr>
                </pic:pic>
              </a:graphicData>
            </a:graphic>
          </wp:inline>
        </w:drawing>
      </w:r>
    </w:p>
    <w:p w14:paraId="71EB5116" w14:textId="77777777" w:rsidR="00621197" w:rsidRPr="002C2C75" w:rsidRDefault="00621197" w:rsidP="00621197">
      <w:pPr>
        <w:pStyle w:val="BodyText"/>
        <w:jc w:val="both"/>
        <w:rPr>
          <w:sz w:val="22"/>
          <w:lang w:val="en-US"/>
        </w:rPr>
      </w:pPr>
      <w:r w:rsidRPr="002C2C75">
        <w:rPr>
          <w:sz w:val="22"/>
          <w:lang w:val="en-US"/>
        </w:rPr>
        <w:t>While the country did not reach its morbidity reduction goals in the last MSP, it did achieve the mortality reduction goals by reducing the inpatient mortality rate by 41%. While this success is celebrated, malaria remains an important cause of child mortality in Mozambique. In 2017, 1,114 in-patient malaria deaths were reported, 970 in 2018, 734 in 2019, 563 in 2020 and 406 in 2021 (MPR Report, p. 11).</w:t>
      </w:r>
    </w:p>
    <w:p w14:paraId="6B929BBF" w14:textId="77777777" w:rsidR="00621197" w:rsidRPr="002C2C75" w:rsidRDefault="00621197" w:rsidP="00621197">
      <w:pPr>
        <w:pBdr>
          <w:top w:val="nil"/>
          <w:left w:val="nil"/>
          <w:bottom w:val="nil"/>
          <w:right w:val="nil"/>
          <w:between w:val="nil"/>
        </w:pBdr>
        <w:spacing w:line="240" w:lineRule="auto"/>
        <w:rPr>
          <w:rFonts w:eastAsia="Arial" w:cstheme="minorHAnsi"/>
          <w:color w:val="000000"/>
        </w:rPr>
      </w:pPr>
      <w:r w:rsidRPr="002C2C75">
        <w:rPr>
          <w:rFonts w:eastAsia="Arial" w:cstheme="minorHAnsi"/>
          <w:color w:val="000000"/>
        </w:rPr>
        <w:t>Table 7: Malaria mortality per 100,000 population in Mozambique between 2015 – 2022 (Source, NMCP Database, 2023)</w:t>
      </w:r>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17"/>
        <w:gridCol w:w="1060"/>
        <w:gridCol w:w="1060"/>
        <w:gridCol w:w="1060"/>
        <w:gridCol w:w="1060"/>
        <w:gridCol w:w="1060"/>
        <w:gridCol w:w="1060"/>
        <w:gridCol w:w="1060"/>
        <w:gridCol w:w="1060"/>
      </w:tblGrid>
      <w:tr w:rsidR="00621197" w:rsidRPr="002C2C75" w14:paraId="32D7E8BF" w14:textId="77777777" w:rsidTr="001B7A18">
        <w:trPr>
          <w:trHeight w:val="260"/>
        </w:trPr>
        <w:tc>
          <w:tcPr>
            <w:tcW w:w="1217" w:type="dxa"/>
            <w:shd w:val="clear" w:color="auto" w:fill="B4C6E7"/>
          </w:tcPr>
          <w:p w14:paraId="726DD7CF" w14:textId="77777777" w:rsidR="00621197" w:rsidRPr="002C2C75" w:rsidRDefault="00621197" w:rsidP="001B7A18">
            <w:pPr>
              <w:spacing w:after="0" w:line="240" w:lineRule="auto"/>
              <w:jc w:val="center"/>
              <w:rPr>
                <w:rFonts w:eastAsia="Arial" w:cstheme="minorHAnsi"/>
                <w:b/>
                <w:sz w:val="18"/>
                <w:szCs w:val="18"/>
              </w:rPr>
            </w:pPr>
          </w:p>
        </w:tc>
        <w:tc>
          <w:tcPr>
            <w:tcW w:w="8480" w:type="dxa"/>
            <w:gridSpan w:val="8"/>
            <w:shd w:val="clear" w:color="auto" w:fill="B4C6E7"/>
            <w:vAlign w:val="bottom"/>
          </w:tcPr>
          <w:p w14:paraId="7AFD0FEA" w14:textId="77777777" w:rsidR="00621197" w:rsidRPr="002C2C75" w:rsidRDefault="00621197" w:rsidP="001B7A18">
            <w:pPr>
              <w:spacing w:after="0" w:line="240" w:lineRule="auto"/>
              <w:jc w:val="center"/>
              <w:rPr>
                <w:rFonts w:eastAsia="Arial" w:cstheme="minorHAnsi"/>
                <w:b/>
                <w:sz w:val="18"/>
                <w:szCs w:val="18"/>
              </w:rPr>
            </w:pPr>
            <w:r w:rsidRPr="002C2C75">
              <w:rPr>
                <w:rFonts w:eastAsia="Arial" w:cstheme="minorHAnsi"/>
                <w:b/>
                <w:sz w:val="18"/>
                <w:szCs w:val="18"/>
              </w:rPr>
              <w:t>Malaria Deaths per 100 000 Population</w:t>
            </w:r>
          </w:p>
          <w:p w14:paraId="59587D9D" w14:textId="77777777" w:rsidR="00621197" w:rsidRPr="002C2C75" w:rsidRDefault="00621197" w:rsidP="001B7A18">
            <w:pPr>
              <w:spacing w:after="0" w:line="240" w:lineRule="auto"/>
              <w:rPr>
                <w:rFonts w:eastAsia="Arial" w:cstheme="minorHAnsi"/>
                <w:b/>
                <w:sz w:val="18"/>
                <w:szCs w:val="18"/>
              </w:rPr>
            </w:pPr>
          </w:p>
        </w:tc>
      </w:tr>
      <w:tr w:rsidR="00621197" w:rsidRPr="002C2C75" w14:paraId="4C1F5CB7" w14:textId="77777777" w:rsidTr="001B7A18">
        <w:trPr>
          <w:trHeight w:val="260"/>
        </w:trPr>
        <w:tc>
          <w:tcPr>
            <w:tcW w:w="1217" w:type="dxa"/>
          </w:tcPr>
          <w:p w14:paraId="2008B2C4" w14:textId="77777777" w:rsidR="00621197" w:rsidRPr="002C2C75" w:rsidRDefault="00621197" w:rsidP="001B7A18">
            <w:pPr>
              <w:spacing w:after="0" w:line="240" w:lineRule="auto"/>
              <w:rPr>
                <w:rFonts w:eastAsia="Arial" w:cstheme="minorHAnsi"/>
                <w:b/>
                <w:sz w:val="18"/>
                <w:szCs w:val="18"/>
              </w:rPr>
            </w:pPr>
            <w:r w:rsidRPr="002C2C75">
              <w:rPr>
                <w:rFonts w:eastAsia="Arial" w:cstheme="minorHAnsi"/>
                <w:b/>
                <w:sz w:val="18"/>
                <w:szCs w:val="18"/>
              </w:rPr>
              <w:t>Province</w:t>
            </w:r>
          </w:p>
        </w:tc>
        <w:tc>
          <w:tcPr>
            <w:tcW w:w="1060" w:type="dxa"/>
            <w:shd w:val="clear" w:color="auto" w:fill="auto"/>
            <w:vAlign w:val="bottom"/>
          </w:tcPr>
          <w:p w14:paraId="08BED8B5" w14:textId="77777777" w:rsidR="00621197" w:rsidRPr="002C2C75" w:rsidRDefault="00621197" w:rsidP="001B7A18">
            <w:pPr>
              <w:spacing w:after="0" w:line="240" w:lineRule="auto"/>
              <w:jc w:val="right"/>
              <w:rPr>
                <w:rFonts w:eastAsia="Arial" w:cstheme="minorHAnsi"/>
                <w:b/>
                <w:sz w:val="18"/>
                <w:szCs w:val="18"/>
              </w:rPr>
            </w:pPr>
            <w:r w:rsidRPr="002C2C75">
              <w:rPr>
                <w:rFonts w:eastAsia="Arial" w:cstheme="minorHAnsi"/>
                <w:b/>
                <w:sz w:val="18"/>
                <w:szCs w:val="18"/>
              </w:rPr>
              <w:t>2015</w:t>
            </w:r>
          </w:p>
        </w:tc>
        <w:tc>
          <w:tcPr>
            <w:tcW w:w="1060" w:type="dxa"/>
            <w:shd w:val="clear" w:color="auto" w:fill="auto"/>
            <w:vAlign w:val="bottom"/>
          </w:tcPr>
          <w:p w14:paraId="1C8C4084" w14:textId="77777777" w:rsidR="00621197" w:rsidRPr="002C2C75" w:rsidRDefault="00621197" w:rsidP="001B7A18">
            <w:pPr>
              <w:spacing w:after="0" w:line="240" w:lineRule="auto"/>
              <w:jc w:val="right"/>
              <w:rPr>
                <w:rFonts w:eastAsia="Arial" w:cstheme="minorHAnsi"/>
                <w:b/>
                <w:sz w:val="18"/>
                <w:szCs w:val="18"/>
              </w:rPr>
            </w:pPr>
            <w:r w:rsidRPr="002C2C75">
              <w:rPr>
                <w:rFonts w:eastAsia="Arial" w:cstheme="minorHAnsi"/>
                <w:b/>
                <w:sz w:val="18"/>
                <w:szCs w:val="18"/>
              </w:rPr>
              <w:t>2016</w:t>
            </w:r>
          </w:p>
        </w:tc>
        <w:tc>
          <w:tcPr>
            <w:tcW w:w="1060" w:type="dxa"/>
            <w:shd w:val="clear" w:color="auto" w:fill="auto"/>
            <w:vAlign w:val="bottom"/>
          </w:tcPr>
          <w:p w14:paraId="4B93DA99" w14:textId="77777777" w:rsidR="00621197" w:rsidRPr="002C2C75" w:rsidRDefault="00621197" w:rsidP="001B7A18">
            <w:pPr>
              <w:spacing w:after="0" w:line="240" w:lineRule="auto"/>
              <w:jc w:val="right"/>
              <w:rPr>
                <w:rFonts w:eastAsia="Arial" w:cstheme="minorHAnsi"/>
                <w:b/>
                <w:sz w:val="18"/>
                <w:szCs w:val="18"/>
              </w:rPr>
            </w:pPr>
            <w:r w:rsidRPr="002C2C75">
              <w:rPr>
                <w:rFonts w:eastAsia="Arial" w:cstheme="minorHAnsi"/>
                <w:b/>
                <w:sz w:val="18"/>
                <w:szCs w:val="18"/>
              </w:rPr>
              <w:t>2017</w:t>
            </w:r>
          </w:p>
        </w:tc>
        <w:tc>
          <w:tcPr>
            <w:tcW w:w="1060" w:type="dxa"/>
            <w:shd w:val="clear" w:color="auto" w:fill="auto"/>
            <w:vAlign w:val="bottom"/>
          </w:tcPr>
          <w:p w14:paraId="023606D6" w14:textId="77777777" w:rsidR="00621197" w:rsidRPr="002C2C75" w:rsidRDefault="00621197" w:rsidP="001B7A18">
            <w:pPr>
              <w:spacing w:after="0" w:line="240" w:lineRule="auto"/>
              <w:jc w:val="right"/>
              <w:rPr>
                <w:rFonts w:eastAsia="Arial" w:cstheme="minorHAnsi"/>
                <w:b/>
                <w:sz w:val="18"/>
                <w:szCs w:val="18"/>
              </w:rPr>
            </w:pPr>
            <w:r w:rsidRPr="002C2C75">
              <w:rPr>
                <w:rFonts w:eastAsia="Arial" w:cstheme="minorHAnsi"/>
                <w:b/>
                <w:sz w:val="18"/>
                <w:szCs w:val="18"/>
              </w:rPr>
              <w:t>2018</w:t>
            </w:r>
          </w:p>
        </w:tc>
        <w:tc>
          <w:tcPr>
            <w:tcW w:w="1060" w:type="dxa"/>
            <w:shd w:val="clear" w:color="auto" w:fill="auto"/>
            <w:vAlign w:val="bottom"/>
          </w:tcPr>
          <w:p w14:paraId="6DB0FEC1" w14:textId="77777777" w:rsidR="00621197" w:rsidRPr="002C2C75" w:rsidRDefault="00621197" w:rsidP="001B7A18">
            <w:pPr>
              <w:spacing w:after="0" w:line="240" w:lineRule="auto"/>
              <w:jc w:val="right"/>
              <w:rPr>
                <w:rFonts w:eastAsia="Arial" w:cstheme="minorHAnsi"/>
                <w:b/>
                <w:sz w:val="18"/>
                <w:szCs w:val="18"/>
              </w:rPr>
            </w:pPr>
            <w:r w:rsidRPr="002C2C75">
              <w:rPr>
                <w:rFonts w:eastAsia="Arial" w:cstheme="minorHAnsi"/>
                <w:b/>
                <w:sz w:val="18"/>
                <w:szCs w:val="18"/>
              </w:rPr>
              <w:t>2019</w:t>
            </w:r>
          </w:p>
        </w:tc>
        <w:tc>
          <w:tcPr>
            <w:tcW w:w="1060" w:type="dxa"/>
            <w:shd w:val="clear" w:color="auto" w:fill="auto"/>
            <w:vAlign w:val="bottom"/>
          </w:tcPr>
          <w:p w14:paraId="3A2A291A" w14:textId="77777777" w:rsidR="00621197" w:rsidRPr="002C2C75" w:rsidRDefault="00621197" w:rsidP="001B7A18">
            <w:pPr>
              <w:spacing w:after="0" w:line="240" w:lineRule="auto"/>
              <w:jc w:val="right"/>
              <w:rPr>
                <w:rFonts w:eastAsia="Arial" w:cstheme="minorHAnsi"/>
                <w:b/>
                <w:sz w:val="18"/>
                <w:szCs w:val="18"/>
              </w:rPr>
            </w:pPr>
            <w:r w:rsidRPr="002C2C75">
              <w:rPr>
                <w:rFonts w:eastAsia="Arial" w:cstheme="minorHAnsi"/>
                <w:b/>
                <w:sz w:val="18"/>
                <w:szCs w:val="18"/>
              </w:rPr>
              <w:t>2020</w:t>
            </w:r>
          </w:p>
        </w:tc>
        <w:tc>
          <w:tcPr>
            <w:tcW w:w="1060" w:type="dxa"/>
            <w:shd w:val="clear" w:color="auto" w:fill="auto"/>
            <w:vAlign w:val="bottom"/>
          </w:tcPr>
          <w:p w14:paraId="7E77A614" w14:textId="77777777" w:rsidR="00621197" w:rsidRPr="002C2C75" w:rsidRDefault="00621197" w:rsidP="001B7A18">
            <w:pPr>
              <w:spacing w:after="0" w:line="240" w:lineRule="auto"/>
              <w:jc w:val="right"/>
              <w:rPr>
                <w:rFonts w:eastAsia="Arial" w:cstheme="minorHAnsi"/>
                <w:b/>
                <w:sz w:val="18"/>
                <w:szCs w:val="18"/>
              </w:rPr>
            </w:pPr>
            <w:r w:rsidRPr="002C2C75">
              <w:rPr>
                <w:rFonts w:eastAsia="Arial" w:cstheme="minorHAnsi"/>
                <w:b/>
                <w:sz w:val="18"/>
                <w:szCs w:val="18"/>
              </w:rPr>
              <w:t>2021</w:t>
            </w:r>
          </w:p>
        </w:tc>
        <w:tc>
          <w:tcPr>
            <w:tcW w:w="1060" w:type="dxa"/>
            <w:shd w:val="clear" w:color="auto" w:fill="auto"/>
            <w:vAlign w:val="bottom"/>
          </w:tcPr>
          <w:p w14:paraId="4F2B5316" w14:textId="77777777" w:rsidR="00621197" w:rsidRPr="002C2C75" w:rsidRDefault="00621197" w:rsidP="001B7A18">
            <w:pPr>
              <w:spacing w:after="0" w:line="240" w:lineRule="auto"/>
              <w:jc w:val="right"/>
              <w:rPr>
                <w:rFonts w:eastAsia="Arial" w:cstheme="minorHAnsi"/>
                <w:b/>
                <w:sz w:val="18"/>
                <w:szCs w:val="18"/>
              </w:rPr>
            </w:pPr>
            <w:r w:rsidRPr="002C2C75">
              <w:rPr>
                <w:rFonts w:eastAsia="Arial" w:cstheme="minorHAnsi"/>
                <w:b/>
                <w:sz w:val="18"/>
                <w:szCs w:val="18"/>
              </w:rPr>
              <w:t>2022</w:t>
            </w:r>
          </w:p>
        </w:tc>
      </w:tr>
      <w:tr w:rsidR="00621197" w:rsidRPr="002C2C75" w14:paraId="23689260" w14:textId="77777777" w:rsidTr="001B7A18">
        <w:trPr>
          <w:trHeight w:val="260"/>
        </w:trPr>
        <w:tc>
          <w:tcPr>
            <w:tcW w:w="1217" w:type="dxa"/>
          </w:tcPr>
          <w:p w14:paraId="6A34BDA2" w14:textId="77777777" w:rsidR="00621197" w:rsidRPr="002C2C75" w:rsidRDefault="00621197" w:rsidP="001B7A18">
            <w:pPr>
              <w:spacing w:after="0" w:line="240" w:lineRule="auto"/>
              <w:rPr>
                <w:rFonts w:eastAsia="Arial" w:cstheme="minorHAnsi"/>
                <w:sz w:val="18"/>
                <w:szCs w:val="18"/>
              </w:rPr>
            </w:pPr>
            <w:r w:rsidRPr="002C2C75">
              <w:rPr>
                <w:rFonts w:eastAsia="Arial" w:cstheme="minorHAnsi"/>
                <w:sz w:val="18"/>
                <w:szCs w:val="18"/>
              </w:rPr>
              <w:t>Cabo Delg</w:t>
            </w:r>
          </w:p>
        </w:tc>
        <w:tc>
          <w:tcPr>
            <w:tcW w:w="1060" w:type="dxa"/>
            <w:shd w:val="clear" w:color="auto" w:fill="auto"/>
            <w:vAlign w:val="bottom"/>
          </w:tcPr>
          <w:p w14:paraId="045BD1F0"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8,0</w:t>
            </w:r>
          </w:p>
        </w:tc>
        <w:tc>
          <w:tcPr>
            <w:tcW w:w="1060" w:type="dxa"/>
            <w:shd w:val="clear" w:color="auto" w:fill="auto"/>
            <w:vAlign w:val="bottom"/>
          </w:tcPr>
          <w:p w14:paraId="51918EBF"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9,6</w:t>
            </w:r>
          </w:p>
        </w:tc>
        <w:tc>
          <w:tcPr>
            <w:tcW w:w="1060" w:type="dxa"/>
            <w:shd w:val="clear" w:color="auto" w:fill="auto"/>
            <w:vAlign w:val="bottom"/>
          </w:tcPr>
          <w:p w14:paraId="581E15D1"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5,6</w:t>
            </w:r>
          </w:p>
        </w:tc>
        <w:tc>
          <w:tcPr>
            <w:tcW w:w="1060" w:type="dxa"/>
            <w:shd w:val="clear" w:color="auto" w:fill="auto"/>
            <w:vAlign w:val="bottom"/>
          </w:tcPr>
          <w:p w14:paraId="1537EA5D"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5,0</w:t>
            </w:r>
          </w:p>
        </w:tc>
        <w:tc>
          <w:tcPr>
            <w:tcW w:w="1060" w:type="dxa"/>
            <w:shd w:val="clear" w:color="auto" w:fill="auto"/>
            <w:vAlign w:val="bottom"/>
          </w:tcPr>
          <w:p w14:paraId="1D26B9CB"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5,0</w:t>
            </w:r>
          </w:p>
        </w:tc>
        <w:tc>
          <w:tcPr>
            <w:tcW w:w="1060" w:type="dxa"/>
            <w:shd w:val="clear" w:color="auto" w:fill="auto"/>
            <w:vAlign w:val="bottom"/>
          </w:tcPr>
          <w:p w14:paraId="71B26993"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3,3</w:t>
            </w:r>
          </w:p>
        </w:tc>
        <w:tc>
          <w:tcPr>
            <w:tcW w:w="1060" w:type="dxa"/>
            <w:shd w:val="clear" w:color="auto" w:fill="auto"/>
            <w:vAlign w:val="bottom"/>
          </w:tcPr>
          <w:p w14:paraId="64891B85"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4,0</w:t>
            </w:r>
          </w:p>
        </w:tc>
        <w:tc>
          <w:tcPr>
            <w:tcW w:w="1060" w:type="dxa"/>
            <w:shd w:val="clear" w:color="auto" w:fill="auto"/>
            <w:vAlign w:val="bottom"/>
          </w:tcPr>
          <w:p w14:paraId="7AF1A58A"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2,3</w:t>
            </w:r>
          </w:p>
        </w:tc>
      </w:tr>
      <w:tr w:rsidR="00621197" w:rsidRPr="002C2C75" w14:paraId="26FF13EC" w14:textId="77777777" w:rsidTr="001B7A18">
        <w:trPr>
          <w:trHeight w:val="260"/>
        </w:trPr>
        <w:tc>
          <w:tcPr>
            <w:tcW w:w="1217" w:type="dxa"/>
          </w:tcPr>
          <w:p w14:paraId="7DC42E6F" w14:textId="77777777" w:rsidR="00621197" w:rsidRPr="002C2C75" w:rsidRDefault="00621197" w:rsidP="001B7A18">
            <w:pPr>
              <w:spacing w:after="0" w:line="240" w:lineRule="auto"/>
              <w:rPr>
                <w:rFonts w:eastAsia="Arial" w:cstheme="minorHAnsi"/>
                <w:sz w:val="18"/>
                <w:szCs w:val="18"/>
              </w:rPr>
            </w:pPr>
            <w:r w:rsidRPr="002C2C75">
              <w:rPr>
                <w:rFonts w:eastAsia="Arial" w:cstheme="minorHAnsi"/>
                <w:sz w:val="18"/>
                <w:szCs w:val="18"/>
              </w:rPr>
              <w:t>Gaza</w:t>
            </w:r>
          </w:p>
        </w:tc>
        <w:tc>
          <w:tcPr>
            <w:tcW w:w="1060" w:type="dxa"/>
            <w:shd w:val="clear" w:color="auto" w:fill="auto"/>
            <w:vAlign w:val="bottom"/>
          </w:tcPr>
          <w:p w14:paraId="6A36560D"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6,3</w:t>
            </w:r>
          </w:p>
        </w:tc>
        <w:tc>
          <w:tcPr>
            <w:tcW w:w="1060" w:type="dxa"/>
            <w:shd w:val="clear" w:color="auto" w:fill="auto"/>
            <w:vAlign w:val="bottom"/>
          </w:tcPr>
          <w:p w14:paraId="41902922"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2,1</w:t>
            </w:r>
          </w:p>
        </w:tc>
        <w:tc>
          <w:tcPr>
            <w:tcW w:w="1060" w:type="dxa"/>
            <w:shd w:val="clear" w:color="auto" w:fill="auto"/>
            <w:vAlign w:val="bottom"/>
          </w:tcPr>
          <w:p w14:paraId="5286D338"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1,6</w:t>
            </w:r>
          </w:p>
        </w:tc>
        <w:tc>
          <w:tcPr>
            <w:tcW w:w="1060" w:type="dxa"/>
            <w:shd w:val="clear" w:color="auto" w:fill="auto"/>
            <w:vAlign w:val="bottom"/>
          </w:tcPr>
          <w:p w14:paraId="1961EB54"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1,5</w:t>
            </w:r>
          </w:p>
        </w:tc>
        <w:tc>
          <w:tcPr>
            <w:tcW w:w="1060" w:type="dxa"/>
            <w:shd w:val="clear" w:color="auto" w:fill="auto"/>
            <w:vAlign w:val="bottom"/>
          </w:tcPr>
          <w:p w14:paraId="5C8DC324"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0,8</w:t>
            </w:r>
          </w:p>
        </w:tc>
        <w:tc>
          <w:tcPr>
            <w:tcW w:w="1060" w:type="dxa"/>
            <w:shd w:val="clear" w:color="auto" w:fill="auto"/>
            <w:vAlign w:val="bottom"/>
          </w:tcPr>
          <w:p w14:paraId="45841CCF"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0,7</w:t>
            </w:r>
          </w:p>
        </w:tc>
        <w:tc>
          <w:tcPr>
            <w:tcW w:w="1060" w:type="dxa"/>
            <w:shd w:val="clear" w:color="auto" w:fill="auto"/>
            <w:vAlign w:val="bottom"/>
          </w:tcPr>
          <w:p w14:paraId="78521E24"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0,8</w:t>
            </w:r>
          </w:p>
        </w:tc>
        <w:tc>
          <w:tcPr>
            <w:tcW w:w="1060" w:type="dxa"/>
            <w:shd w:val="clear" w:color="auto" w:fill="auto"/>
            <w:vAlign w:val="bottom"/>
          </w:tcPr>
          <w:p w14:paraId="015B4F55"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0,5</w:t>
            </w:r>
          </w:p>
        </w:tc>
      </w:tr>
      <w:tr w:rsidR="00621197" w:rsidRPr="002C2C75" w14:paraId="67B7F6C8" w14:textId="77777777" w:rsidTr="001B7A18">
        <w:trPr>
          <w:trHeight w:val="260"/>
        </w:trPr>
        <w:tc>
          <w:tcPr>
            <w:tcW w:w="1217" w:type="dxa"/>
          </w:tcPr>
          <w:p w14:paraId="22AC0660" w14:textId="77777777" w:rsidR="00621197" w:rsidRPr="002C2C75" w:rsidRDefault="00621197" w:rsidP="001B7A18">
            <w:pPr>
              <w:spacing w:after="0" w:line="240" w:lineRule="auto"/>
              <w:rPr>
                <w:rFonts w:eastAsia="Arial" w:cstheme="minorHAnsi"/>
                <w:sz w:val="18"/>
                <w:szCs w:val="18"/>
              </w:rPr>
            </w:pPr>
            <w:r w:rsidRPr="002C2C75">
              <w:rPr>
                <w:rFonts w:eastAsia="Arial" w:cstheme="minorHAnsi"/>
                <w:sz w:val="18"/>
                <w:szCs w:val="18"/>
              </w:rPr>
              <w:t>Inhambane</w:t>
            </w:r>
          </w:p>
        </w:tc>
        <w:tc>
          <w:tcPr>
            <w:tcW w:w="1060" w:type="dxa"/>
            <w:shd w:val="clear" w:color="auto" w:fill="auto"/>
            <w:vAlign w:val="bottom"/>
          </w:tcPr>
          <w:p w14:paraId="3C7D5459"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5,1</w:t>
            </w:r>
          </w:p>
        </w:tc>
        <w:tc>
          <w:tcPr>
            <w:tcW w:w="1060" w:type="dxa"/>
            <w:shd w:val="clear" w:color="auto" w:fill="auto"/>
            <w:vAlign w:val="bottom"/>
          </w:tcPr>
          <w:p w14:paraId="2F19B6C2"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1,6</w:t>
            </w:r>
          </w:p>
        </w:tc>
        <w:tc>
          <w:tcPr>
            <w:tcW w:w="1060" w:type="dxa"/>
            <w:shd w:val="clear" w:color="auto" w:fill="auto"/>
            <w:vAlign w:val="bottom"/>
          </w:tcPr>
          <w:p w14:paraId="0884F929"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3,2</w:t>
            </w:r>
          </w:p>
        </w:tc>
        <w:tc>
          <w:tcPr>
            <w:tcW w:w="1060" w:type="dxa"/>
            <w:shd w:val="clear" w:color="auto" w:fill="auto"/>
            <w:vAlign w:val="bottom"/>
          </w:tcPr>
          <w:p w14:paraId="705754B6"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3,1</w:t>
            </w:r>
          </w:p>
        </w:tc>
        <w:tc>
          <w:tcPr>
            <w:tcW w:w="1060" w:type="dxa"/>
            <w:shd w:val="clear" w:color="auto" w:fill="auto"/>
            <w:vAlign w:val="bottom"/>
          </w:tcPr>
          <w:p w14:paraId="6159BA82"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1,7</w:t>
            </w:r>
          </w:p>
        </w:tc>
        <w:tc>
          <w:tcPr>
            <w:tcW w:w="1060" w:type="dxa"/>
            <w:shd w:val="clear" w:color="auto" w:fill="auto"/>
            <w:vAlign w:val="bottom"/>
          </w:tcPr>
          <w:p w14:paraId="4A54F8C0"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1,1</w:t>
            </w:r>
          </w:p>
        </w:tc>
        <w:tc>
          <w:tcPr>
            <w:tcW w:w="1060" w:type="dxa"/>
            <w:shd w:val="clear" w:color="auto" w:fill="auto"/>
            <w:vAlign w:val="bottom"/>
          </w:tcPr>
          <w:p w14:paraId="38D7AA54"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0,8</w:t>
            </w:r>
          </w:p>
        </w:tc>
        <w:tc>
          <w:tcPr>
            <w:tcW w:w="1060" w:type="dxa"/>
            <w:shd w:val="clear" w:color="auto" w:fill="auto"/>
            <w:vAlign w:val="bottom"/>
          </w:tcPr>
          <w:p w14:paraId="44AE246B"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1,1</w:t>
            </w:r>
          </w:p>
        </w:tc>
      </w:tr>
      <w:tr w:rsidR="00621197" w:rsidRPr="002C2C75" w14:paraId="31D2E041" w14:textId="77777777" w:rsidTr="001B7A18">
        <w:trPr>
          <w:trHeight w:val="260"/>
        </w:trPr>
        <w:tc>
          <w:tcPr>
            <w:tcW w:w="1217" w:type="dxa"/>
          </w:tcPr>
          <w:p w14:paraId="178355AA" w14:textId="77777777" w:rsidR="00621197" w:rsidRPr="002C2C75" w:rsidRDefault="00621197" w:rsidP="001B7A18">
            <w:pPr>
              <w:spacing w:after="0" w:line="240" w:lineRule="auto"/>
              <w:rPr>
                <w:rFonts w:eastAsia="Arial" w:cstheme="minorHAnsi"/>
                <w:sz w:val="18"/>
                <w:szCs w:val="18"/>
              </w:rPr>
            </w:pPr>
            <w:r w:rsidRPr="002C2C75">
              <w:rPr>
                <w:rFonts w:eastAsia="Arial" w:cstheme="minorHAnsi"/>
                <w:sz w:val="18"/>
                <w:szCs w:val="18"/>
              </w:rPr>
              <w:t>Manica</w:t>
            </w:r>
          </w:p>
        </w:tc>
        <w:tc>
          <w:tcPr>
            <w:tcW w:w="1060" w:type="dxa"/>
            <w:shd w:val="clear" w:color="auto" w:fill="auto"/>
            <w:vAlign w:val="bottom"/>
          </w:tcPr>
          <w:p w14:paraId="247A09AA"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6,0</w:t>
            </w:r>
          </w:p>
        </w:tc>
        <w:tc>
          <w:tcPr>
            <w:tcW w:w="1060" w:type="dxa"/>
            <w:shd w:val="clear" w:color="auto" w:fill="auto"/>
            <w:vAlign w:val="bottom"/>
          </w:tcPr>
          <w:p w14:paraId="78D18D5B"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5,6</w:t>
            </w:r>
          </w:p>
        </w:tc>
        <w:tc>
          <w:tcPr>
            <w:tcW w:w="1060" w:type="dxa"/>
            <w:shd w:val="clear" w:color="auto" w:fill="auto"/>
            <w:vAlign w:val="bottom"/>
          </w:tcPr>
          <w:p w14:paraId="1A28CAA8"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6,4</w:t>
            </w:r>
          </w:p>
        </w:tc>
        <w:tc>
          <w:tcPr>
            <w:tcW w:w="1060" w:type="dxa"/>
            <w:shd w:val="clear" w:color="auto" w:fill="auto"/>
            <w:vAlign w:val="bottom"/>
          </w:tcPr>
          <w:p w14:paraId="29F34668"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4,6</w:t>
            </w:r>
          </w:p>
        </w:tc>
        <w:tc>
          <w:tcPr>
            <w:tcW w:w="1060" w:type="dxa"/>
            <w:shd w:val="clear" w:color="auto" w:fill="auto"/>
            <w:vAlign w:val="bottom"/>
          </w:tcPr>
          <w:p w14:paraId="74E0C02C"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1,5</w:t>
            </w:r>
          </w:p>
        </w:tc>
        <w:tc>
          <w:tcPr>
            <w:tcW w:w="1060" w:type="dxa"/>
            <w:shd w:val="clear" w:color="auto" w:fill="auto"/>
            <w:vAlign w:val="bottom"/>
          </w:tcPr>
          <w:p w14:paraId="6D394142"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0,1</w:t>
            </w:r>
          </w:p>
        </w:tc>
        <w:tc>
          <w:tcPr>
            <w:tcW w:w="1060" w:type="dxa"/>
            <w:shd w:val="clear" w:color="auto" w:fill="auto"/>
            <w:vAlign w:val="bottom"/>
          </w:tcPr>
          <w:p w14:paraId="488962C2"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0,2</w:t>
            </w:r>
          </w:p>
        </w:tc>
        <w:tc>
          <w:tcPr>
            <w:tcW w:w="1060" w:type="dxa"/>
            <w:shd w:val="clear" w:color="auto" w:fill="auto"/>
            <w:vAlign w:val="bottom"/>
          </w:tcPr>
          <w:p w14:paraId="599E87F6"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0,4</w:t>
            </w:r>
          </w:p>
        </w:tc>
      </w:tr>
      <w:tr w:rsidR="00621197" w:rsidRPr="002C2C75" w14:paraId="0E361C76" w14:textId="77777777" w:rsidTr="001B7A18">
        <w:trPr>
          <w:trHeight w:val="260"/>
        </w:trPr>
        <w:tc>
          <w:tcPr>
            <w:tcW w:w="1217" w:type="dxa"/>
          </w:tcPr>
          <w:p w14:paraId="01F1E912" w14:textId="77777777" w:rsidR="00621197" w:rsidRPr="002C2C75" w:rsidRDefault="00621197" w:rsidP="001B7A18">
            <w:pPr>
              <w:spacing w:after="0" w:line="240" w:lineRule="auto"/>
              <w:rPr>
                <w:rFonts w:eastAsia="Arial" w:cstheme="minorHAnsi"/>
                <w:sz w:val="18"/>
                <w:szCs w:val="18"/>
              </w:rPr>
            </w:pPr>
            <w:r w:rsidRPr="002C2C75">
              <w:rPr>
                <w:rFonts w:eastAsia="Arial" w:cstheme="minorHAnsi"/>
                <w:sz w:val="18"/>
                <w:szCs w:val="18"/>
              </w:rPr>
              <w:t>Maputo Cit</w:t>
            </w:r>
          </w:p>
        </w:tc>
        <w:tc>
          <w:tcPr>
            <w:tcW w:w="1060" w:type="dxa"/>
            <w:shd w:val="clear" w:color="auto" w:fill="auto"/>
            <w:vAlign w:val="bottom"/>
          </w:tcPr>
          <w:p w14:paraId="388707A5"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3,1</w:t>
            </w:r>
          </w:p>
        </w:tc>
        <w:tc>
          <w:tcPr>
            <w:tcW w:w="1060" w:type="dxa"/>
            <w:shd w:val="clear" w:color="auto" w:fill="auto"/>
            <w:vAlign w:val="bottom"/>
          </w:tcPr>
          <w:p w14:paraId="2F3D0FF3"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2,1</w:t>
            </w:r>
          </w:p>
        </w:tc>
        <w:tc>
          <w:tcPr>
            <w:tcW w:w="1060" w:type="dxa"/>
            <w:shd w:val="clear" w:color="auto" w:fill="auto"/>
            <w:vAlign w:val="bottom"/>
          </w:tcPr>
          <w:p w14:paraId="5499A0F0"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2,0</w:t>
            </w:r>
          </w:p>
        </w:tc>
        <w:tc>
          <w:tcPr>
            <w:tcW w:w="1060" w:type="dxa"/>
            <w:shd w:val="clear" w:color="auto" w:fill="auto"/>
            <w:vAlign w:val="bottom"/>
          </w:tcPr>
          <w:p w14:paraId="24BFF1DA"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0,8</w:t>
            </w:r>
          </w:p>
        </w:tc>
        <w:tc>
          <w:tcPr>
            <w:tcW w:w="1060" w:type="dxa"/>
            <w:shd w:val="clear" w:color="auto" w:fill="auto"/>
            <w:vAlign w:val="bottom"/>
          </w:tcPr>
          <w:p w14:paraId="72AE09CA"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1,8</w:t>
            </w:r>
          </w:p>
        </w:tc>
        <w:tc>
          <w:tcPr>
            <w:tcW w:w="1060" w:type="dxa"/>
            <w:shd w:val="clear" w:color="auto" w:fill="auto"/>
            <w:vAlign w:val="bottom"/>
          </w:tcPr>
          <w:p w14:paraId="19BA832B"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1,4</w:t>
            </w:r>
          </w:p>
        </w:tc>
        <w:tc>
          <w:tcPr>
            <w:tcW w:w="1060" w:type="dxa"/>
            <w:shd w:val="clear" w:color="auto" w:fill="auto"/>
            <w:vAlign w:val="bottom"/>
          </w:tcPr>
          <w:p w14:paraId="2346DAF8"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0,2</w:t>
            </w:r>
          </w:p>
        </w:tc>
        <w:tc>
          <w:tcPr>
            <w:tcW w:w="1060" w:type="dxa"/>
            <w:shd w:val="clear" w:color="auto" w:fill="auto"/>
            <w:vAlign w:val="bottom"/>
          </w:tcPr>
          <w:p w14:paraId="704B2778"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0,7</w:t>
            </w:r>
          </w:p>
        </w:tc>
      </w:tr>
      <w:tr w:rsidR="00621197" w:rsidRPr="002C2C75" w14:paraId="755BBA91" w14:textId="77777777" w:rsidTr="001B7A18">
        <w:trPr>
          <w:trHeight w:val="260"/>
        </w:trPr>
        <w:tc>
          <w:tcPr>
            <w:tcW w:w="1217" w:type="dxa"/>
          </w:tcPr>
          <w:p w14:paraId="4CEE83B4" w14:textId="77777777" w:rsidR="00621197" w:rsidRPr="002C2C75" w:rsidRDefault="00621197" w:rsidP="001B7A18">
            <w:pPr>
              <w:spacing w:after="0" w:line="240" w:lineRule="auto"/>
              <w:rPr>
                <w:rFonts w:eastAsia="Arial" w:cstheme="minorHAnsi"/>
                <w:sz w:val="18"/>
                <w:szCs w:val="18"/>
              </w:rPr>
            </w:pPr>
            <w:r w:rsidRPr="002C2C75">
              <w:rPr>
                <w:rFonts w:eastAsia="Arial" w:cstheme="minorHAnsi"/>
                <w:sz w:val="18"/>
                <w:szCs w:val="18"/>
              </w:rPr>
              <w:t>Maputo Pr</w:t>
            </w:r>
          </w:p>
        </w:tc>
        <w:tc>
          <w:tcPr>
            <w:tcW w:w="1060" w:type="dxa"/>
            <w:shd w:val="clear" w:color="auto" w:fill="auto"/>
            <w:vAlign w:val="bottom"/>
          </w:tcPr>
          <w:p w14:paraId="753F6A00"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1,7</w:t>
            </w:r>
          </w:p>
        </w:tc>
        <w:tc>
          <w:tcPr>
            <w:tcW w:w="1060" w:type="dxa"/>
            <w:shd w:val="clear" w:color="auto" w:fill="auto"/>
            <w:vAlign w:val="bottom"/>
          </w:tcPr>
          <w:p w14:paraId="1CD28B7F"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1,2</w:t>
            </w:r>
          </w:p>
        </w:tc>
        <w:tc>
          <w:tcPr>
            <w:tcW w:w="1060" w:type="dxa"/>
            <w:shd w:val="clear" w:color="auto" w:fill="auto"/>
            <w:vAlign w:val="bottom"/>
          </w:tcPr>
          <w:p w14:paraId="543E469A"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1,0</w:t>
            </w:r>
          </w:p>
        </w:tc>
        <w:tc>
          <w:tcPr>
            <w:tcW w:w="1060" w:type="dxa"/>
            <w:shd w:val="clear" w:color="auto" w:fill="auto"/>
            <w:vAlign w:val="bottom"/>
          </w:tcPr>
          <w:p w14:paraId="74275603"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0,8</w:t>
            </w:r>
          </w:p>
        </w:tc>
        <w:tc>
          <w:tcPr>
            <w:tcW w:w="1060" w:type="dxa"/>
            <w:shd w:val="clear" w:color="auto" w:fill="auto"/>
            <w:vAlign w:val="bottom"/>
          </w:tcPr>
          <w:p w14:paraId="241BA9A7"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0,5</w:t>
            </w:r>
          </w:p>
        </w:tc>
        <w:tc>
          <w:tcPr>
            <w:tcW w:w="1060" w:type="dxa"/>
            <w:shd w:val="clear" w:color="auto" w:fill="auto"/>
            <w:vAlign w:val="bottom"/>
          </w:tcPr>
          <w:p w14:paraId="5448292F"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0,3</w:t>
            </w:r>
          </w:p>
        </w:tc>
        <w:tc>
          <w:tcPr>
            <w:tcW w:w="1060" w:type="dxa"/>
            <w:shd w:val="clear" w:color="auto" w:fill="auto"/>
            <w:vAlign w:val="bottom"/>
          </w:tcPr>
          <w:p w14:paraId="6F60CEC8"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0,3</w:t>
            </w:r>
          </w:p>
        </w:tc>
        <w:tc>
          <w:tcPr>
            <w:tcW w:w="1060" w:type="dxa"/>
            <w:shd w:val="clear" w:color="auto" w:fill="auto"/>
            <w:vAlign w:val="bottom"/>
          </w:tcPr>
          <w:p w14:paraId="6FE9BF45"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0,3</w:t>
            </w:r>
          </w:p>
        </w:tc>
      </w:tr>
      <w:tr w:rsidR="00621197" w:rsidRPr="002C2C75" w14:paraId="5610466F" w14:textId="77777777" w:rsidTr="001B7A18">
        <w:trPr>
          <w:trHeight w:val="260"/>
        </w:trPr>
        <w:tc>
          <w:tcPr>
            <w:tcW w:w="1217" w:type="dxa"/>
          </w:tcPr>
          <w:p w14:paraId="5B113A4B" w14:textId="77777777" w:rsidR="00621197" w:rsidRPr="002C2C75" w:rsidRDefault="00621197" w:rsidP="001B7A18">
            <w:pPr>
              <w:spacing w:after="0" w:line="240" w:lineRule="auto"/>
              <w:rPr>
                <w:rFonts w:eastAsia="Arial" w:cstheme="minorHAnsi"/>
                <w:sz w:val="18"/>
                <w:szCs w:val="18"/>
              </w:rPr>
            </w:pPr>
            <w:r w:rsidRPr="002C2C75">
              <w:rPr>
                <w:rFonts w:eastAsia="Arial" w:cstheme="minorHAnsi"/>
                <w:sz w:val="18"/>
                <w:szCs w:val="18"/>
              </w:rPr>
              <w:t>Nampula</w:t>
            </w:r>
          </w:p>
        </w:tc>
        <w:tc>
          <w:tcPr>
            <w:tcW w:w="1060" w:type="dxa"/>
            <w:shd w:val="clear" w:color="auto" w:fill="auto"/>
            <w:vAlign w:val="bottom"/>
          </w:tcPr>
          <w:p w14:paraId="3EF6458F"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18,5</w:t>
            </w:r>
          </w:p>
        </w:tc>
        <w:tc>
          <w:tcPr>
            <w:tcW w:w="1060" w:type="dxa"/>
            <w:shd w:val="clear" w:color="auto" w:fill="auto"/>
            <w:vAlign w:val="bottom"/>
          </w:tcPr>
          <w:p w14:paraId="08D75186"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12,5</w:t>
            </w:r>
          </w:p>
        </w:tc>
        <w:tc>
          <w:tcPr>
            <w:tcW w:w="1060" w:type="dxa"/>
            <w:shd w:val="clear" w:color="auto" w:fill="auto"/>
            <w:vAlign w:val="bottom"/>
          </w:tcPr>
          <w:p w14:paraId="475F3B99"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3,3</w:t>
            </w:r>
          </w:p>
        </w:tc>
        <w:tc>
          <w:tcPr>
            <w:tcW w:w="1060" w:type="dxa"/>
            <w:shd w:val="clear" w:color="auto" w:fill="auto"/>
            <w:vAlign w:val="bottom"/>
          </w:tcPr>
          <w:p w14:paraId="2B7E4615"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3,3</w:t>
            </w:r>
          </w:p>
        </w:tc>
        <w:tc>
          <w:tcPr>
            <w:tcW w:w="1060" w:type="dxa"/>
            <w:shd w:val="clear" w:color="auto" w:fill="auto"/>
            <w:vAlign w:val="bottom"/>
          </w:tcPr>
          <w:p w14:paraId="265363E1"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1,8</w:t>
            </w:r>
          </w:p>
        </w:tc>
        <w:tc>
          <w:tcPr>
            <w:tcW w:w="1060" w:type="dxa"/>
            <w:shd w:val="clear" w:color="auto" w:fill="auto"/>
            <w:vAlign w:val="bottom"/>
          </w:tcPr>
          <w:p w14:paraId="682B76D1"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1,1</w:t>
            </w:r>
          </w:p>
        </w:tc>
        <w:tc>
          <w:tcPr>
            <w:tcW w:w="1060" w:type="dxa"/>
            <w:shd w:val="clear" w:color="auto" w:fill="auto"/>
            <w:vAlign w:val="bottom"/>
          </w:tcPr>
          <w:p w14:paraId="667A2616"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1,1</w:t>
            </w:r>
          </w:p>
        </w:tc>
        <w:tc>
          <w:tcPr>
            <w:tcW w:w="1060" w:type="dxa"/>
            <w:shd w:val="clear" w:color="auto" w:fill="auto"/>
            <w:vAlign w:val="bottom"/>
          </w:tcPr>
          <w:p w14:paraId="771404FD"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0,9</w:t>
            </w:r>
          </w:p>
        </w:tc>
      </w:tr>
      <w:tr w:rsidR="00621197" w:rsidRPr="002C2C75" w14:paraId="0F615A45" w14:textId="77777777" w:rsidTr="001B7A18">
        <w:trPr>
          <w:trHeight w:val="260"/>
        </w:trPr>
        <w:tc>
          <w:tcPr>
            <w:tcW w:w="1217" w:type="dxa"/>
          </w:tcPr>
          <w:p w14:paraId="496AF926" w14:textId="77777777" w:rsidR="00621197" w:rsidRPr="002C2C75" w:rsidRDefault="00621197" w:rsidP="001B7A18">
            <w:pPr>
              <w:spacing w:after="0" w:line="240" w:lineRule="auto"/>
              <w:rPr>
                <w:rFonts w:eastAsia="Arial" w:cstheme="minorHAnsi"/>
                <w:sz w:val="18"/>
                <w:szCs w:val="18"/>
              </w:rPr>
            </w:pPr>
            <w:r w:rsidRPr="002C2C75">
              <w:rPr>
                <w:rFonts w:eastAsia="Arial" w:cstheme="minorHAnsi"/>
                <w:sz w:val="18"/>
                <w:szCs w:val="18"/>
              </w:rPr>
              <w:t>Niassa</w:t>
            </w:r>
          </w:p>
        </w:tc>
        <w:tc>
          <w:tcPr>
            <w:tcW w:w="1060" w:type="dxa"/>
            <w:shd w:val="clear" w:color="auto" w:fill="auto"/>
            <w:vAlign w:val="bottom"/>
          </w:tcPr>
          <w:p w14:paraId="27E50511"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11,3</w:t>
            </w:r>
          </w:p>
        </w:tc>
        <w:tc>
          <w:tcPr>
            <w:tcW w:w="1060" w:type="dxa"/>
            <w:shd w:val="clear" w:color="auto" w:fill="auto"/>
            <w:vAlign w:val="bottom"/>
          </w:tcPr>
          <w:p w14:paraId="180023FC"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10,5</w:t>
            </w:r>
          </w:p>
        </w:tc>
        <w:tc>
          <w:tcPr>
            <w:tcW w:w="1060" w:type="dxa"/>
            <w:shd w:val="clear" w:color="auto" w:fill="auto"/>
            <w:vAlign w:val="bottom"/>
          </w:tcPr>
          <w:p w14:paraId="587146F9"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9,5</w:t>
            </w:r>
          </w:p>
        </w:tc>
        <w:tc>
          <w:tcPr>
            <w:tcW w:w="1060" w:type="dxa"/>
            <w:shd w:val="clear" w:color="auto" w:fill="auto"/>
            <w:vAlign w:val="bottom"/>
          </w:tcPr>
          <w:p w14:paraId="0CBCA2CA"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8,3</w:t>
            </w:r>
          </w:p>
        </w:tc>
        <w:tc>
          <w:tcPr>
            <w:tcW w:w="1060" w:type="dxa"/>
            <w:shd w:val="clear" w:color="auto" w:fill="auto"/>
            <w:vAlign w:val="bottom"/>
          </w:tcPr>
          <w:p w14:paraId="3BBDDB2D"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8,1</w:t>
            </w:r>
          </w:p>
        </w:tc>
        <w:tc>
          <w:tcPr>
            <w:tcW w:w="1060" w:type="dxa"/>
            <w:shd w:val="clear" w:color="auto" w:fill="auto"/>
            <w:vAlign w:val="bottom"/>
          </w:tcPr>
          <w:p w14:paraId="7D8E253C"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9,6</w:t>
            </w:r>
          </w:p>
        </w:tc>
        <w:tc>
          <w:tcPr>
            <w:tcW w:w="1060" w:type="dxa"/>
            <w:shd w:val="clear" w:color="auto" w:fill="auto"/>
            <w:vAlign w:val="bottom"/>
          </w:tcPr>
          <w:p w14:paraId="51377179"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5,0</w:t>
            </w:r>
          </w:p>
        </w:tc>
        <w:tc>
          <w:tcPr>
            <w:tcW w:w="1060" w:type="dxa"/>
            <w:shd w:val="clear" w:color="auto" w:fill="auto"/>
            <w:vAlign w:val="bottom"/>
          </w:tcPr>
          <w:p w14:paraId="57090067"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7,5</w:t>
            </w:r>
          </w:p>
        </w:tc>
      </w:tr>
      <w:tr w:rsidR="00621197" w:rsidRPr="002C2C75" w14:paraId="6EE0A974" w14:textId="77777777" w:rsidTr="001B7A18">
        <w:trPr>
          <w:trHeight w:val="260"/>
        </w:trPr>
        <w:tc>
          <w:tcPr>
            <w:tcW w:w="1217" w:type="dxa"/>
          </w:tcPr>
          <w:p w14:paraId="24D0BD4B" w14:textId="77777777" w:rsidR="00621197" w:rsidRPr="002C2C75" w:rsidRDefault="00621197" w:rsidP="001B7A18">
            <w:pPr>
              <w:spacing w:after="0" w:line="240" w:lineRule="auto"/>
              <w:rPr>
                <w:rFonts w:eastAsia="Arial" w:cstheme="minorHAnsi"/>
                <w:sz w:val="18"/>
                <w:szCs w:val="18"/>
              </w:rPr>
            </w:pPr>
            <w:r w:rsidRPr="002C2C75">
              <w:rPr>
                <w:rFonts w:eastAsia="Arial" w:cstheme="minorHAnsi"/>
                <w:sz w:val="18"/>
                <w:szCs w:val="18"/>
              </w:rPr>
              <w:t>Sofala</w:t>
            </w:r>
          </w:p>
        </w:tc>
        <w:tc>
          <w:tcPr>
            <w:tcW w:w="1060" w:type="dxa"/>
            <w:shd w:val="clear" w:color="auto" w:fill="auto"/>
            <w:vAlign w:val="bottom"/>
          </w:tcPr>
          <w:p w14:paraId="76FAB0DF"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9,1</w:t>
            </w:r>
          </w:p>
        </w:tc>
        <w:tc>
          <w:tcPr>
            <w:tcW w:w="1060" w:type="dxa"/>
            <w:shd w:val="clear" w:color="auto" w:fill="auto"/>
            <w:vAlign w:val="bottom"/>
          </w:tcPr>
          <w:p w14:paraId="0A6057EC"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5,3</w:t>
            </w:r>
          </w:p>
        </w:tc>
        <w:tc>
          <w:tcPr>
            <w:tcW w:w="1060" w:type="dxa"/>
            <w:shd w:val="clear" w:color="auto" w:fill="auto"/>
            <w:vAlign w:val="bottom"/>
          </w:tcPr>
          <w:p w14:paraId="2D19A46B"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5,2</w:t>
            </w:r>
          </w:p>
        </w:tc>
        <w:tc>
          <w:tcPr>
            <w:tcW w:w="1060" w:type="dxa"/>
            <w:shd w:val="clear" w:color="auto" w:fill="auto"/>
            <w:vAlign w:val="bottom"/>
          </w:tcPr>
          <w:p w14:paraId="4BC572BD"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4,8</w:t>
            </w:r>
          </w:p>
        </w:tc>
        <w:tc>
          <w:tcPr>
            <w:tcW w:w="1060" w:type="dxa"/>
            <w:shd w:val="clear" w:color="auto" w:fill="auto"/>
            <w:vAlign w:val="bottom"/>
          </w:tcPr>
          <w:p w14:paraId="70CF9CA4"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4,1</w:t>
            </w:r>
          </w:p>
        </w:tc>
        <w:tc>
          <w:tcPr>
            <w:tcW w:w="1060" w:type="dxa"/>
            <w:shd w:val="clear" w:color="auto" w:fill="auto"/>
            <w:vAlign w:val="bottom"/>
          </w:tcPr>
          <w:p w14:paraId="67B93391"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2,2</w:t>
            </w:r>
          </w:p>
        </w:tc>
        <w:tc>
          <w:tcPr>
            <w:tcW w:w="1060" w:type="dxa"/>
            <w:shd w:val="clear" w:color="auto" w:fill="auto"/>
            <w:vAlign w:val="bottom"/>
          </w:tcPr>
          <w:p w14:paraId="46FC2268"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1,5</w:t>
            </w:r>
          </w:p>
        </w:tc>
        <w:tc>
          <w:tcPr>
            <w:tcW w:w="1060" w:type="dxa"/>
            <w:shd w:val="clear" w:color="auto" w:fill="auto"/>
            <w:vAlign w:val="bottom"/>
          </w:tcPr>
          <w:p w14:paraId="51C0DCBA"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1,5</w:t>
            </w:r>
          </w:p>
        </w:tc>
      </w:tr>
      <w:tr w:rsidR="00621197" w:rsidRPr="002C2C75" w14:paraId="4ACCC157" w14:textId="77777777" w:rsidTr="001B7A18">
        <w:trPr>
          <w:trHeight w:val="260"/>
        </w:trPr>
        <w:tc>
          <w:tcPr>
            <w:tcW w:w="1217" w:type="dxa"/>
          </w:tcPr>
          <w:p w14:paraId="3BD1B7D5" w14:textId="77777777" w:rsidR="00621197" w:rsidRPr="002C2C75" w:rsidRDefault="00621197" w:rsidP="001B7A18">
            <w:pPr>
              <w:spacing w:after="0" w:line="240" w:lineRule="auto"/>
              <w:rPr>
                <w:rFonts w:eastAsia="Arial" w:cstheme="minorHAnsi"/>
                <w:sz w:val="18"/>
                <w:szCs w:val="18"/>
              </w:rPr>
            </w:pPr>
            <w:r w:rsidRPr="002C2C75">
              <w:rPr>
                <w:rFonts w:eastAsia="Arial" w:cstheme="minorHAnsi"/>
                <w:sz w:val="18"/>
                <w:szCs w:val="18"/>
              </w:rPr>
              <w:t>Tete</w:t>
            </w:r>
          </w:p>
        </w:tc>
        <w:tc>
          <w:tcPr>
            <w:tcW w:w="1060" w:type="dxa"/>
            <w:shd w:val="clear" w:color="auto" w:fill="auto"/>
            <w:vAlign w:val="bottom"/>
          </w:tcPr>
          <w:p w14:paraId="77864768"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10,4</w:t>
            </w:r>
          </w:p>
        </w:tc>
        <w:tc>
          <w:tcPr>
            <w:tcW w:w="1060" w:type="dxa"/>
            <w:shd w:val="clear" w:color="auto" w:fill="auto"/>
            <w:vAlign w:val="bottom"/>
          </w:tcPr>
          <w:p w14:paraId="756E6999"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2,5</w:t>
            </w:r>
          </w:p>
        </w:tc>
        <w:tc>
          <w:tcPr>
            <w:tcW w:w="1060" w:type="dxa"/>
            <w:shd w:val="clear" w:color="auto" w:fill="auto"/>
            <w:vAlign w:val="bottom"/>
          </w:tcPr>
          <w:p w14:paraId="27D6067F"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3,3</w:t>
            </w:r>
          </w:p>
        </w:tc>
        <w:tc>
          <w:tcPr>
            <w:tcW w:w="1060" w:type="dxa"/>
            <w:shd w:val="clear" w:color="auto" w:fill="auto"/>
            <w:vAlign w:val="bottom"/>
          </w:tcPr>
          <w:p w14:paraId="58C40FF9"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2,3</w:t>
            </w:r>
          </w:p>
        </w:tc>
        <w:tc>
          <w:tcPr>
            <w:tcW w:w="1060" w:type="dxa"/>
            <w:shd w:val="clear" w:color="auto" w:fill="auto"/>
            <w:vAlign w:val="bottom"/>
          </w:tcPr>
          <w:p w14:paraId="74A5BB7D"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1,4</w:t>
            </w:r>
          </w:p>
        </w:tc>
        <w:tc>
          <w:tcPr>
            <w:tcW w:w="1060" w:type="dxa"/>
            <w:shd w:val="clear" w:color="auto" w:fill="auto"/>
            <w:vAlign w:val="bottom"/>
          </w:tcPr>
          <w:p w14:paraId="1516AA2A"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1,0</w:t>
            </w:r>
          </w:p>
        </w:tc>
        <w:tc>
          <w:tcPr>
            <w:tcW w:w="1060" w:type="dxa"/>
            <w:shd w:val="clear" w:color="auto" w:fill="auto"/>
            <w:vAlign w:val="bottom"/>
          </w:tcPr>
          <w:p w14:paraId="218ADB8F"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0,2</w:t>
            </w:r>
          </w:p>
        </w:tc>
        <w:tc>
          <w:tcPr>
            <w:tcW w:w="1060" w:type="dxa"/>
            <w:shd w:val="clear" w:color="auto" w:fill="auto"/>
            <w:vAlign w:val="bottom"/>
          </w:tcPr>
          <w:p w14:paraId="6715CFAB"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0,7</w:t>
            </w:r>
          </w:p>
        </w:tc>
      </w:tr>
      <w:tr w:rsidR="00621197" w:rsidRPr="002C2C75" w14:paraId="05624F8F" w14:textId="77777777" w:rsidTr="001B7A18">
        <w:trPr>
          <w:trHeight w:val="260"/>
        </w:trPr>
        <w:tc>
          <w:tcPr>
            <w:tcW w:w="1217" w:type="dxa"/>
          </w:tcPr>
          <w:p w14:paraId="2C2207DD" w14:textId="77777777" w:rsidR="00621197" w:rsidRPr="002C2C75" w:rsidRDefault="00621197" w:rsidP="001B7A18">
            <w:pPr>
              <w:spacing w:after="0" w:line="240" w:lineRule="auto"/>
              <w:rPr>
                <w:rFonts w:eastAsia="Arial" w:cstheme="minorHAnsi"/>
                <w:sz w:val="18"/>
                <w:szCs w:val="18"/>
              </w:rPr>
            </w:pPr>
            <w:r w:rsidRPr="002C2C75">
              <w:rPr>
                <w:rFonts w:eastAsia="Arial" w:cstheme="minorHAnsi"/>
                <w:sz w:val="18"/>
                <w:szCs w:val="18"/>
              </w:rPr>
              <w:t>Zambezia</w:t>
            </w:r>
          </w:p>
        </w:tc>
        <w:tc>
          <w:tcPr>
            <w:tcW w:w="1060" w:type="dxa"/>
            <w:shd w:val="clear" w:color="auto" w:fill="auto"/>
            <w:vAlign w:val="bottom"/>
          </w:tcPr>
          <w:p w14:paraId="30947A49"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8,4</w:t>
            </w:r>
          </w:p>
        </w:tc>
        <w:tc>
          <w:tcPr>
            <w:tcW w:w="1060" w:type="dxa"/>
            <w:shd w:val="clear" w:color="auto" w:fill="auto"/>
            <w:vAlign w:val="bottom"/>
          </w:tcPr>
          <w:p w14:paraId="4B24038F"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5,8</w:t>
            </w:r>
          </w:p>
        </w:tc>
        <w:tc>
          <w:tcPr>
            <w:tcW w:w="1060" w:type="dxa"/>
            <w:shd w:val="clear" w:color="auto" w:fill="auto"/>
            <w:vAlign w:val="bottom"/>
          </w:tcPr>
          <w:p w14:paraId="3FA951E7"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3,5</w:t>
            </w:r>
          </w:p>
        </w:tc>
        <w:tc>
          <w:tcPr>
            <w:tcW w:w="1060" w:type="dxa"/>
            <w:shd w:val="clear" w:color="auto" w:fill="auto"/>
            <w:vAlign w:val="bottom"/>
          </w:tcPr>
          <w:p w14:paraId="5DB7D34C"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2,6</w:t>
            </w:r>
          </w:p>
        </w:tc>
        <w:tc>
          <w:tcPr>
            <w:tcW w:w="1060" w:type="dxa"/>
            <w:shd w:val="clear" w:color="auto" w:fill="auto"/>
            <w:vAlign w:val="bottom"/>
          </w:tcPr>
          <w:p w14:paraId="7031F647"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2,0</w:t>
            </w:r>
          </w:p>
        </w:tc>
        <w:tc>
          <w:tcPr>
            <w:tcW w:w="1060" w:type="dxa"/>
            <w:shd w:val="clear" w:color="auto" w:fill="auto"/>
            <w:vAlign w:val="bottom"/>
          </w:tcPr>
          <w:p w14:paraId="47C202AB"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1,5</w:t>
            </w:r>
          </w:p>
        </w:tc>
        <w:tc>
          <w:tcPr>
            <w:tcW w:w="1060" w:type="dxa"/>
            <w:shd w:val="clear" w:color="auto" w:fill="auto"/>
            <w:vAlign w:val="bottom"/>
          </w:tcPr>
          <w:p w14:paraId="78ED4424"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0,9</w:t>
            </w:r>
          </w:p>
        </w:tc>
        <w:tc>
          <w:tcPr>
            <w:tcW w:w="1060" w:type="dxa"/>
            <w:shd w:val="clear" w:color="auto" w:fill="auto"/>
            <w:vAlign w:val="bottom"/>
          </w:tcPr>
          <w:p w14:paraId="415C1A1B" w14:textId="77777777" w:rsidR="00621197" w:rsidRPr="002C2C75" w:rsidRDefault="00621197" w:rsidP="001B7A18">
            <w:pPr>
              <w:spacing w:after="0" w:line="240" w:lineRule="auto"/>
              <w:jc w:val="right"/>
              <w:rPr>
                <w:rFonts w:eastAsia="Arial" w:cstheme="minorHAnsi"/>
                <w:sz w:val="18"/>
                <w:szCs w:val="18"/>
              </w:rPr>
            </w:pPr>
            <w:r w:rsidRPr="002C2C75">
              <w:rPr>
                <w:rFonts w:eastAsia="Arial" w:cstheme="minorHAnsi"/>
                <w:sz w:val="18"/>
                <w:szCs w:val="18"/>
              </w:rPr>
              <w:t>0,7</w:t>
            </w:r>
          </w:p>
        </w:tc>
      </w:tr>
      <w:tr w:rsidR="00621197" w:rsidRPr="002C2C75" w14:paraId="16124343" w14:textId="77777777" w:rsidTr="001B7A18">
        <w:trPr>
          <w:trHeight w:val="260"/>
        </w:trPr>
        <w:tc>
          <w:tcPr>
            <w:tcW w:w="1217" w:type="dxa"/>
          </w:tcPr>
          <w:p w14:paraId="2792DAF2" w14:textId="77777777" w:rsidR="00621197" w:rsidRPr="002C2C75" w:rsidRDefault="00621197" w:rsidP="001B7A18">
            <w:pPr>
              <w:spacing w:after="0" w:line="240" w:lineRule="auto"/>
              <w:rPr>
                <w:rFonts w:eastAsia="Arial" w:cstheme="minorHAnsi"/>
                <w:b/>
                <w:sz w:val="18"/>
                <w:szCs w:val="18"/>
              </w:rPr>
            </w:pPr>
            <w:r w:rsidRPr="002C2C75">
              <w:rPr>
                <w:rFonts w:eastAsia="Arial" w:cstheme="minorHAnsi"/>
                <w:b/>
                <w:sz w:val="18"/>
                <w:szCs w:val="18"/>
              </w:rPr>
              <w:t>TOTAL</w:t>
            </w:r>
          </w:p>
        </w:tc>
        <w:tc>
          <w:tcPr>
            <w:tcW w:w="1060" w:type="dxa"/>
            <w:shd w:val="clear" w:color="auto" w:fill="auto"/>
            <w:vAlign w:val="bottom"/>
          </w:tcPr>
          <w:p w14:paraId="47E64005" w14:textId="77777777" w:rsidR="00621197" w:rsidRPr="002C2C75" w:rsidRDefault="00621197" w:rsidP="001B7A18">
            <w:pPr>
              <w:spacing w:after="0" w:line="240" w:lineRule="auto"/>
              <w:jc w:val="right"/>
              <w:rPr>
                <w:rFonts w:eastAsia="Arial" w:cstheme="minorHAnsi"/>
                <w:b/>
                <w:sz w:val="18"/>
                <w:szCs w:val="18"/>
              </w:rPr>
            </w:pPr>
            <w:r w:rsidRPr="002C2C75">
              <w:rPr>
                <w:rFonts w:eastAsia="Arial" w:cstheme="minorHAnsi"/>
                <w:b/>
                <w:sz w:val="18"/>
                <w:szCs w:val="18"/>
              </w:rPr>
              <w:t>9,6</w:t>
            </w:r>
          </w:p>
        </w:tc>
        <w:tc>
          <w:tcPr>
            <w:tcW w:w="1060" w:type="dxa"/>
            <w:shd w:val="clear" w:color="auto" w:fill="auto"/>
            <w:vAlign w:val="bottom"/>
          </w:tcPr>
          <w:p w14:paraId="6732CBF1" w14:textId="77777777" w:rsidR="00621197" w:rsidRPr="002C2C75" w:rsidRDefault="00621197" w:rsidP="001B7A18">
            <w:pPr>
              <w:spacing w:after="0" w:line="240" w:lineRule="auto"/>
              <w:jc w:val="right"/>
              <w:rPr>
                <w:rFonts w:eastAsia="Arial" w:cstheme="minorHAnsi"/>
                <w:b/>
                <w:sz w:val="18"/>
                <w:szCs w:val="18"/>
              </w:rPr>
            </w:pPr>
            <w:r w:rsidRPr="002C2C75">
              <w:rPr>
                <w:rFonts w:eastAsia="Arial" w:cstheme="minorHAnsi"/>
                <w:b/>
                <w:sz w:val="18"/>
                <w:szCs w:val="18"/>
              </w:rPr>
              <w:t>6,4</w:t>
            </w:r>
          </w:p>
        </w:tc>
        <w:tc>
          <w:tcPr>
            <w:tcW w:w="1060" w:type="dxa"/>
            <w:shd w:val="clear" w:color="auto" w:fill="auto"/>
            <w:vAlign w:val="bottom"/>
          </w:tcPr>
          <w:p w14:paraId="22C6CB5F" w14:textId="77777777" w:rsidR="00621197" w:rsidRPr="002C2C75" w:rsidRDefault="00621197" w:rsidP="001B7A18">
            <w:pPr>
              <w:spacing w:after="0" w:line="240" w:lineRule="auto"/>
              <w:jc w:val="right"/>
              <w:rPr>
                <w:rFonts w:eastAsia="Arial" w:cstheme="minorHAnsi"/>
                <w:b/>
                <w:sz w:val="18"/>
                <w:szCs w:val="18"/>
              </w:rPr>
            </w:pPr>
            <w:r w:rsidRPr="002C2C75">
              <w:rPr>
                <w:rFonts w:eastAsia="Arial" w:cstheme="minorHAnsi"/>
                <w:b/>
                <w:sz w:val="18"/>
                <w:szCs w:val="18"/>
              </w:rPr>
              <w:t>4,0</w:t>
            </w:r>
          </w:p>
        </w:tc>
        <w:tc>
          <w:tcPr>
            <w:tcW w:w="1060" w:type="dxa"/>
            <w:shd w:val="clear" w:color="auto" w:fill="auto"/>
            <w:vAlign w:val="bottom"/>
          </w:tcPr>
          <w:p w14:paraId="3F74C7CA" w14:textId="77777777" w:rsidR="00621197" w:rsidRPr="002C2C75" w:rsidRDefault="00621197" w:rsidP="001B7A18">
            <w:pPr>
              <w:spacing w:after="0" w:line="240" w:lineRule="auto"/>
              <w:jc w:val="right"/>
              <w:rPr>
                <w:rFonts w:eastAsia="Arial" w:cstheme="minorHAnsi"/>
                <w:b/>
                <w:sz w:val="18"/>
                <w:szCs w:val="18"/>
              </w:rPr>
            </w:pPr>
            <w:r w:rsidRPr="002C2C75">
              <w:rPr>
                <w:rFonts w:eastAsia="Arial" w:cstheme="minorHAnsi"/>
                <w:b/>
                <w:sz w:val="18"/>
                <w:szCs w:val="18"/>
              </w:rPr>
              <w:t>3,4</w:t>
            </w:r>
          </w:p>
        </w:tc>
        <w:tc>
          <w:tcPr>
            <w:tcW w:w="1060" w:type="dxa"/>
            <w:shd w:val="clear" w:color="auto" w:fill="auto"/>
            <w:vAlign w:val="bottom"/>
          </w:tcPr>
          <w:p w14:paraId="7E2166C6" w14:textId="77777777" w:rsidR="00621197" w:rsidRPr="002C2C75" w:rsidRDefault="00621197" w:rsidP="001B7A18">
            <w:pPr>
              <w:spacing w:after="0" w:line="240" w:lineRule="auto"/>
              <w:jc w:val="right"/>
              <w:rPr>
                <w:rFonts w:eastAsia="Arial" w:cstheme="minorHAnsi"/>
                <w:b/>
                <w:sz w:val="18"/>
                <w:szCs w:val="18"/>
              </w:rPr>
            </w:pPr>
            <w:r w:rsidRPr="002C2C75">
              <w:rPr>
                <w:rFonts w:eastAsia="Arial" w:cstheme="minorHAnsi"/>
                <w:b/>
                <w:sz w:val="18"/>
                <w:szCs w:val="18"/>
              </w:rPr>
              <w:t>2,5</w:t>
            </w:r>
          </w:p>
        </w:tc>
        <w:tc>
          <w:tcPr>
            <w:tcW w:w="1060" w:type="dxa"/>
            <w:shd w:val="clear" w:color="auto" w:fill="auto"/>
            <w:vAlign w:val="bottom"/>
          </w:tcPr>
          <w:p w14:paraId="6270A453" w14:textId="77777777" w:rsidR="00621197" w:rsidRPr="002C2C75" w:rsidRDefault="00621197" w:rsidP="001B7A18">
            <w:pPr>
              <w:spacing w:after="0" w:line="240" w:lineRule="auto"/>
              <w:jc w:val="right"/>
              <w:rPr>
                <w:rFonts w:eastAsia="Arial" w:cstheme="minorHAnsi"/>
                <w:b/>
                <w:sz w:val="18"/>
                <w:szCs w:val="18"/>
              </w:rPr>
            </w:pPr>
            <w:r w:rsidRPr="002C2C75">
              <w:rPr>
                <w:rFonts w:eastAsia="Arial" w:cstheme="minorHAnsi"/>
                <w:b/>
                <w:sz w:val="18"/>
                <w:szCs w:val="18"/>
              </w:rPr>
              <w:t>1,9</w:t>
            </w:r>
          </w:p>
        </w:tc>
        <w:tc>
          <w:tcPr>
            <w:tcW w:w="1060" w:type="dxa"/>
            <w:shd w:val="clear" w:color="auto" w:fill="auto"/>
            <w:vAlign w:val="bottom"/>
          </w:tcPr>
          <w:p w14:paraId="165D01A9" w14:textId="77777777" w:rsidR="00621197" w:rsidRPr="002C2C75" w:rsidRDefault="00621197" w:rsidP="001B7A18">
            <w:pPr>
              <w:spacing w:after="0" w:line="240" w:lineRule="auto"/>
              <w:jc w:val="right"/>
              <w:rPr>
                <w:rFonts w:eastAsia="Arial" w:cstheme="minorHAnsi"/>
                <w:b/>
                <w:sz w:val="18"/>
                <w:szCs w:val="18"/>
              </w:rPr>
            </w:pPr>
            <w:r w:rsidRPr="002C2C75">
              <w:rPr>
                <w:rFonts w:eastAsia="Arial" w:cstheme="minorHAnsi"/>
                <w:b/>
                <w:sz w:val="18"/>
                <w:szCs w:val="18"/>
              </w:rPr>
              <w:t>1,3</w:t>
            </w:r>
          </w:p>
        </w:tc>
        <w:tc>
          <w:tcPr>
            <w:tcW w:w="1060" w:type="dxa"/>
            <w:shd w:val="clear" w:color="auto" w:fill="auto"/>
            <w:vAlign w:val="bottom"/>
          </w:tcPr>
          <w:p w14:paraId="09156D64" w14:textId="77777777" w:rsidR="00621197" w:rsidRPr="002C2C75" w:rsidRDefault="00621197" w:rsidP="001B7A18">
            <w:pPr>
              <w:spacing w:after="0" w:line="240" w:lineRule="auto"/>
              <w:jc w:val="right"/>
              <w:rPr>
                <w:rFonts w:eastAsia="Arial" w:cstheme="minorHAnsi"/>
                <w:b/>
                <w:sz w:val="18"/>
                <w:szCs w:val="18"/>
              </w:rPr>
            </w:pPr>
            <w:r w:rsidRPr="002C2C75">
              <w:rPr>
                <w:rFonts w:eastAsia="Arial" w:cstheme="minorHAnsi"/>
                <w:b/>
                <w:sz w:val="18"/>
                <w:szCs w:val="18"/>
              </w:rPr>
              <w:t>1,4</w:t>
            </w:r>
          </w:p>
        </w:tc>
      </w:tr>
    </w:tbl>
    <w:p w14:paraId="51C34434" w14:textId="77777777" w:rsidR="003D2E4F" w:rsidRPr="002C2C75" w:rsidRDefault="003D2E4F" w:rsidP="00621197">
      <w:pPr>
        <w:jc w:val="both"/>
      </w:pPr>
    </w:p>
    <w:p w14:paraId="214730B6" w14:textId="42445024" w:rsidR="00621197" w:rsidRPr="002C2C75" w:rsidRDefault="00621197" w:rsidP="00621197">
      <w:pPr>
        <w:jc w:val="both"/>
      </w:pPr>
      <w:r w:rsidRPr="002C2C75">
        <w:t xml:space="preserve">The major malaria vectors in the country are </w:t>
      </w:r>
      <w:r w:rsidRPr="002C2C75">
        <w:rPr>
          <w:i/>
        </w:rPr>
        <w:t>An. Gambiae s.s</w:t>
      </w:r>
      <w:r w:rsidRPr="002C2C75">
        <w:t xml:space="preserve">. (more prevalent in the centre and north), </w:t>
      </w:r>
      <w:r w:rsidRPr="002C2C75">
        <w:rPr>
          <w:i/>
        </w:rPr>
        <w:t xml:space="preserve">An. Arabiensis </w:t>
      </w:r>
      <w:r w:rsidRPr="002C2C75">
        <w:t xml:space="preserve">(more prevalent in the south and central areas), and </w:t>
      </w:r>
      <w:r w:rsidRPr="002C2C75">
        <w:rPr>
          <w:i/>
        </w:rPr>
        <w:t xml:space="preserve">An. Funestus s.s </w:t>
      </w:r>
      <w:r w:rsidRPr="002C2C75">
        <w:t xml:space="preserve">(widely distributed along the coast; it is the member of </w:t>
      </w:r>
      <w:r w:rsidRPr="002C2C75">
        <w:rPr>
          <w:i/>
        </w:rPr>
        <w:t xml:space="preserve">funestus </w:t>
      </w:r>
      <w:r w:rsidRPr="002C2C75">
        <w:t>group found almost exclusively inside human dwellings</w:t>
      </w:r>
      <w:r w:rsidRPr="002C2C75">
        <w:rPr>
          <w:vertAlign w:val="superscript"/>
        </w:rPr>
        <w:footnoteReference w:id="8"/>
      </w:r>
      <w:r w:rsidRPr="002C2C75">
        <w:t xml:space="preserve">). </w:t>
      </w:r>
    </w:p>
    <w:p w14:paraId="4324689E" w14:textId="77777777" w:rsidR="00621197" w:rsidRPr="002C2C75" w:rsidRDefault="00621197" w:rsidP="00621197">
      <w:pPr>
        <w:jc w:val="both"/>
      </w:pPr>
      <w:r w:rsidRPr="002C2C75">
        <w:t xml:space="preserve">In 2021, the NMCP performed insecticide resistance monitoring in 44 sentinel sites, vector density in 32, and WHO bioassays for residual efficacy in nine sites. Insecticides tested were: Alphacypermethrin (0.05%), dichloro-diphenyl- trichloroethane (DDT – 4%), bendiocarb (0.1%), lambdacyhalothrin (0.05%), deltamethrin (0.05%), fenitrothion (1%), Permethrin (0.75%) and pirimiphos-methyl (0.25%). </w:t>
      </w:r>
    </w:p>
    <w:p w14:paraId="66CE5F92" w14:textId="77777777" w:rsidR="00621197" w:rsidRPr="002C2C75" w:rsidRDefault="00621197" w:rsidP="00621197">
      <w:pPr>
        <w:jc w:val="both"/>
      </w:pPr>
      <w:r w:rsidRPr="002C2C75">
        <w:t xml:space="preserve">Generally, the country has recorded an increase in the geographical spread of insecticide resistance to pyrethroids (deltamethrin and lambdacyhalothrin), with every province in the country observing pyrethroid resistance in at least one species in 2021.  The country has recorded more limited distribution of resistance to carbamates (bendiocarb) and organochlorines (DDT), and all vectors remain susceptible to organophosphates (pirimiphos methyl and fenitrothion). The maps below show that </w:t>
      </w:r>
      <w:r w:rsidRPr="002C2C75">
        <w:rPr>
          <w:i/>
        </w:rPr>
        <w:t xml:space="preserve">An. gambiae s.l. </w:t>
      </w:r>
      <w:r w:rsidRPr="002C2C75">
        <w:t xml:space="preserve">and </w:t>
      </w:r>
      <w:r w:rsidRPr="002C2C75">
        <w:rPr>
          <w:i/>
        </w:rPr>
        <w:t>An. funestus s.l.</w:t>
      </w:r>
      <w:r w:rsidRPr="002C2C75">
        <w:t xml:space="preserve"> have a confirmed resistance based on data from 2012 through 2020</w:t>
      </w:r>
      <w:r w:rsidRPr="002C2C75">
        <w:rPr>
          <w:vertAlign w:val="superscript"/>
        </w:rPr>
        <w:footnoteReference w:id="9"/>
      </w:r>
      <w:r w:rsidRPr="002C2C75">
        <w:t xml:space="preserve">. The 2021 map shows confirmed resistance for both </w:t>
      </w:r>
      <w:r w:rsidRPr="002C2C75">
        <w:rPr>
          <w:i/>
        </w:rPr>
        <w:t xml:space="preserve">An. gambiae s.l. </w:t>
      </w:r>
      <w:r w:rsidRPr="002C2C75">
        <w:t xml:space="preserve">and </w:t>
      </w:r>
      <w:r w:rsidRPr="002C2C75">
        <w:rPr>
          <w:i/>
        </w:rPr>
        <w:t>An. funestus s.l</w:t>
      </w:r>
      <w:r w:rsidRPr="002C2C75">
        <w:t xml:space="preserve">. This data led the NMCP to move away from pyrethroid IRS and introduce the distribution of PBO-pyrethroid and dual-AI ITNs in order to fight against this resistance. For IRS, the NMCP has also adopted the rotation of insecticide every two years to proactively guard against the emergence of resistance to other insecticide classes (DNSP, p. 31). </w:t>
      </w:r>
    </w:p>
    <w:p w14:paraId="16354CA4" w14:textId="77777777" w:rsidR="00621197" w:rsidRPr="002C2C75" w:rsidRDefault="00621197" w:rsidP="00621197">
      <w:pPr>
        <w:jc w:val="both"/>
      </w:pPr>
    </w:p>
    <w:p w14:paraId="15C9F8F0" w14:textId="77777777" w:rsidR="00621197" w:rsidRPr="002C2C75" w:rsidRDefault="00621197" w:rsidP="00621197">
      <w:pPr>
        <w:jc w:val="both"/>
      </w:pPr>
      <w:r w:rsidRPr="002C2C75">
        <w:t>Figure 7: Insecticide resistance profile 2012-2021 (MPR Report, p. 39)</w:t>
      </w:r>
    </w:p>
    <w:p w14:paraId="005FBC00" w14:textId="77777777" w:rsidR="00621197" w:rsidRPr="002C2C75" w:rsidRDefault="00621197" w:rsidP="00621197">
      <w:pPr>
        <w:jc w:val="both"/>
      </w:pPr>
      <w:r w:rsidRPr="002C2C75">
        <w:rPr>
          <w:noProof/>
        </w:rPr>
        <w:drawing>
          <wp:inline distT="0" distB="0" distL="0" distR="0" wp14:anchorId="54AB07C4" wp14:editId="4055C611">
            <wp:extent cx="1777402" cy="2300179"/>
            <wp:effectExtent l="0" t="0" r="0" b="0"/>
            <wp:docPr id="2070576812" name="image8.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Map&#10;&#10;Description automatically generated"/>
                    <pic:cNvPicPr preferRelativeResize="0"/>
                  </pic:nvPicPr>
                  <pic:blipFill>
                    <a:blip r:embed="rId41"/>
                    <a:srcRect/>
                    <a:stretch>
                      <a:fillRect/>
                    </a:stretch>
                  </pic:blipFill>
                  <pic:spPr>
                    <a:xfrm>
                      <a:off x="0" y="0"/>
                      <a:ext cx="1777402" cy="2300179"/>
                    </a:xfrm>
                    <a:prstGeom prst="rect">
                      <a:avLst/>
                    </a:prstGeom>
                    <a:ln/>
                  </pic:spPr>
                </pic:pic>
              </a:graphicData>
            </a:graphic>
          </wp:inline>
        </w:drawing>
      </w:r>
      <w:r w:rsidRPr="002C2C75">
        <w:rPr>
          <w:noProof/>
        </w:rPr>
        <w:drawing>
          <wp:inline distT="0" distB="0" distL="0" distR="0" wp14:anchorId="359C482D" wp14:editId="4789C38F">
            <wp:extent cx="1816061" cy="2350208"/>
            <wp:effectExtent l="0" t="0" r="0" b="0"/>
            <wp:docPr id="2070576813" name="image18.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Map&#10;&#10;Description automatically generated"/>
                    <pic:cNvPicPr preferRelativeResize="0"/>
                  </pic:nvPicPr>
                  <pic:blipFill>
                    <a:blip r:embed="rId42"/>
                    <a:srcRect/>
                    <a:stretch>
                      <a:fillRect/>
                    </a:stretch>
                  </pic:blipFill>
                  <pic:spPr>
                    <a:xfrm>
                      <a:off x="0" y="0"/>
                      <a:ext cx="1816061" cy="2350208"/>
                    </a:xfrm>
                    <a:prstGeom prst="rect">
                      <a:avLst/>
                    </a:prstGeom>
                    <a:ln/>
                  </pic:spPr>
                </pic:pic>
              </a:graphicData>
            </a:graphic>
          </wp:inline>
        </w:drawing>
      </w:r>
      <w:r w:rsidRPr="002C2C75">
        <w:rPr>
          <w:noProof/>
        </w:rPr>
        <w:drawing>
          <wp:inline distT="114300" distB="114300" distL="114300" distR="114300" wp14:anchorId="0B201D4B" wp14:editId="6A107FA4">
            <wp:extent cx="1792224" cy="2329891"/>
            <wp:effectExtent l="0" t="0" r="0" b="0"/>
            <wp:docPr id="2070576815" name="image20.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2070576815" name="image20.png" descr="Map&#10;&#10;Description automatically generated"/>
                    <pic:cNvPicPr preferRelativeResize="0"/>
                  </pic:nvPicPr>
                  <pic:blipFill>
                    <a:blip r:embed="rId43"/>
                    <a:srcRect/>
                    <a:stretch>
                      <a:fillRect/>
                    </a:stretch>
                  </pic:blipFill>
                  <pic:spPr>
                    <a:xfrm>
                      <a:off x="0" y="0"/>
                      <a:ext cx="1792224" cy="2329891"/>
                    </a:xfrm>
                    <a:prstGeom prst="rect">
                      <a:avLst/>
                    </a:prstGeom>
                    <a:ln/>
                  </pic:spPr>
                </pic:pic>
              </a:graphicData>
            </a:graphic>
          </wp:inline>
        </w:drawing>
      </w:r>
    </w:p>
    <w:p w14:paraId="11D2D359" w14:textId="23D92EE4" w:rsidR="0075551B" w:rsidRPr="002C2C75" w:rsidRDefault="0075551B" w:rsidP="00621197">
      <w:pPr>
        <w:pStyle w:val="BodyText"/>
        <w:jc w:val="both"/>
        <w:rPr>
          <w:sz w:val="22"/>
          <w:lang w:val="en-US"/>
        </w:rPr>
      </w:pPr>
    </w:p>
    <w:p w14:paraId="23EA1F3D" w14:textId="6002B753" w:rsidR="0075551B" w:rsidRPr="002C2C75" w:rsidRDefault="00621197" w:rsidP="00621197">
      <w:pPr>
        <w:pStyle w:val="BodyText"/>
        <w:jc w:val="both"/>
        <w:rPr>
          <w:sz w:val="22"/>
          <w:lang w:val="en-US"/>
        </w:rPr>
      </w:pPr>
      <w:r w:rsidRPr="002C2C75">
        <w:rPr>
          <w:sz w:val="22"/>
          <w:lang w:val="en-US"/>
        </w:rPr>
        <w:t xml:space="preserve">The focus of the Malaria Strategic Plan 2023-2030 is on reducing morbidity and mortality from malaria in high transmission areas, and on eliminating malaria from low burden areas of the country. In line with globally recommended best practices, the country and its partners have undergone significant collective efforts to stratify and target interventions in the country to maximize impact. </w:t>
      </w:r>
    </w:p>
    <w:p w14:paraId="0C171616" w14:textId="77777777" w:rsidR="00621197" w:rsidRPr="002C2C75" w:rsidRDefault="00621197" w:rsidP="00621197">
      <w:pPr>
        <w:pBdr>
          <w:top w:val="nil"/>
          <w:left w:val="nil"/>
          <w:bottom w:val="nil"/>
          <w:right w:val="nil"/>
          <w:between w:val="nil"/>
        </w:pBdr>
        <w:spacing w:line="240" w:lineRule="auto"/>
        <w:rPr>
          <w:rFonts w:eastAsia="Arial" w:cstheme="minorHAnsi"/>
          <w:b/>
          <w:bCs/>
          <w:i/>
          <w:iCs/>
          <w:color w:val="000000"/>
        </w:rPr>
      </w:pPr>
      <w:r w:rsidRPr="002C2C75">
        <w:rPr>
          <w:rFonts w:eastAsia="Arial" w:cstheme="minorHAnsi"/>
          <w:b/>
          <w:bCs/>
          <w:i/>
          <w:iCs/>
          <w:color w:val="000000"/>
        </w:rPr>
        <w:t>Vulnerability to climatic and conflict-related emergencies, and the need for agile response</w:t>
      </w:r>
    </w:p>
    <w:p w14:paraId="6CB70542" w14:textId="77777777" w:rsidR="00621197" w:rsidRPr="002C2C75" w:rsidRDefault="00621197" w:rsidP="00621197">
      <w:pPr>
        <w:pBdr>
          <w:top w:val="nil"/>
          <w:left w:val="nil"/>
          <w:bottom w:val="nil"/>
          <w:right w:val="nil"/>
          <w:between w:val="nil"/>
        </w:pBdr>
        <w:spacing w:line="240" w:lineRule="auto"/>
        <w:jc w:val="both"/>
        <w:rPr>
          <w:rFonts w:eastAsia="Arial" w:cstheme="minorHAnsi"/>
          <w:color w:val="000000"/>
        </w:rPr>
      </w:pPr>
      <w:r w:rsidRPr="002C2C75">
        <w:rPr>
          <w:rFonts w:eastAsia="Arial" w:cstheme="minorHAnsi"/>
          <w:color w:val="000000"/>
        </w:rPr>
        <w:t xml:space="preserve">Mozambique has undergone a peaceful transition from a war context to a multiparty political democracy.  However, since 2019, it has experienced a period of intensified conflict in Cabo Delgado Province that has displaced nearly a million people in recent years. The challenges have severely disrupted health services, including primary healthcare services in nearly half of health facilities. Cabo Delgao is also the highest malaria prevalence province in the country. Government and humanitarian have responded to these challenges with attempts to ensure services are as reinforced as possible, including through the GF Emergency Fund with MDA in high burden, high disruption districts. </w:t>
      </w:r>
    </w:p>
    <w:p w14:paraId="4451A8D1" w14:textId="77777777" w:rsidR="00621197" w:rsidRPr="002C2C75" w:rsidRDefault="00621197" w:rsidP="00621197">
      <w:pPr>
        <w:pBdr>
          <w:top w:val="nil"/>
          <w:left w:val="nil"/>
          <w:bottom w:val="nil"/>
          <w:right w:val="nil"/>
          <w:between w:val="nil"/>
        </w:pBdr>
        <w:spacing w:line="240" w:lineRule="auto"/>
        <w:jc w:val="both"/>
        <w:rPr>
          <w:rFonts w:eastAsia="Arial" w:cstheme="minorHAnsi"/>
          <w:color w:val="000000"/>
        </w:rPr>
      </w:pPr>
      <w:r w:rsidRPr="002C2C75">
        <w:rPr>
          <w:rFonts w:eastAsia="Arial" w:cstheme="minorHAnsi"/>
          <w:color w:val="000000"/>
        </w:rPr>
        <w:t>In addition to these conflict-related vulnerabilities, Mozambique has widespread vulnerability to natural disasters. Malaria services are frequently threatened by tropical cyclones, including major storms Idai, Kenneth, and Freddy in the past 4 years. These threats require health and government systems with agile response capacity, and in coming years these agile systems must be reinforced if Mozambique hopes to be as responsive as possible to these emergency situations.</w:t>
      </w:r>
    </w:p>
    <w:p w14:paraId="3892FA16" w14:textId="4B1C5189" w:rsidR="003F331F" w:rsidRPr="002C2C75" w:rsidRDefault="003F331F" w:rsidP="00BA7CA6">
      <w:pPr>
        <w:pBdr>
          <w:top w:val="nil"/>
          <w:left w:val="nil"/>
          <w:bottom w:val="nil"/>
          <w:right w:val="nil"/>
          <w:between w:val="nil"/>
        </w:pBdr>
        <w:spacing w:line="240" w:lineRule="auto"/>
        <w:rPr>
          <w:rFonts w:eastAsia="Arial" w:cstheme="minorHAnsi"/>
          <w:b/>
          <w:bCs/>
          <w:color w:val="000000"/>
        </w:rPr>
      </w:pPr>
      <w:r w:rsidRPr="002C2C75">
        <w:rPr>
          <w:rFonts w:eastAsia="Arial" w:cstheme="minorHAnsi"/>
          <w:b/>
          <w:bCs/>
          <w:color w:val="000000"/>
        </w:rPr>
        <w:t>Case management</w:t>
      </w:r>
    </w:p>
    <w:p w14:paraId="6B227FB0" w14:textId="4F4F2AE8" w:rsidR="009070F8" w:rsidRPr="002C2C75" w:rsidRDefault="009070F8" w:rsidP="00BA7CA6">
      <w:pPr>
        <w:pBdr>
          <w:top w:val="nil"/>
          <w:left w:val="nil"/>
          <w:bottom w:val="nil"/>
          <w:right w:val="nil"/>
          <w:between w:val="nil"/>
        </w:pBdr>
        <w:spacing w:line="240" w:lineRule="auto"/>
        <w:rPr>
          <w:rFonts w:eastAsia="Arial" w:cstheme="minorHAnsi"/>
          <w:b/>
          <w:bCs/>
          <w:color w:val="000000"/>
        </w:rPr>
      </w:pPr>
      <w:r w:rsidRPr="002C2C75">
        <w:rPr>
          <w:rFonts w:eastAsia="Arial" w:cstheme="minorHAnsi"/>
          <w:b/>
          <w:bCs/>
          <w:i/>
          <w:iCs/>
          <w:color w:val="000000"/>
        </w:rPr>
        <w:t xml:space="preserve">Strong case management remains the foundation of Mozambique’s efforts, with improved quality of care but </w:t>
      </w:r>
      <w:r w:rsidR="00621197" w:rsidRPr="002C2C75">
        <w:rPr>
          <w:rFonts w:eastAsia="Arial" w:cstheme="minorHAnsi"/>
          <w:b/>
          <w:bCs/>
          <w:i/>
          <w:iCs/>
          <w:color w:val="000000"/>
        </w:rPr>
        <w:t>several remaining gaps</w:t>
      </w:r>
    </w:p>
    <w:p w14:paraId="7244BF32" w14:textId="77777777" w:rsidR="000D0D2D" w:rsidRPr="002C2C75" w:rsidRDefault="000D0D2D" w:rsidP="000D0D2D">
      <w:pPr>
        <w:jc w:val="both"/>
      </w:pPr>
      <w:r w:rsidRPr="002C2C75">
        <w:t>The 2018 Health Facility Survey found that testing of suspected cases at the primary care level remained low, with only 33% of suspected cases in Maputo Province being tested and 62% and 69% respectively in Zambézia and Cabo Delgado</w:t>
      </w:r>
      <w:r w:rsidRPr="002C2C75">
        <w:rPr>
          <w:rStyle w:val="FootnoteReference"/>
        </w:rPr>
        <w:footnoteReference w:id="10"/>
      </w:r>
      <w:r w:rsidRPr="002C2C75">
        <w:t xml:space="preserve">. </w:t>
      </w:r>
    </w:p>
    <w:p w14:paraId="5267C6B1" w14:textId="77777777" w:rsidR="000D0D2D" w:rsidRPr="002C2C75" w:rsidRDefault="000D0D2D" w:rsidP="000D0D2D">
      <w:pPr>
        <w:jc w:val="both"/>
      </w:pPr>
      <w:r w:rsidRPr="002C2C75">
        <w:t>This survey was repeated in 2021, and it showed some improvements but still many gaps. The 2021 Health Facility Survey</w:t>
      </w:r>
      <w:r w:rsidRPr="002C2C75">
        <w:rPr>
          <w:rStyle w:val="FootnoteReference"/>
        </w:rPr>
        <w:footnoteReference w:id="11"/>
      </w:r>
      <w:r w:rsidRPr="002C2C75">
        <w:t xml:space="preserve"> found that the percentage of suspected cases that were managed correctly ranged from 61% in Manica to 85% in Inhambane, while the percentage of true cases that were treated appropriately ranged from 32% (Maputo) to 86% (Inhambane). Some improvements were seen since the 2018 HF survey: the percentage of true cases that were managed correctly grew from 14% to 32% in Maputo and from 52% to 61% in Zambezia.</w:t>
      </w:r>
    </w:p>
    <w:p w14:paraId="723E52EF" w14:textId="77777777" w:rsidR="000D0D2D" w:rsidRPr="002C2C75" w:rsidRDefault="000D0D2D" w:rsidP="000D0D2D">
      <w:pPr>
        <w:jc w:val="both"/>
      </w:pPr>
      <w:r w:rsidRPr="002C2C75">
        <w:t>Similar to the results of the 2018 Health Facility Survey, the 2021 survey showed that the treatment of negative or non-tested patients remained very low, and the availability of RDTs and ACTs was very high. This indicates that any challenges with stock are at community level, and that the primary challenges at health facilities continue to be ensuring fevers are consistently tested for malaria, especially in lower burden areas.</w:t>
      </w:r>
    </w:p>
    <w:p w14:paraId="5C008479" w14:textId="77777777" w:rsidR="000D0D2D" w:rsidRPr="002C2C75" w:rsidRDefault="000D0D2D" w:rsidP="000D0D2D">
      <w:pPr>
        <w:jc w:val="both"/>
        <w:rPr>
          <w:rFonts w:cstheme="minorHAnsi"/>
        </w:rPr>
      </w:pPr>
      <w:r w:rsidRPr="002C2C75">
        <w:rPr>
          <w:rFonts w:cstheme="minorHAnsi"/>
        </w:rPr>
        <w:t xml:space="preserve">The 2018 Health Facility Survey found very low levels of stock out throughout the 3 provinces surveyed, with 92.3% of facilities with no stock outs of RDTs for more than 3 days in the 3 months prior to the survey and 94.7% of facilities with no stock outs of ACTs for more than 3 days in the 3 months prior to the survey. </w:t>
      </w:r>
    </w:p>
    <w:p w14:paraId="1AE6F44B" w14:textId="77777777" w:rsidR="000D0D2D" w:rsidRPr="002C2C75" w:rsidRDefault="000D0D2D" w:rsidP="000D0D2D">
      <w:pPr>
        <w:jc w:val="both"/>
        <w:rPr>
          <w:rFonts w:cstheme="minorHAnsi"/>
        </w:rPr>
      </w:pPr>
      <w:r w:rsidRPr="002C2C75">
        <w:rPr>
          <w:rFonts w:cstheme="minorHAnsi"/>
        </w:rPr>
        <w:t>The proportion of facilities without RDT stock outs improved slightly to 97% in 2021, while the proportion of facilities without ACT stock outs remained stable at 93%. However, at community level, stock outs remain a large challenge with important programmatic implications: in four of six provinces, over 50% of APEs reported stockouts of AL. (MPR Report, p. 106)</w:t>
      </w:r>
    </w:p>
    <w:p w14:paraId="2936AF06" w14:textId="77777777" w:rsidR="000D0D2D" w:rsidRPr="002C2C75" w:rsidRDefault="000D0D2D" w:rsidP="000D0D2D">
      <w:pPr>
        <w:jc w:val="both"/>
        <w:rPr>
          <w:iCs/>
          <w:sz w:val="20"/>
          <w:szCs w:val="20"/>
        </w:rPr>
      </w:pPr>
      <w:r w:rsidRPr="002C2C75">
        <w:rPr>
          <w:iCs/>
          <w:sz w:val="20"/>
          <w:szCs w:val="20"/>
        </w:rPr>
        <w:t>Table 8: Quality of case management in provinces surveyed in the 2021 HF survey</w:t>
      </w:r>
    </w:p>
    <w:tbl>
      <w:tblPr>
        <w:tblStyle w:val="12"/>
        <w:tblW w:w="10338" w:type="dxa"/>
        <w:tblLayout w:type="fixed"/>
        <w:tblLook w:val="0400" w:firstRow="0" w:lastRow="0" w:firstColumn="0" w:lastColumn="0" w:noHBand="0" w:noVBand="1"/>
      </w:tblPr>
      <w:tblGrid>
        <w:gridCol w:w="2716"/>
        <w:gridCol w:w="569"/>
        <w:gridCol w:w="753"/>
        <w:gridCol w:w="569"/>
        <w:gridCol w:w="753"/>
        <w:gridCol w:w="569"/>
        <w:gridCol w:w="753"/>
        <w:gridCol w:w="414"/>
        <w:gridCol w:w="753"/>
        <w:gridCol w:w="414"/>
        <w:gridCol w:w="753"/>
        <w:gridCol w:w="569"/>
        <w:gridCol w:w="753"/>
      </w:tblGrid>
      <w:tr w:rsidR="000D0D2D" w:rsidRPr="002C2C75" w14:paraId="698A77E2" w14:textId="77777777" w:rsidTr="001B7A18">
        <w:trPr>
          <w:trHeight w:val="282"/>
        </w:trPr>
        <w:tc>
          <w:tcPr>
            <w:tcW w:w="2716" w:type="dxa"/>
            <w:tcBorders>
              <w:top w:val="nil"/>
              <w:left w:val="nil"/>
              <w:bottom w:val="nil"/>
              <w:right w:val="nil"/>
            </w:tcBorders>
            <w:shd w:val="clear" w:color="auto" w:fill="auto"/>
            <w:vAlign w:val="bottom"/>
          </w:tcPr>
          <w:p w14:paraId="31E5417D" w14:textId="77777777" w:rsidR="000D0D2D" w:rsidRPr="002C2C75" w:rsidRDefault="000D0D2D" w:rsidP="001B7A18">
            <w:pPr>
              <w:rPr>
                <w:rFonts w:ascii="Times New Roman" w:eastAsia="Times New Roman" w:hAnsi="Times New Roman" w:cs="Times New Roman"/>
                <w:sz w:val="16"/>
                <w:szCs w:val="16"/>
              </w:rPr>
            </w:pPr>
          </w:p>
        </w:tc>
        <w:tc>
          <w:tcPr>
            <w:tcW w:w="1322" w:type="dxa"/>
            <w:gridSpan w:val="2"/>
            <w:tcBorders>
              <w:top w:val="single" w:sz="12" w:space="0" w:color="111111"/>
              <w:left w:val="nil"/>
              <w:bottom w:val="nil"/>
              <w:right w:val="nil"/>
            </w:tcBorders>
            <w:shd w:val="clear" w:color="auto" w:fill="FFFFFF"/>
            <w:vAlign w:val="center"/>
          </w:tcPr>
          <w:p w14:paraId="430E16C0" w14:textId="77777777" w:rsidR="000D0D2D" w:rsidRPr="002C2C75" w:rsidRDefault="000D0D2D" w:rsidP="001B7A18">
            <w:pPr>
              <w:jc w:val="cente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Maputo</w:t>
            </w:r>
          </w:p>
        </w:tc>
        <w:tc>
          <w:tcPr>
            <w:tcW w:w="1322" w:type="dxa"/>
            <w:gridSpan w:val="2"/>
            <w:tcBorders>
              <w:top w:val="single" w:sz="12" w:space="0" w:color="111111"/>
              <w:left w:val="nil"/>
              <w:bottom w:val="nil"/>
              <w:right w:val="nil"/>
            </w:tcBorders>
            <w:shd w:val="clear" w:color="auto" w:fill="FFFFFF"/>
            <w:vAlign w:val="center"/>
          </w:tcPr>
          <w:p w14:paraId="0E8BA263" w14:textId="77777777" w:rsidR="000D0D2D" w:rsidRPr="002C2C75" w:rsidRDefault="000D0D2D" w:rsidP="001B7A18">
            <w:pPr>
              <w:jc w:val="cente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Inhambane</w:t>
            </w:r>
          </w:p>
        </w:tc>
        <w:tc>
          <w:tcPr>
            <w:tcW w:w="1322" w:type="dxa"/>
            <w:gridSpan w:val="2"/>
            <w:tcBorders>
              <w:top w:val="single" w:sz="12" w:space="0" w:color="111111"/>
              <w:left w:val="nil"/>
              <w:bottom w:val="nil"/>
              <w:right w:val="nil"/>
            </w:tcBorders>
            <w:shd w:val="clear" w:color="auto" w:fill="FFFFFF"/>
            <w:vAlign w:val="center"/>
          </w:tcPr>
          <w:p w14:paraId="1DE17341" w14:textId="77777777" w:rsidR="000D0D2D" w:rsidRPr="002C2C75" w:rsidRDefault="000D0D2D" w:rsidP="001B7A18">
            <w:pPr>
              <w:jc w:val="cente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Manica</w:t>
            </w:r>
          </w:p>
        </w:tc>
        <w:tc>
          <w:tcPr>
            <w:tcW w:w="1167" w:type="dxa"/>
            <w:gridSpan w:val="2"/>
            <w:tcBorders>
              <w:top w:val="single" w:sz="12" w:space="0" w:color="111111"/>
              <w:left w:val="nil"/>
              <w:bottom w:val="nil"/>
              <w:right w:val="nil"/>
            </w:tcBorders>
            <w:shd w:val="clear" w:color="auto" w:fill="FFFFFF"/>
            <w:vAlign w:val="center"/>
          </w:tcPr>
          <w:p w14:paraId="6D0F3C6F" w14:textId="77777777" w:rsidR="000D0D2D" w:rsidRPr="002C2C75" w:rsidRDefault="000D0D2D" w:rsidP="001B7A18">
            <w:pPr>
              <w:jc w:val="cente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Zambezia</w:t>
            </w:r>
          </w:p>
        </w:tc>
        <w:tc>
          <w:tcPr>
            <w:tcW w:w="1167" w:type="dxa"/>
            <w:gridSpan w:val="2"/>
            <w:tcBorders>
              <w:top w:val="single" w:sz="12" w:space="0" w:color="111111"/>
              <w:left w:val="nil"/>
              <w:bottom w:val="nil"/>
              <w:right w:val="nil"/>
            </w:tcBorders>
            <w:shd w:val="clear" w:color="auto" w:fill="FFFFFF"/>
            <w:vAlign w:val="center"/>
          </w:tcPr>
          <w:p w14:paraId="7C8E5486" w14:textId="77777777" w:rsidR="000D0D2D" w:rsidRPr="002C2C75" w:rsidRDefault="000D0D2D" w:rsidP="001B7A18">
            <w:pPr>
              <w:jc w:val="cente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Nampula</w:t>
            </w:r>
          </w:p>
        </w:tc>
        <w:tc>
          <w:tcPr>
            <w:tcW w:w="1322" w:type="dxa"/>
            <w:gridSpan w:val="2"/>
            <w:tcBorders>
              <w:top w:val="single" w:sz="12" w:space="0" w:color="111111"/>
              <w:left w:val="nil"/>
              <w:bottom w:val="nil"/>
              <w:right w:val="nil"/>
            </w:tcBorders>
            <w:shd w:val="clear" w:color="auto" w:fill="FFFFFF"/>
            <w:vAlign w:val="center"/>
          </w:tcPr>
          <w:p w14:paraId="7B4D8F96" w14:textId="77777777" w:rsidR="000D0D2D" w:rsidRPr="002C2C75" w:rsidRDefault="000D0D2D" w:rsidP="001B7A18">
            <w:pPr>
              <w:jc w:val="cente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Niassa</w:t>
            </w:r>
          </w:p>
        </w:tc>
      </w:tr>
      <w:tr w:rsidR="000D0D2D" w:rsidRPr="002C2C75" w14:paraId="6BD38AA7" w14:textId="77777777" w:rsidTr="001B7A18">
        <w:trPr>
          <w:trHeight w:val="532"/>
        </w:trPr>
        <w:tc>
          <w:tcPr>
            <w:tcW w:w="2716" w:type="dxa"/>
            <w:tcBorders>
              <w:top w:val="nil"/>
              <w:left w:val="nil"/>
              <w:bottom w:val="single" w:sz="8" w:space="0" w:color="111111"/>
              <w:right w:val="nil"/>
            </w:tcBorders>
            <w:shd w:val="clear" w:color="auto" w:fill="FFFFFF"/>
            <w:vAlign w:val="center"/>
          </w:tcPr>
          <w:p w14:paraId="002605D4"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 </w:t>
            </w:r>
          </w:p>
        </w:tc>
        <w:tc>
          <w:tcPr>
            <w:tcW w:w="569" w:type="dxa"/>
            <w:tcBorders>
              <w:top w:val="nil"/>
              <w:left w:val="nil"/>
              <w:bottom w:val="single" w:sz="8" w:space="0" w:color="111111"/>
              <w:right w:val="nil"/>
            </w:tcBorders>
            <w:shd w:val="clear" w:color="auto" w:fill="FFFFFF"/>
            <w:vAlign w:val="center"/>
          </w:tcPr>
          <w:p w14:paraId="4DBA38A2"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w:t>
            </w:r>
          </w:p>
        </w:tc>
        <w:tc>
          <w:tcPr>
            <w:tcW w:w="753" w:type="dxa"/>
            <w:tcBorders>
              <w:top w:val="nil"/>
              <w:left w:val="nil"/>
              <w:bottom w:val="single" w:sz="8" w:space="0" w:color="111111"/>
              <w:right w:val="nil"/>
            </w:tcBorders>
            <w:shd w:val="clear" w:color="auto" w:fill="FFFFFF"/>
            <w:vAlign w:val="center"/>
          </w:tcPr>
          <w:p w14:paraId="7C1B758B"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95%CI</w:t>
            </w:r>
          </w:p>
        </w:tc>
        <w:tc>
          <w:tcPr>
            <w:tcW w:w="569" w:type="dxa"/>
            <w:tcBorders>
              <w:top w:val="nil"/>
              <w:left w:val="nil"/>
              <w:bottom w:val="single" w:sz="8" w:space="0" w:color="111111"/>
              <w:right w:val="nil"/>
            </w:tcBorders>
            <w:shd w:val="clear" w:color="auto" w:fill="FFFFFF"/>
            <w:vAlign w:val="center"/>
          </w:tcPr>
          <w:p w14:paraId="447943CA"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w:t>
            </w:r>
          </w:p>
        </w:tc>
        <w:tc>
          <w:tcPr>
            <w:tcW w:w="753" w:type="dxa"/>
            <w:tcBorders>
              <w:top w:val="nil"/>
              <w:left w:val="nil"/>
              <w:bottom w:val="single" w:sz="8" w:space="0" w:color="111111"/>
              <w:right w:val="nil"/>
            </w:tcBorders>
            <w:shd w:val="clear" w:color="auto" w:fill="FFFFFF"/>
            <w:vAlign w:val="center"/>
          </w:tcPr>
          <w:p w14:paraId="7B2A849B"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95%CI</w:t>
            </w:r>
          </w:p>
        </w:tc>
        <w:tc>
          <w:tcPr>
            <w:tcW w:w="569" w:type="dxa"/>
            <w:tcBorders>
              <w:top w:val="nil"/>
              <w:left w:val="nil"/>
              <w:bottom w:val="single" w:sz="8" w:space="0" w:color="111111"/>
              <w:right w:val="nil"/>
            </w:tcBorders>
            <w:shd w:val="clear" w:color="auto" w:fill="FFFFFF"/>
            <w:vAlign w:val="center"/>
          </w:tcPr>
          <w:p w14:paraId="292E218D"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w:t>
            </w:r>
          </w:p>
        </w:tc>
        <w:tc>
          <w:tcPr>
            <w:tcW w:w="753" w:type="dxa"/>
            <w:tcBorders>
              <w:top w:val="nil"/>
              <w:left w:val="nil"/>
              <w:bottom w:val="single" w:sz="8" w:space="0" w:color="111111"/>
              <w:right w:val="nil"/>
            </w:tcBorders>
            <w:shd w:val="clear" w:color="auto" w:fill="FFFFFF"/>
            <w:vAlign w:val="center"/>
          </w:tcPr>
          <w:p w14:paraId="69C9DFC8"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95%CI</w:t>
            </w:r>
          </w:p>
        </w:tc>
        <w:tc>
          <w:tcPr>
            <w:tcW w:w="414" w:type="dxa"/>
            <w:tcBorders>
              <w:top w:val="nil"/>
              <w:left w:val="nil"/>
              <w:bottom w:val="single" w:sz="8" w:space="0" w:color="111111"/>
              <w:right w:val="nil"/>
            </w:tcBorders>
            <w:shd w:val="clear" w:color="auto" w:fill="FFFFFF"/>
            <w:vAlign w:val="center"/>
          </w:tcPr>
          <w:p w14:paraId="009AF964"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w:t>
            </w:r>
          </w:p>
        </w:tc>
        <w:tc>
          <w:tcPr>
            <w:tcW w:w="753" w:type="dxa"/>
            <w:tcBorders>
              <w:top w:val="nil"/>
              <w:left w:val="nil"/>
              <w:bottom w:val="single" w:sz="8" w:space="0" w:color="111111"/>
              <w:right w:val="nil"/>
            </w:tcBorders>
            <w:shd w:val="clear" w:color="auto" w:fill="FFFFFF"/>
            <w:vAlign w:val="center"/>
          </w:tcPr>
          <w:p w14:paraId="545E1CDC"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95%CI</w:t>
            </w:r>
          </w:p>
        </w:tc>
        <w:tc>
          <w:tcPr>
            <w:tcW w:w="414" w:type="dxa"/>
            <w:tcBorders>
              <w:top w:val="nil"/>
              <w:left w:val="nil"/>
              <w:bottom w:val="single" w:sz="8" w:space="0" w:color="111111"/>
              <w:right w:val="nil"/>
            </w:tcBorders>
            <w:shd w:val="clear" w:color="auto" w:fill="FFFFFF"/>
            <w:vAlign w:val="center"/>
          </w:tcPr>
          <w:p w14:paraId="39861238"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w:t>
            </w:r>
          </w:p>
        </w:tc>
        <w:tc>
          <w:tcPr>
            <w:tcW w:w="753" w:type="dxa"/>
            <w:tcBorders>
              <w:top w:val="nil"/>
              <w:left w:val="nil"/>
              <w:bottom w:val="single" w:sz="8" w:space="0" w:color="111111"/>
              <w:right w:val="nil"/>
            </w:tcBorders>
            <w:shd w:val="clear" w:color="auto" w:fill="FFFFFF"/>
            <w:vAlign w:val="center"/>
          </w:tcPr>
          <w:p w14:paraId="6775BBAB"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95%CI</w:t>
            </w:r>
          </w:p>
        </w:tc>
        <w:tc>
          <w:tcPr>
            <w:tcW w:w="569" w:type="dxa"/>
            <w:tcBorders>
              <w:top w:val="nil"/>
              <w:left w:val="nil"/>
              <w:bottom w:val="single" w:sz="8" w:space="0" w:color="111111"/>
              <w:right w:val="nil"/>
            </w:tcBorders>
            <w:shd w:val="clear" w:color="auto" w:fill="FFFFFF"/>
            <w:vAlign w:val="center"/>
          </w:tcPr>
          <w:p w14:paraId="2AAD7A58"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w:t>
            </w:r>
          </w:p>
        </w:tc>
        <w:tc>
          <w:tcPr>
            <w:tcW w:w="753" w:type="dxa"/>
            <w:tcBorders>
              <w:top w:val="nil"/>
              <w:left w:val="nil"/>
              <w:bottom w:val="single" w:sz="8" w:space="0" w:color="111111"/>
              <w:right w:val="nil"/>
            </w:tcBorders>
            <w:shd w:val="clear" w:color="auto" w:fill="FFFFFF"/>
            <w:vAlign w:val="center"/>
          </w:tcPr>
          <w:p w14:paraId="5C3B5909"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95%CI</w:t>
            </w:r>
          </w:p>
        </w:tc>
      </w:tr>
      <w:tr w:rsidR="000D0D2D" w:rsidRPr="002C2C75" w14:paraId="12602A5E" w14:textId="77777777" w:rsidTr="001B7A18">
        <w:trPr>
          <w:trHeight w:val="520"/>
        </w:trPr>
        <w:tc>
          <w:tcPr>
            <w:tcW w:w="2716" w:type="dxa"/>
            <w:tcBorders>
              <w:top w:val="nil"/>
              <w:left w:val="nil"/>
              <w:bottom w:val="nil"/>
              <w:right w:val="nil"/>
            </w:tcBorders>
            <w:shd w:val="clear" w:color="auto" w:fill="FFFFFF"/>
            <w:vAlign w:val="center"/>
          </w:tcPr>
          <w:p w14:paraId="2D7B2773"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Suspect malaria cases receiving malaria test</w:t>
            </w:r>
          </w:p>
        </w:tc>
        <w:tc>
          <w:tcPr>
            <w:tcW w:w="569" w:type="dxa"/>
            <w:tcBorders>
              <w:top w:val="nil"/>
              <w:left w:val="nil"/>
              <w:bottom w:val="nil"/>
              <w:right w:val="nil"/>
            </w:tcBorders>
            <w:shd w:val="clear" w:color="auto" w:fill="FFFFFF"/>
            <w:vAlign w:val="center"/>
          </w:tcPr>
          <w:p w14:paraId="68A52723"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67</w:t>
            </w:r>
          </w:p>
        </w:tc>
        <w:tc>
          <w:tcPr>
            <w:tcW w:w="753" w:type="dxa"/>
            <w:tcBorders>
              <w:top w:val="nil"/>
              <w:left w:val="nil"/>
              <w:bottom w:val="nil"/>
              <w:right w:val="nil"/>
            </w:tcBorders>
            <w:shd w:val="clear" w:color="auto" w:fill="FFFFFF"/>
            <w:vAlign w:val="center"/>
          </w:tcPr>
          <w:p w14:paraId="22DB6B0B"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50-80</w:t>
            </w:r>
          </w:p>
        </w:tc>
        <w:tc>
          <w:tcPr>
            <w:tcW w:w="569" w:type="dxa"/>
            <w:tcBorders>
              <w:top w:val="nil"/>
              <w:left w:val="nil"/>
              <w:bottom w:val="nil"/>
              <w:right w:val="nil"/>
            </w:tcBorders>
            <w:shd w:val="clear" w:color="auto" w:fill="FFFFFF"/>
            <w:vAlign w:val="center"/>
          </w:tcPr>
          <w:p w14:paraId="56A64C1A"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85</w:t>
            </w:r>
          </w:p>
        </w:tc>
        <w:tc>
          <w:tcPr>
            <w:tcW w:w="753" w:type="dxa"/>
            <w:tcBorders>
              <w:top w:val="nil"/>
              <w:left w:val="nil"/>
              <w:bottom w:val="nil"/>
              <w:right w:val="nil"/>
            </w:tcBorders>
            <w:shd w:val="clear" w:color="auto" w:fill="FFFFFF"/>
            <w:vAlign w:val="center"/>
          </w:tcPr>
          <w:p w14:paraId="44C269BF"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77-90</w:t>
            </w:r>
          </w:p>
        </w:tc>
        <w:tc>
          <w:tcPr>
            <w:tcW w:w="569" w:type="dxa"/>
            <w:tcBorders>
              <w:top w:val="nil"/>
              <w:left w:val="nil"/>
              <w:bottom w:val="nil"/>
              <w:right w:val="nil"/>
            </w:tcBorders>
            <w:shd w:val="clear" w:color="auto" w:fill="FFFFFF"/>
            <w:vAlign w:val="center"/>
          </w:tcPr>
          <w:p w14:paraId="715F983B"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64</w:t>
            </w:r>
          </w:p>
        </w:tc>
        <w:tc>
          <w:tcPr>
            <w:tcW w:w="753" w:type="dxa"/>
            <w:tcBorders>
              <w:top w:val="nil"/>
              <w:left w:val="nil"/>
              <w:bottom w:val="nil"/>
              <w:right w:val="nil"/>
            </w:tcBorders>
            <w:shd w:val="clear" w:color="auto" w:fill="FFFFFF"/>
            <w:vAlign w:val="center"/>
          </w:tcPr>
          <w:p w14:paraId="7B5FF316"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54-73</w:t>
            </w:r>
          </w:p>
        </w:tc>
        <w:tc>
          <w:tcPr>
            <w:tcW w:w="414" w:type="dxa"/>
            <w:tcBorders>
              <w:top w:val="nil"/>
              <w:left w:val="nil"/>
              <w:bottom w:val="nil"/>
              <w:right w:val="nil"/>
            </w:tcBorders>
            <w:shd w:val="clear" w:color="auto" w:fill="FFFFFF"/>
            <w:vAlign w:val="center"/>
          </w:tcPr>
          <w:p w14:paraId="2AFD8350"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79</w:t>
            </w:r>
          </w:p>
        </w:tc>
        <w:tc>
          <w:tcPr>
            <w:tcW w:w="753" w:type="dxa"/>
            <w:tcBorders>
              <w:top w:val="nil"/>
              <w:left w:val="nil"/>
              <w:bottom w:val="nil"/>
              <w:right w:val="nil"/>
            </w:tcBorders>
            <w:shd w:val="clear" w:color="auto" w:fill="FFFFFF"/>
            <w:vAlign w:val="center"/>
          </w:tcPr>
          <w:p w14:paraId="5AA35254"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69-86</w:t>
            </w:r>
          </w:p>
        </w:tc>
        <w:tc>
          <w:tcPr>
            <w:tcW w:w="414" w:type="dxa"/>
            <w:tcBorders>
              <w:top w:val="nil"/>
              <w:left w:val="nil"/>
              <w:bottom w:val="nil"/>
              <w:right w:val="nil"/>
            </w:tcBorders>
            <w:shd w:val="clear" w:color="auto" w:fill="FFFFFF"/>
            <w:vAlign w:val="center"/>
          </w:tcPr>
          <w:p w14:paraId="469A382F"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80</w:t>
            </w:r>
          </w:p>
        </w:tc>
        <w:tc>
          <w:tcPr>
            <w:tcW w:w="753" w:type="dxa"/>
            <w:tcBorders>
              <w:top w:val="nil"/>
              <w:left w:val="nil"/>
              <w:bottom w:val="nil"/>
              <w:right w:val="nil"/>
            </w:tcBorders>
            <w:shd w:val="clear" w:color="auto" w:fill="FFFFFF"/>
            <w:vAlign w:val="center"/>
          </w:tcPr>
          <w:p w14:paraId="256A2A7C"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72-85</w:t>
            </w:r>
          </w:p>
        </w:tc>
        <w:tc>
          <w:tcPr>
            <w:tcW w:w="569" w:type="dxa"/>
            <w:tcBorders>
              <w:top w:val="nil"/>
              <w:left w:val="nil"/>
              <w:bottom w:val="nil"/>
              <w:right w:val="nil"/>
            </w:tcBorders>
            <w:shd w:val="clear" w:color="auto" w:fill="FFFFFF"/>
            <w:vAlign w:val="center"/>
          </w:tcPr>
          <w:p w14:paraId="74EC8E7E"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75</w:t>
            </w:r>
          </w:p>
        </w:tc>
        <w:tc>
          <w:tcPr>
            <w:tcW w:w="753" w:type="dxa"/>
            <w:tcBorders>
              <w:top w:val="nil"/>
              <w:left w:val="nil"/>
              <w:bottom w:val="nil"/>
              <w:right w:val="nil"/>
            </w:tcBorders>
            <w:shd w:val="clear" w:color="auto" w:fill="FFFFFF"/>
            <w:vAlign w:val="center"/>
          </w:tcPr>
          <w:p w14:paraId="32236180"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63-83</w:t>
            </w:r>
          </w:p>
        </w:tc>
      </w:tr>
      <w:tr w:rsidR="000D0D2D" w:rsidRPr="002C2C75" w14:paraId="5B0108C3" w14:textId="77777777" w:rsidTr="001B7A18">
        <w:trPr>
          <w:trHeight w:val="520"/>
        </w:trPr>
        <w:tc>
          <w:tcPr>
            <w:tcW w:w="2716" w:type="dxa"/>
            <w:tcBorders>
              <w:top w:val="nil"/>
              <w:left w:val="nil"/>
              <w:bottom w:val="nil"/>
              <w:right w:val="nil"/>
            </w:tcBorders>
            <w:shd w:val="clear" w:color="auto" w:fill="FFFFFF"/>
            <w:vAlign w:val="center"/>
          </w:tcPr>
          <w:p w14:paraId="0E461AD7"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Confirmed malaria cases treated with appropriate antimalarial</w:t>
            </w:r>
            <w:r w:rsidRPr="002C2C75">
              <w:rPr>
                <w:rFonts w:ascii="Arial Narrow" w:eastAsia="Arial Narrow" w:hAnsi="Arial Narrow" w:cs="Arial Narrow"/>
                <w:color w:val="222222"/>
                <w:sz w:val="16"/>
                <w:szCs w:val="16"/>
                <w:vertAlign w:val="superscript"/>
              </w:rPr>
              <w:t>1</w:t>
            </w:r>
          </w:p>
        </w:tc>
        <w:tc>
          <w:tcPr>
            <w:tcW w:w="569" w:type="dxa"/>
            <w:tcBorders>
              <w:top w:val="nil"/>
              <w:left w:val="nil"/>
              <w:bottom w:val="nil"/>
              <w:right w:val="nil"/>
            </w:tcBorders>
            <w:shd w:val="clear" w:color="auto" w:fill="FFFFFF"/>
            <w:vAlign w:val="center"/>
          </w:tcPr>
          <w:p w14:paraId="3280508B"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50</w:t>
            </w:r>
          </w:p>
        </w:tc>
        <w:tc>
          <w:tcPr>
            <w:tcW w:w="753" w:type="dxa"/>
            <w:tcBorders>
              <w:top w:val="nil"/>
              <w:left w:val="nil"/>
              <w:bottom w:val="nil"/>
              <w:right w:val="nil"/>
            </w:tcBorders>
            <w:shd w:val="clear" w:color="auto" w:fill="FFFFFF"/>
            <w:vAlign w:val="center"/>
          </w:tcPr>
          <w:p w14:paraId="7F9EC54D"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4-96</w:t>
            </w:r>
          </w:p>
        </w:tc>
        <w:tc>
          <w:tcPr>
            <w:tcW w:w="569" w:type="dxa"/>
            <w:tcBorders>
              <w:top w:val="nil"/>
              <w:left w:val="nil"/>
              <w:bottom w:val="nil"/>
              <w:right w:val="nil"/>
            </w:tcBorders>
            <w:shd w:val="clear" w:color="auto" w:fill="FFFFFF"/>
            <w:vAlign w:val="center"/>
          </w:tcPr>
          <w:p w14:paraId="09040EE4"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91</w:t>
            </w:r>
          </w:p>
        </w:tc>
        <w:tc>
          <w:tcPr>
            <w:tcW w:w="753" w:type="dxa"/>
            <w:tcBorders>
              <w:top w:val="nil"/>
              <w:left w:val="nil"/>
              <w:bottom w:val="nil"/>
              <w:right w:val="nil"/>
            </w:tcBorders>
            <w:shd w:val="clear" w:color="auto" w:fill="FFFFFF"/>
            <w:vAlign w:val="center"/>
          </w:tcPr>
          <w:p w14:paraId="7BBBF44D"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78-97</w:t>
            </w:r>
          </w:p>
        </w:tc>
        <w:tc>
          <w:tcPr>
            <w:tcW w:w="569" w:type="dxa"/>
            <w:tcBorders>
              <w:top w:val="nil"/>
              <w:left w:val="nil"/>
              <w:bottom w:val="nil"/>
              <w:right w:val="nil"/>
            </w:tcBorders>
            <w:shd w:val="clear" w:color="auto" w:fill="FFFFFF"/>
            <w:vAlign w:val="center"/>
          </w:tcPr>
          <w:p w14:paraId="74982601"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74</w:t>
            </w:r>
          </w:p>
        </w:tc>
        <w:tc>
          <w:tcPr>
            <w:tcW w:w="753" w:type="dxa"/>
            <w:tcBorders>
              <w:top w:val="nil"/>
              <w:left w:val="nil"/>
              <w:bottom w:val="nil"/>
              <w:right w:val="nil"/>
            </w:tcBorders>
            <w:shd w:val="clear" w:color="auto" w:fill="FFFFFF"/>
            <w:vAlign w:val="center"/>
          </w:tcPr>
          <w:p w14:paraId="0BF6F445"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56-87</w:t>
            </w:r>
          </w:p>
        </w:tc>
        <w:tc>
          <w:tcPr>
            <w:tcW w:w="414" w:type="dxa"/>
            <w:tcBorders>
              <w:top w:val="nil"/>
              <w:left w:val="nil"/>
              <w:bottom w:val="nil"/>
              <w:right w:val="nil"/>
            </w:tcBorders>
            <w:shd w:val="clear" w:color="auto" w:fill="FFFFFF"/>
            <w:vAlign w:val="center"/>
          </w:tcPr>
          <w:p w14:paraId="1C05B0F1"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78</w:t>
            </w:r>
          </w:p>
        </w:tc>
        <w:tc>
          <w:tcPr>
            <w:tcW w:w="753" w:type="dxa"/>
            <w:tcBorders>
              <w:top w:val="nil"/>
              <w:left w:val="nil"/>
              <w:bottom w:val="nil"/>
              <w:right w:val="nil"/>
            </w:tcBorders>
            <w:shd w:val="clear" w:color="auto" w:fill="FFFFFF"/>
            <w:vAlign w:val="center"/>
          </w:tcPr>
          <w:p w14:paraId="2161D808"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66-86</w:t>
            </w:r>
          </w:p>
        </w:tc>
        <w:tc>
          <w:tcPr>
            <w:tcW w:w="414" w:type="dxa"/>
            <w:tcBorders>
              <w:top w:val="nil"/>
              <w:left w:val="nil"/>
              <w:bottom w:val="nil"/>
              <w:right w:val="nil"/>
            </w:tcBorders>
            <w:shd w:val="clear" w:color="auto" w:fill="FFFFFF"/>
            <w:vAlign w:val="center"/>
          </w:tcPr>
          <w:p w14:paraId="41A97383"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82</w:t>
            </w:r>
          </w:p>
        </w:tc>
        <w:tc>
          <w:tcPr>
            <w:tcW w:w="753" w:type="dxa"/>
            <w:tcBorders>
              <w:top w:val="nil"/>
              <w:left w:val="nil"/>
              <w:bottom w:val="nil"/>
              <w:right w:val="nil"/>
            </w:tcBorders>
            <w:shd w:val="clear" w:color="auto" w:fill="FFFFFF"/>
            <w:vAlign w:val="center"/>
          </w:tcPr>
          <w:p w14:paraId="1CC142CE"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73-88</w:t>
            </w:r>
          </w:p>
        </w:tc>
        <w:tc>
          <w:tcPr>
            <w:tcW w:w="569" w:type="dxa"/>
            <w:tcBorders>
              <w:top w:val="nil"/>
              <w:left w:val="nil"/>
              <w:bottom w:val="nil"/>
              <w:right w:val="nil"/>
            </w:tcBorders>
            <w:shd w:val="clear" w:color="auto" w:fill="FFFFFF"/>
            <w:vAlign w:val="center"/>
          </w:tcPr>
          <w:p w14:paraId="3D2CA6FD"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82</w:t>
            </w:r>
          </w:p>
        </w:tc>
        <w:tc>
          <w:tcPr>
            <w:tcW w:w="753" w:type="dxa"/>
            <w:tcBorders>
              <w:top w:val="nil"/>
              <w:left w:val="nil"/>
              <w:bottom w:val="nil"/>
              <w:right w:val="nil"/>
            </w:tcBorders>
            <w:shd w:val="clear" w:color="auto" w:fill="FFFFFF"/>
            <w:vAlign w:val="center"/>
          </w:tcPr>
          <w:p w14:paraId="750EFCB1"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70-90</w:t>
            </w:r>
          </w:p>
        </w:tc>
      </w:tr>
      <w:tr w:rsidR="000D0D2D" w:rsidRPr="002C2C75" w14:paraId="32414579" w14:textId="77777777" w:rsidTr="001B7A18">
        <w:trPr>
          <w:trHeight w:val="520"/>
        </w:trPr>
        <w:tc>
          <w:tcPr>
            <w:tcW w:w="2716" w:type="dxa"/>
            <w:tcBorders>
              <w:top w:val="nil"/>
              <w:left w:val="nil"/>
              <w:bottom w:val="nil"/>
              <w:right w:val="nil"/>
            </w:tcBorders>
            <w:shd w:val="clear" w:color="auto" w:fill="FFFFFF"/>
            <w:vAlign w:val="center"/>
          </w:tcPr>
          <w:p w14:paraId="51BA016C"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Suspect malaria cases negative for malaria but treated with antimalarial</w:t>
            </w:r>
            <w:r w:rsidRPr="002C2C75">
              <w:rPr>
                <w:rFonts w:ascii="Arial Narrow" w:eastAsia="Arial Narrow" w:hAnsi="Arial Narrow" w:cs="Arial Narrow"/>
                <w:color w:val="222222"/>
                <w:sz w:val="16"/>
                <w:szCs w:val="16"/>
                <w:vertAlign w:val="superscript"/>
              </w:rPr>
              <w:t>2</w:t>
            </w:r>
          </w:p>
        </w:tc>
        <w:tc>
          <w:tcPr>
            <w:tcW w:w="569" w:type="dxa"/>
            <w:tcBorders>
              <w:top w:val="nil"/>
              <w:left w:val="nil"/>
              <w:bottom w:val="nil"/>
              <w:right w:val="nil"/>
            </w:tcBorders>
            <w:shd w:val="clear" w:color="auto" w:fill="FFFFFF"/>
            <w:vAlign w:val="center"/>
          </w:tcPr>
          <w:p w14:paraId="67D56B3E"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1</w:t>
            </w:r>
          </w:p>
        </w:tc>
        <w:tc>
          <w:tcPr>
            <w:tcW w:w="753" w:type="dxa"/>
            <w:tcBorders>
              <w:top w:val="nil"/>
              <w:left w:val="nil"/>
              <w:bottom w:val="nil"/>
              <w:right w:val="nil"/>
            </w:tcBorders>
            <w:shd w:val="clear" w:color="auto" w:fill="FFFFFF"/>
            <w:vAlign w:val="center"/>
          </w:tcPr>
          <w:p w14:paraId="01800FA8"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0.1-9.5</w:t>
            </w:r>
          </w:p>
        </w:tc>
        <w:tc>
          <w:tcPr>
            <w:tcW w:w="569" w:type="dxa"/>
            <w:tcBorders>
              <w:top w:val="nil"/>
              <w:left w:val="nil"/>
              <w:bottom w:val="nil"/>
              <w:right w:val="nil"/>
            </w:tcBorders>
            <w:shd w:val="clear" w:color="auto" w:fill="FFFFFF"/>
            <w:vAlign w:val="center"/>
          </w:tcPr>
          <w:p w14:paraId="28E54340"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&lt;0.1</w:t>
            </w:r>
          </w:p>
        </w:tc>
        <w:tc>
          <w:tcPr>
            <w:tcW w:w="753" w:type="dxa"/>
            <w:tcBorders>
              <w:top w:val="nil"/>
              <w:left w:val="nil"/>
              <w:bottom w:val="nil"/>
              <w:right w:val="nil"/>
            </w:tcBorders>
            <w:shd w:val="clear" w:color="auto" w:fill="FFFFFF"/>
            <w:vAlign w:val="center"/>
          </w:tcPr>
          <w:p w14:paraId="7E51AFF6"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 </w:t>
            </w:r>
          </w:p>
        </w:tc>
        <w:tc>
          <w:tcPr>
            <w:tcW w:w="569" w:type="dxa"/>
            <w:tcBorders>
              <w:top w:val="nil"/>
              <w:left w:val="nil"/>
              <w:bottom w:val="nil"/>
              <w:right w:val="nil"/>
            </w:tcBorders>
            <w:shd w:val="clear" w:color="auto" w:fill="FFFFFF"/>
            <w:vAlign w:val="center"/>
          </w:tcPr>
          <w:p w14:paraId="1ED8612D"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&lt;0.1</w:t>
            </w:r>
          </w:p>
        </w:tc>
        <w:tc>
          <w:tcPr>
            <w:tcW w:w="753" w:type="dxa"/>
            <w:tcBorders>
              <w:top w:val="nil"/>
              <w:left w:val="nil"/>
              <w:bottom w:val="nil"/>
              <w:right w:val="nil"/>
            </w:tcBorders>
            <w:shd w:val="clear" w:color="auto" w:fill="FFFFFF"/>
            <w:vAlign w:val="center"/>
          </w:tcPr>
          <w:p w14:paraId="6E14AD53"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 </w:t>
            </w:r>
          </w:p>
        </w:tc>
        <w:tc>
          <w:tcPr>
            <w:tcW w:w="414" w:type="dxa"/>
            <w:tcBorders>
              <w:top w:val="nil"/>
              <w:left w:val="nil"/>
              <w:bottom w:val="nil"/>
              <w:right w:val="nil"/>
            </w:tcBorders>
            <w:shd w:val="clear" w:color="auto" w:fill="FFFFFF"/>
            <w:vAlign w:val="center"/>
          </w:tcPr>
          <w:p w14:paraId="2A4A28EA"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4</w:t>
            </w:r>
          </w:p>
        </w:tc>
        <w:tc>
          <w:tcPr>
            <w:tcW w:w="753" w:type="dxa"/>
            <w:tcBorders>
              <w:top w:val="nil"/>
              <w:left w:val="nil"/>
              <w:bottom w:val="nil"/>
              <w:right w:val="nil"/>
            </w:tcBorders>
            <w:shd w:val="clear" w:color="auto" w:fill="FFFFFF"/>
            <w:vAlign w:val="center"/>
          </w:tcPr>
          <w:p w14:paraId="7A1051E0"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1-14</w:t>
            </w:r>
          </w:p>
        </w:tc>
        <w:tc>
          <w:tcPr>
            <w:tcW w:w="414" w:type="dxa"/>
            <w:tcBorders>
              <w:top w:val="nil"/>
              <w:left w:val="nil"/>
              <w:bottom w:val="nil"/>
              <w:right w:val="nil"/>
            </w:tcBorders>
            <w:shd w:val="clear" w:color="auto" w:fill="FFFFFF"/>
            <w:vAlign w:val="center"/>
          </w:tcPr>
          <w:p w14:paraId="5F21F968"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3</w:t>
            </w:r>
          </w:p>
        </w:tc>
        <w:tc>
          <w:tcPr>
            <w:tcW w:w="753" w:type="dxa"/>
            <w:tcBorders>
              <w:top w:val="nil"/>
              <w:left w:val="nil"/>
              <w:bottom w:val="nil"/>
              <w:right w:val="nil"/>
            </w:tcBorders>
            <w:shd w:val="clear" w:color="auto" w:fill="FFFFFF"/>
            <w:vAlign w:val="center"/>
          </w:tcPr>
          <w:p w14:paraId="3569EE83"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0.5-15.3</w:t>
            </w:r>
          </w:p>
        </w:tc>
        <w:tc>
          <w:tcPr>
            <w:tcW w:w="569" w:type="dxa"/>
            <w:tcBorders>
              <w:top w:val="nil"/>
              <w:left w:val="nil"/>
              <w:bottom w:val="nil"/>
              <w:right w:val="nil"/>
            </w:tcBorders>
            <w:shd w:val="clear" w:color="auto" w:fill="FFFFFF"/>
            <w:vAlign w:val="center"/>
          </w:tcPr>
          <w:p w14:paraId="3BEFE85D"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2</w:t>
            </w:r>
          </w:p>
        </w:tc>
        <w:tc>
          <w:tcPr>
            <w:tcW w:w="753" w:type="dxa"/>
            <w:tcBorders>
              <w:top w:val="nil"/>
              <w:left w:val="nil"/>
              <w:bottom w:val="nil"/>
              <w:right w:val="nil"/>
            </w:tcBorders>
            <w:shd w:val="clear" w:color="auto" w:fill="FFFFFF"/>
            <w:vAlign w:val="center"/>
          </w:tcPr>
          <w:p w14:paraId="7DB20A47"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0.5-5.6</w:t>
            </w:r>
          </w:p>
        </w:tc>
      </w:tr>
      <w:tr w:rsidR="000D0D2D" w:rsidRPr="002C2C75" w14:paraId="45565FD0" w14:textId="77777777" w:rsidTr="001B7A18">
        <w:trPr>
          <w:trHeight w:val="520"/>
        </w:trPr>
        <w:tc>
          <w:tcPr>
            <w:tcW w:w="2716" w:type="dxa"/>
            <w:tcBorders>
              <w:top w:val="nil"/>
              <w:left w:val="nil"/>
              <w:bottom w:val="nil"/>
              <w:right w:val="nil"/>
            </w:tcBorders>
            <w:shd w:val="clear" w:color="auto" w:fill="FFFFFF"/>
            <w:vAlign w:val="center"/>
          </w:tcPr>
          <w:p w14:paraId="0D12FA38"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Suspect malaria cases not tested and treated with antimalarial</w:t>
            </w:r>
          </w:p>
        </w:tc>
        <w:tc>
          <w:tcPr>
            <w:tcW w:w="569" w:type="dxa"/>
            <w:tcBorders>
              <w:top w:val="nil"/>
              <w:left w:val="nil"/>
              <w:bottom w:val="nil"/>
              <w:right w:val="nil"/>
            </w:tcBorders>
            <w:shd w:val="clear" w:color="auto" w:fill="FFFFFF"/>
            <w:vAlign w:val="center"/>
          </w:tcPr>
          <w:p w14:paraId="2C15DFDB"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&lt;0.1</w:t>
            </w:r>
          </w:p>
        </w:tc>
        <w:tc>
          <w:tcPr>
            <w:tcW w:w="753" w:type="dxa"/>
            <w:tcBorders>
              <w:top w:val="nil"/>
              <w:left w:val="nil"/>
              <w:bottom w:val="nil"/>
              <w:right w:val="nil"/>
            </w:tcBorders>
            <w:shd w:val="clear" w:color="auto" w:fill="FFFFFF"/>
            <w:vAlign w:val="center"/>
          </w:tcPr>
          <w:p w14:paraId="5E39A029"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 </w:t>
            </w:r>
          </w:p>
        </w:tc>
        <w:tc>
          <w:tcPr>
            <w:tcW w:w="569" w:type="dxa"/>
            <w:tcBorders>
              <w:top w:val="nil"/>
              <w:left w:val="nil"/>
              <w:bottom w:val="nil"/>
              <w:right w:val="nil"/>
            </w:tcBorders>
            <w:shd w:val="clear" w:color="auto" w:fill="FFFFFF"/>
            <w:vAlign w:val="center"/>
          </w:tcPr>
          <w:p w14:paraId="63C2294C"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3</w:t>
            </w:r>
          </w:p>
        </w:tc>
        <w:tc>
          <w:tcPr>
            <w:tcW w:w="753" w:type="dxa"/>
            <w:tcBorders>
              <w:top w:val="nil"/>
              <w:left w:val="nil"/>
              <w:bottom w:val="nil"/>
              <w:right w:val="nil"/>
            </w:tcBorders>
            <w:shd w:val="clear" w:color="auto" w:fill="FFFFFF"/>
            <w:vAlign w:val="center"/>
          </w:tcPr>
          <w:p w14:paraId="2AB731BC"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0.6-14.4</w:t>
            </w:r>
          </w:p>
        </w:tc>
        <w:tc>
          <w:tcPr>
            <w:tcW w:w="569" w:type="dxa"/>
            <w:tcBorders>
              <w:top w:val="nil"/>
              <w:left w:val="nil"/>
              <w:bottom w:val="nil"/>
              <w:right w:val="nil"/>
            </w:tcBorders>
            <w:shd w:val="clear" w:color="auto" w:fill="FFFFFF"/>
            <w:vAlign w:val="center"/>
          </w:tcPr>
          <w:p w14:paraId="50FBCD11"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&lt;0.1</w:t>
            </w:r>
          </w:p>
        </w:tc>
        <w:tc>
          <w:tcPr>
            <w:tcW w:w="753" w:type="dxa"/>
            <w:tcBorders>
              <w:top w:val="nil"/>
              <w:left w:val="nil"/>
              <w:bottom w:val="nil"/>
              <w:right w:val="nil"/>
            </w:tcBorders>
            <w:shd w:val="clear" w:color="auto" w:fill="FFFFFF"/>
            <w:vAlign w:val="center"/>
          </w:tcPr>
          <w:p w14:paraId="66F6E1DC"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 </w:t>
            </w:r>
          </w:p>
        </w:tc>
        <w:tc>
          <w:tcPr>
            <w:tcW w:w="414" w:type="dxa"/>
            <w:tcBorders>
              <w:top w:val="nil"/>
              <w:left w:val="nil"/>
              <w:bottom w:val="nil"/>
              <w:right w:val="nil"/>
            </w:tcBorders>
            <w:shd w:val="clear" w:color="auto" w:fill="FFFFFF"/>
            <w:vAlign w:val="center"/>
          </w:tcPr>
          <w:p w14:paraId="2843A936"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5</w:t>
            </w:r>
          </w:p>
        </w:tc>
        <w:tc>
          <w:tcPr>
            <w:tcW w:w="753" w:type="dxa"/>
            <w:tcBorders>
              <w:top w:val="nil"/>
              <w:left w:val="nil"/>
              <w:bottom w:val="nil"/>
              <w:right w:val="nil"/>
            </w:tcBorders>
            <w:shd w:val="clear" w:color="auto" w:fill="FFFFFF"/>
            <w:vAlign w:val="center"/>
          </w:tcPr>
          <w:p w14:paraId="46BF52DC"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0.6-26.4</w:t>
            </w:r>
          </w:p>
        </w:tc>
        <w:tc>
          <w:tcPr>
            <w:tcW w:w="414" w:type="dxa"/>
            <w:tcBorders>
              <w:top w:val="nil"/>
              <w:left w:val="nil"/>
              <w:bottom w:val="nil"/>
              <w:right w:val="nil"/>
            </w:tcBorders>
            <w:shd w:val="clear" w:color="auto" w:fill="FFFFFF"/>
            <w:vAlign w:val="center"/>
          </w:tcPr>
          <w:p w14:paraId="34DA9E62"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2</w:t>
            </w:r>
          </w:p>
        </w:tc>
        <w:tc>
          <w:tcPr>
            <w:tcW w:w="753" w:type="dxa"/>
            <w:tcBorders>
              <w:top w:val="nil"/>
              <w:left w:val="nil"/>
              <w:bottom w:val="nil"/>
              <w:right w:val="nil"/>
            </w:tcBorders>
            <w:shd w:val="clear" w:color="auto" w:fill="FFFFFF"/>
            <w:vAlign w:val="center"/>
          </w:tcPr>
          <w:p w14:paraId="41FAF4FC"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0.7-5.1</w:t>
            </w:r>
          </w:p>
        </w:tc>
        <w:tc>
          <w:tcPr>
            <w:tcW w:w="569" w:type="dxa"/>
            <w:tcBorders>
              <w:top w:val="nil"/>
              <w:left w:val="nil"/>
              <w:bottom w:val="nil"/>
              <w:right w:val="nil"/>
            </w:tcBorders>
            <w:shd w:val="clear" w:color="auto" w:fill="FFFFFF"/>
            <w:vAlign w:val="center"/>
          </w:tcPr>
          <w:p w14:paraId="53954A27"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&lt;0.1</w:t>
            </w:r>
          </w:p>
        </w:tc>
        <w:tc>
          <w:tcPr>
            <w:tcW w:w="753" w:type="dxa"/>
            <w:tcBorders>
              <w:top w:val="nil"/>
              <w:left w:val="nil"/>
              <w:bottom w:val="nil"/>
              <w:right w:val="nil"/>
            </w:tcBorders>
            <w:shd w:val="clear" w:color="auto" w:fill="FFFFFF"/>
            <w:vAlign w:val="center"/>
          </w:tcPr>
          <w:p w14:paraId="214A9582"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 </w:t>
            </w:r>
          </w:p>
        </w:tc>
      </w:tr>
      <w:tr w:rsidR="000D0D2D" w:rsidRPr="002C2C75" w14:paraId="1C140100" w14:textId="77777777" w:rsidTr="001B7A18">
        <w:trPr>
          <w:trHeight w:val="520"/>
        </w:trPr>
        <w:tc>
          <w:tcPr>
            <w:tcW w:w="2716" w:type="dxa"/>
            <w:tcBorders>
              <w:top w:val="nil"/>
              <w:left w:val="nil"/>
              <w:bottom w:val="nil"/>
              <w:right w:val="nil"/>
            </w:tcBorders>
            <w:shd w:val="clear" w:color="auto" w:fill="FFFFFF"/>
            <w:vAlign w:val="center"/>
          </w:tcPr>
          <w:p w14:paraId="1DA68243"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Suspect malaria cases managed correctly</w:t>
            </w:r>
            <w:r w:rsidRPr="002C2C75">
              <w:rPr>
                <w:rFonts w:ascii="Arial Narrow" w:eastAsia="Arial Narrow" w:hAnsi="Arial Narrow" w:cs="Arial Narrow"/>
                <w:color w:val="222222"/>
                <w:sz w:val="16"/>
                <w:szCs w:val="16"/>
                <w:vertAlign w:val="superscript"/>
              </w:rPr>
              <w:t>3</w:t>
            </w:r>
          </w:p>
        </w:tc>
        <w:tc>
          <w:tcPr>
            <w:tcW w:w="569" w:type="dxa"/>
            <w:tcBorders>
              <w:top w:val="nil"/>
              <w:left w:val="nil"/>
              <w:bottom w:val="nil"/>
              <w:right w:val="nil"/>
            </w:tcBorders>
            <w:shd w:val="clear" w:color="auto" w:fill="FFFFFF"/>
            <w:vAlign w:val="center"/>
          </w:tcPr>
          <w:p w14:paraId="17DFF3B3"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62</w:t>
            </w:r>
          </w:p>
        </w:tc>
        <w:tc>
          <w:tcPr>
            <w:tcW w:w="753" w:type="dxa"/>
            <w:tcBorders>
              <w:top w:val="nil"/>
              <w:left w:val="nil"/>
              <w:bottom w:val="nil"/>
              <w:right w:val="nil"/>
            </w:tcBorders>
            <w:shd w:val="clear" w:color="auto" w:fill="FFFFFF"/>
            <w:vAlign w:val="center"/>
          </w:tcPr>
          <w:p w14:paraId="0594C5B7"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44-77</w:t>
            </w:r>
          </w:p>
        </w:tc>
        <w:tc>
          <w:tcPr>
            <w:tcW w:w="569" w:type="dxa"/>
            <w:tcBorders>
              <w:top w:val="nil"/>
              <w:left w:val="nil"/>
              <w:bottom w:val="nil"/>
              <w:right w:val="nil"/>
            </w:tcBorders>
            <w:shd w:val="clear" w:color="auto" w:fill="FFFFFF"/>
            <w:vAlign w:val="center"/>
          </w:tcPr>
          <w:p w14:paraId="3771ACFC"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81</w:t>
            </w:r>
          </w:p>
        </w:tc>
        <w:tc>
          <w:tcPr>
            <w:tcW w:w="753" w:type="dxa"/>
            <w:tcBorders>
              <w:top w:val="nil"/>
              <w:left w:val="nil"/>
              <w:bottom w:val="nil"/>
              <w:right w:val="nil"/>
            </w:tcBorders>
            <w:shd w:val="clear" w:color="auto" w:fill="FFFFFF"/>
            <w:vAlign w:val="center"/>
          </w:tcPr>
          <w:p w14:paraId="1F061F88"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72-87</w:t>
            </w:r>
          </w:p>
        </w:tc>
        <w:tc>
          <w:tcPr>
            <w:tcW w:w="569" w:type="dxa"/>
            <w:tcBorders>
              <w:top w:val="nil"/>
              <w:left w:val="nil"/>
              <w:bottom w:val="nil"/>
              <w:right w:val="nil"/>
            </w:tcBorders>
            <w:shd w:val="clear" w:color="auto" w:fill="FFFFFF"/>
            <w:vAlign w:val="center"/>
          </w:tcPr>
          <w:p w14:paraId="48F47208"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61</w:t>
            </w:r>
          </w:p>
        </w:tc>
        <w:tc>
          <w:tcPr>
            <w:tcW w:w="753" w:type="dxa"/>
            <w:tcBorders>
              <w:top w:val="nil"/>
              <w:left w:val="nil"/>
              <w:bottom w:val="nil"/>
              <w:right w:val="nil"/>
            </w:tcBorders>
            <w:shd w:val="clear" w:color="auto" w:fill="FFFFFF"/>
            <w:vAlign w:val="center"/>
          </w:tcPr>
          <w:p w14:paraId="64C77DA3"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52-70</w:t>
            </w:r>
          </w:p>
        </w:tc>
        <w:tc>
          <w:tcPr>
            <w:tcW w:w="414" w:type="dxa"/>
            <w:tcBorders>
              <w:top w:val="nil"/>
              <w:left w:val="nil"/>
              <w:bottom w:val="nil"/>
              <w:right w:val="nil"/>
            </w:tcBorders>
            <w:shd w:val="clear" w:color="auto" w:fill="FFFFFF"/>
            <w:vAlign w:val="center"/>
          </w:tcPr>
          <w:p w14:paraId="542BC329"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65</w:t>
            </w:r>
          </w:p>
        </w:tc>
        <w:tc>
          <w:tcPr>
            <w:tcW w:w="753" w:type="dxa"/>
            <w:tcBorders>
              <w:top w:val="nil"/>
              <w:left w:val="nil"/>
              <w:bottom w:val="nil"/>
              <w:right w:val="nil"/>
            </w:tcBorders>
            <w:shd w:val="clear" w:color="auto" w:fill="FFFFFF"/>
            <w:vAlign w:val="center"/>
          </w:tcPr>
          <w:p w14:paraId="2DEAD9C8"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55-74</w:t>
            </w:r>
          </w:p>
        </w:tc>
        <w:tc>
          <w:tcPr>
            <w:tcW w:w="414" w:type="dxa"/>
            <w:tcBorders>
              <w:top w:val="nil"/>
              <w:left w:val="nil"/>
              <w:bottom w:val="nil"/>
              <w:right w:val="nil"/>
            </w:tcBorders>
            <w:shd w:val="clear" w:color="auto" w:fill="FFFFFF"/>
            <w:vAlign w:val="center"/>
          </w:tcPr>
          <w:p w14:paraId="25B197FD"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70</w:t>
            </w:r>
          </w:p>
        </w:tc>
        <w:tc>
          <w:tcPr>
            <w:tcW w:w="753" w:type="dxa"/>
            <w:tcBorders>
              <w:top w:val="nil"/>
              <w:left w:val="nil"/>
              <w:bottom w:val="nil"/>
              <w:right w:val="nil"/>
            </w:tcBorders>
            <w:shd w:val="clear" w:color="auto" w:fill="FFFFFF"/>
            <w:vAlign w:val="center"/>
          </w:tcPr>
          <w:p w14:paraId="29207F95"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62-77</w:t>
            </w:r>
          </w:p>
        </w:tc>
        <w:tc>
          <w:tcPr>
            <w:tcW w:w="569" w:type="dxa"/>
            <w:tcBorders>
              <w:top w:val="nil"/>
              <w:left w:val="nil"/>
              <w:bottom w:val="nil"/>
              <w:right w:val="nil"/>
            </w:tcBorders>
            <w:shd w:val="clear" w:color="auto" w:fill="FFFFFF"/>
            <w:vAlign w:val="center"/>
          </w:tcPr>
          <w:p w14:paraId="5ECB3338"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70</w:t>
            </w:r>
          </w:p>
        </w:tc>
        <w:tc>
          <w:tcPr>
            <w:tcW w:w="753" w:type="dxa"/>
            <w:tcBorders>
              <w:top w:val="nil"/>
              <w:left w:val="nil"/>
              <w:bottom w:val="nil"/>
              <w:right w:val="nil"/>
            </w:tcBorders>
            <w:shd w:val="clear" w:color="auto" w:fill="FFFFFF"/>
            <w:vAlign w:val="center"/>
          </w:tcPr>
          <w:p w14:paraId="3478DF1C"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58-79</w:t>
            </w:r>
          </w:p>
        </w:tc>
      </w:tr>
      <w:tr w:rsidR="000D0D2D" w:rsidRPr="002C2C75" w14:paraId="3AB593CE" w14:textId="77777777" w:rsidTr="001B7A18">
        <w:trPr>
          <w:trHeight w:val="520"/>
        </w:trPr>
        <w:tc>
          <w:tcPr>
            <w:tcW w:w="2716" w:type="dxa"/>
            <w:tcBorders>
              <w:top w:val="nil"/>
              <w:left w:val="nil"/>
              <w:bottom w:val="nil"/>
              <w:right w:val="nil"/>
            </w:tcBorders>
            <w:shd w:val="clear" w:color="auto" w:fill="FFFFFF"/>
            <w:vAlign w:val="center"/>
          </w:tcPr>
          <w:p w14:paraId="46772FF2"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True malaria cases appropriately treated</w:t>
            </w:r>
            <w:r w:rsidRPr="002C2C75">
              <w:rPr>
                <w:rFonts w:ascii="Arial Narrow" w:eastAsia="Arial Narrow" w:hAnsi="Arial Narrow" w:cs="Arial Narrow"/>
                <w:color w:val="222222"/>
                <w:sz w:val="16"/>
                <w:szCs w:val="16"/>
                <w:vertAlign w:val="superscript"/>
              </w:rPr>
              <w:t>4</w:t>
            </w:r>
          </w:p>
        </w:tc>
        <w:tc>
          <w:tcPr>
            <w:tcW w:w="569" w:type="dxa"/>
            <w:tcBorders>
              <w:top w:val="nil"/>
              <w:left w:val="nil"/>
              <w:bottom w:val="nil"/>
              <w:right w:val="nil"/>
            </w:tcBorders>
            <w:shd w:val="clear" w:color="auto" w:fill="FFFFFF"/>
            <w:vAlign w:val="center"/>
          </w:tcPr>
          <w:p w14:paraId="657733AC"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32</w:t>
            </w:r>
          </w:p>
        </w:tc>
        <w:tc>
          <w:tcPr>
            <w:tcW w:w="753" w:type="dxa"/>
            <w:tcBorders>
              <w:top w:val="nil"/>
              <w:left w:val="nil"/>
              <w:bottom w:val="nil"/>
              <w:right w:val="nil"/>
            </w:tcBorders>
            <w:shd w:val="clear" w:color="auto" w:fill="FFFFFF"/>
            <w:vAlign w:val="center"/>
          </w:tcPr>
          <w:p w14:paraId="290648BE"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3-88</w:t>
            </w:r>
          </w:p>
        </w:tc>
        <w:tc>
          <w:tcPr>
            <w:tcW w:w="569" w:type="dxa"/>
            <w:tcBorders>
              <w:top w:val="nil"/>
              <w:left w:val="nil"/>
              <w:bottom w:val="nil"/>
              <w:right w:val="nil"/>
            </w:tcBorders>
            <w:shd w:val="clear" w:color="auto" w:fill="FFFFFF"/>
            <w:vAlign w:val="center"/>
          </w:tcPr>
          <w:p w14:paraId="71217324"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86</w:t>
            </w:r>
          </w:p>
        </w:tc>
        <w:tc>
          <w:tcPr>
            <w:tcW w:w="753" w:type="dxa"/>
            <w:tcBorders>
              <w:top w:val="nil"/>
              <w:left w:val="nil"/>
              <w:bottom w:val="nil"/>
              <w:right w:val="nil"/>
            </w:tcBorders>
            <w:shd w:val="clear" w:color="auto" w:fill="FFFFFF"/>
            <w:vAlign w:val="center"/>
          </w:tcPr>
          <w:p w14:paraId="2B4B2F47"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74-93</w:t>
            </w:r>
          </w:p>
        </w:tc>
        <w:tc>
          <w:tcPr>
            <w:tcW w:w="569" w:type="dxa"/>
            <w:tcBorders>
              <w:top w:val="nil"/>
              <w:left w:val="nil"/>
              <w:bottom w:val="nil"/>
              <w:right w:val="nil"/>
            </w:tcBorders>
            <w:shd w:val="clear" w:color="auto" w:fill="FFFFFF"/>
            <w:vAlign w:val="center"/>
          </w:tcPr>
          <w:p w14:paraId="7E6192BA"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60</w:t>
            </w:r>
          </w:p>
        </w:tc>
        <w:tc>
          <w:tcPr>
            <w:tcW w:w="753" w:type="dxa"/>
            <w:tcBorders>
              <w:top w:val="nil"/>
              <w:left w:val="nil"/>
              <w:bottom w:val="nil"/>
              <w:right w:val="nil"/>
            </w:tcBorders>
            <w:shd w:val="clear" w:color="auto" w:fill="FFFFFF"/>
            <w:vAlign w:val="center"/>
          </w:tcPr>
          <w:p w14:paraId="0046E4E8"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45-73</w:t>
            </w:r>
          </w:p>
        </w:tc>
        <w:tc>
          <w:tcPr>
            <w:tcW w:w="414" w:type="dxa"/>
            <w:tcBorders>
              <w:top w:val="nil"/>
              <w:left w:val="nil"/>
              <w:bottom w:val="nil"/>
              <w:right w:val="nil"/>
            </w:tcBorders>
            <w:shd w:val="clear" w:color="auto" w:fill="FFFFFF"/>
            <w:vAlign w:val="center"/>
          </w:tcPr>
          <w:p w14:paraId="3AC84B29"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61</w:t>
            </w:r>
          </w:p>
        </w:tc>
        <w:tc>
          <w:tcPr>
            <w:tcW w:w="753" w:type="dxa"/>
            <w:tcBorders>
              <w:top w:val="nil"/>
              <w:left w:val="nil"/>
              <w:bottom w:val="nil"/>
              <w:right w:val="nil"/>
            </w:tcBorders>
            <w:shd w:val="clear" w:color="auto" w:fill="FFFFFF"/>
            <w:vAlign w:val="center"/>
          </w:tcPr>
          <w:p w14:paraId="30F82430"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50-72</w:t>
            </w:r>
          </w:p>
        </w:tc>
        <w:tc>
          <w:tcPr>
            <w:tcW w:w="414" w:type="dxa"/>
            <w:tcBorders>
              <w:top w:val="nil"/>
              <w:left w:val="nil"/>
              <w:bottom w:val="nil"/>
              <w:right w:val="nil"/>
            </w:tcBorders>
            <w:shd w:val="clear" w:color="auto" w:fill="FFFFFF"/>
            <w:vAlign w:val="center"/>
          </w:tcPr>
          <w:p w14:paraId="3A910175"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68</w:t>
            </w:r>
          </w:p>
        </w:tc>
        <w:tc>
          <w:tcPr>
            <w:tcW w:w="753" w:type="dxa"/>
            <w:tcBorders>
              <w:top w:val="nil"/>
              <w:left w:val="nil"/>
              <w:bottom w:val="nil"/>
              <w:right w:val="nil"/>
            </w:tcBorders>
            <w:shd w:val="clear" w:color="auto" w:fill="FFFFFF"/>
            <w:vAlign w:val="center"/>
          </w:tcPr>
          <w:p w14:paraId="67F1ABEF"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59-76</w:t>
            </w:r>
          </w:p>
        </w:tc>
        <w:tc>
          <w:tcPr>
            <w:tcW w:w="569" w:type="dxa"/>
            <w:tcBorders>
              <w:top w:val="nil"/>
              <w:left w:val="nil"/>
              <w:bottom w:val="nil"/>
              <w:right w:val="nil"/>
            </w:tcBorders>
            <w:shd w:val="clear" w:color="auto" w:fill="FFFFFF"/>
            <w:vAlign w:val="center"/>
          </w:tcPr>
          <w:p w14:paraId="3D5DE623"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62</w:t>
            </w:r>
          </w:p>
        </w:tc>
        <w:tc>
          <w:tcPr>
            <w:tcW w:w="753" w:type="dxa"/>
            <w:tcBorders>
              <w:top w:val="nil"/>
              <w:left w:val="nil"/>
              <w:bottom w:val="nil"/>
              <w:right w:val="nil"/>
            </w:tcBorders>
            <w:shd w:val="clear" w:color="auto" w:fill="FFFFFF"/>
            <w:vAlign w:val="center"/>
          </w:tcPr>
          <w:p w14:paraId="56529F49" w14:textId="77777777" w:rsidR="000D0D2D" w:rsidRPr="002C2C75" w:rsidRDefault="000D0D2D" w:rsidP="001B7A18">
            <w:pPr>
              <w:rPr>
                <w:rFonts w:ascii="Arial Narrow" w:eastAsia="Arial Narrow" w:hAnsi="Arial Narrow" w:cs="Arial Narrow"/>
                <w:color w:val="222222"/>
                <w:sz w:val="16"/>
                <w:szCs w:val="16"/>
              </w:rPr>
            </w:pPr>
            <w:r w:rsidRPr="002C2C75">
              <w:rPr>
                <w:rFonts w:ascii="Arial Narrow" w:eastAsia="Arial Narrow" w:hAnsi="Arial Narrow" w:cs="Arial Narrow"/>
                <w:color w:val="222222"/>
                <w:sz w:val="16"/>
                <w:szCs w:val="16"/>
              </w:rPr>
              <w:t>47-76</w:t>
            </w:r>
          </w:p>
        </w:tc>
      </w:tr>
    </w:tbl>
    <w:p w14:paraId="62F408F8" w14:textId="77777777" w:rsidR="000D0D2D" w:rsidRPr="002C2C75" w:rsidRDefault="000D0D2D" w:rsidP="000D0D2D">
      <w:pPr>
        <w:spacing w:after="0"/>
        <w:jc w:val="both"/>
        <w:rPr>
          <w:i/>
          <w:sz w:val="18"/>
          <w:szCs w:val="18"/>
        </w:rPr>
      </w:pPr>
      <w:r w:rsidRPr="002C2C75">
        <w:rPr>
          <w:i/>
          <w:sz w:val="18"/>
          <w:szCs w:val="18"/>
        </w:rPr>
        <w:t>1: Tested during routine health visit and confirmed positive during re-examination</w:t>
      </w:r>
    </w:p>
    <w:p w14:paraId="470908B5" w14:textId="77777777" w:rsidR="000D0D2D" w:rsidRPr="002C2C75" w:rsidRDefault="000D0D2D" w:rsidP="000D0D2D">
      <w:pPr>
        <w:spacing w:after="0"/>
        <w:jc w:val="both"/>
        <w:rPr>
          <w:i/>
          <w:sz w:val="18"/>
          <w:szCs w:val="18"/>
        </w:rPr>
      </w:pPr>
      <w:r w:rsidRPr="002C2C75">
        <w:rPr>
          <w:i/>
          <w:sz w:val="18"/>
          <w:szCs w:val="18"/>
        </w:rPr>
        <w:t>2: Tested during routine health visit and testing negative during re-examination</w:t>
      </w:r>
    </w:p>
    <w:p w14:paraId="409FCFD6" w14:textId="77777777" w:rsidR="000D0D2D" w:rsidRPr="002C2C75" w:rsidRDefault="000D0D2D" w:rsidP="000D0D2D">
      <w:pPr>
        <w:spacing w:after="0"/>
        <w:jc w:val="both"/>
        <w:rPr>
          <w:i/>
          <w:sz w:val="18"/>
          <w:szCs w:val="18"/>
        </w:rPr>
      </w:pPr>
      <w:r w:rsidRPr="002C2C75">
        <w:rPr>
          <w:i/>
          <w:sz w:val="18"/>
          <w:szCs w:val="18"/>
        </w:rPr>
        <w:t>3: Tested and treated with antimalarial only if positive</w:t>
      </w:r>
    </w:p>
    <w:p w14:paraId="4DF5148A" w14:textId="77777777" w:rsidR="000D0D2D" w:rsidRPr="002C2C75" w:rsidRDefault="000D0D2D" w:rsidP="000D0D2D">
      <w:pPr>
        <w:spacing w:after="0"/>
        <w:jc w:val="both"/>
        <w:rPr>
          <w:i/>
          <w:sz w:val="18"/>
          <w:szCs w:val="18"/>
        </w:rPr>
      </w:pPr>
      <w:r w:rsidRPr="002C2C75">
        <w:rPr>
          <w:i/>
          <w:sz w:val="18"/>
          <w:szCs w:val="18"/>
        </w:rPr>
        <w:t>4: True malaria case confirmed during re-exam</w:t>
      </w:r>
    </w:p>
    <w:p w14:paraId="4E21DD21" w14:textId="77777777" w:rsidR="000D0D2D" w:rsidRPr="002C2C75" w:rsidRDefault="000D0D2D" w:rsidP="000D0D2D">
      <w:pPr>
        <w:pBdr>
          <w:top w:val="nil"/>
          <w:left w:val="nil"/>
          <w:bottom w:val="nil"/>
          <w:right w:val="nil"/>
          <w:between w:val="nil"/>
        </w:pBdr>
        <w:spacing w:line="240" w:lineRule="auto"/>
        <w:rPr>
          <w:rFonts w:eastAsia="Arial" w:cstheme="minorHAnsi"/>
          <w:b/>
          <w:bCs/>
          <w:color w:val="000000"/>
        </w:rPr>
      </w:pPr>
    </w:p>
    <w:p w14:paraId="042D2384" w14:textId="77777777" w:rsidR="000D0D2D" w:rsidRPr="002C2C75" w:rsidRDefault="000D0D2D" w:rsidP="000D0D2D">
      <w:pPr>
        <w:pBdr>
          <w:top w:val="nil"/>
          <w:left w:val="nil"/>
          <w:bottom w:val="nil"/>
          <w:right w:val="nil"/>
          <w:between w:val="nil"/>
        </w:pBdr>
        <w:spacing w:line="240" w:lineRule="auto"/>
        <w:jc w:val="both"/>
        <w:rPr>
          <w:rFonts w:eastAsia="Arial" w:cstheme="minorHAnsi"/>
          <w:color w:val="000000"/>
        </w:rPr>
      </w:pPr>
      <w:r w:rsidRPr="002C2C75">
        <w:rPr>
          <w:rFonts w:eastAsia="Arial" w:cstheme="minorHAnsi"/>
          <w:color w:val="000000"/>
        </w:rPr>
        <w:t xml:space="preserve">Health worker training was found to be low in the provinces surveyed in 2021, with the percentage of HWs receiving formal training in malaria case management ranging from 33% in Inhambane to 61% in Manica. Interestingly this is inversely correlated with health worker performance, validating the NMCP’s decision to de-prioritize large institutional trainings in favor of more interactive e-training (the development of which is nearly complete) and on-site mentorship via more frequent supervision. </w:t>
      </w:r>
    </w:p>
    <w:p w14:paraId="52B84157" w14:textId="77777777" w:rsidR="000D0D2D" w:rsidRPr="002C2C75" w:rsidRDefault="000D0D2D" w:rsidP="000D0D2D">
      <w:pPr>
        <w:pBdr>
          <w:top w:val="nil"/>
          <w:left w:val="nil"/>
          <w:bottom w:val="nil"/>
          <w:right w:val="nil"/>
          <w:between w:val="nil"/>
        </w:pBdr>
        <w:spacing w:line="240" w:lineRule="auto"/>
        <w:jc w:val="both"/>
        <w:rPr>
          <w:rFonts w:eastAsia="Arial" w:cstheme="minorHAnsi"/>
          <w:b/>
          <w:bCs/>
          <w:i/>
          <w:iCs/>
          <w:color w:val="000000"/>
        </w:rPr>
      </w:pPr>
      <w:r w:rsidRPr="002C2C75">
        <w:rPr>
          <w:rFonts w:eastAsia="Arial" w:cstheme="minorHAnsi"/>
          <w:b/>
          <w:bCs/>
          <w:i/>
          <w:iCs/>
          <w:color w:val="000000"/>
        </w:rPr>
        <w:t xml:space="preserve">Increasing markers of artemisinin resistance and HRP2/3 gene deletion in Africa call for increased vigilance in Mozambique </w:t>
      </w:r>
    </w:p>
    <w:p w14:paraId="01AF7DE7" w14:textId="77777777" w:rsidR="000D0D2D" w:rsidRPr="002C2C75" w:rsidRDefault="000D0D2D" w:rsidP="000D0D2D">
      <w:pPr>
        <w:pBdr>
          <w:top w:val="nil"/>
          <w:left w:val="nil"/>
          <w:bottom w:val="nil"/>
          <w:right w:val="nil"/>
          <w:between w:val="nil"/>
        </w:pBdr>
        <w:spacing w:line="240" w:lineRule="auto"/>
        <w:jc w:val="both"/>
      </w:pPr>
      <w:r w:rsidRPr="002C2C75">
        <w:t>Important genetic mutations have been detected across Africa that reduce the effectiveness of important diagnostic and treatment tools.</w:t>
      </w:r>
      <w:r w:rsidRPr="002C2C75">
        <w:rPr>
          <w:rStyle w:val="FootnoteReference"/>
        </w:rPr>
        <w:footnoteReference w:id="12"/>
      </w:r>
      <w:r w:rsidRPr="002C2C75">
        <w:t xml:space="preserve"> Genomic surveillance from GenMoz analysis and an analysis of samples from the 2018 health facility survey showed that there was no evidence of P</w:t>
      </w:r>
      <w:r w:rsidRPr="002C2C75">
        <w:rPr>
          <w:i/>
        </w:rPr>
        <w:t xml:space="preserve">fhrp2- </w:t>
      </w:r>
      <w:r w:rsidRPr="002C2C75">
        <w:t xml:space="preserve">and </w:t>
      </w:r>
      <w:r w:rsidRPr="002C2C75">
        <w:rPr>
          <w:i/>
        </w:rPr>
        <w:t>Pfhrp3</w:t>
      </w:r>
      <w:r w:rsidRPr="002C2C75">
        <w:t>-deleted parasites, showing the continued effectiveness of RDTs for malaria diagnosis in Mozambique. The analyses also concluded that the sensitivity and specificity of RDTs were acceptable.</w:t>
      </w:r>
      <w:r w:rsidRPr="002C2C75">
        <w:rPr>
          <w:vertAlign w:val="superscript"/>
        </w:rPr>
        <w:footnoteReference w:id="13"/>
      </w:r>
      <w:r w:rsidRPr="002C2C75">
        <w:t xml:space="preserve"> Furthermore, the GenMoz analysis showed that parasites continue to be susceptible to ACTs, and a return of susceptibility to chloroquine. Sulfadoxine-pyrimethamine (SP) on the other hand showed high levels of resistance.</w:t>
      </w:r>
    </w:p>
    <w:p w14:paraId="447DAB7C" w14:textId="77777777" w:rsidR="000D0D2D" w:rsidRPr="002C2C75" w:rsidRDefault="000D0D2D" w:rsidP="000D0D2D">
      <w:pPr>
        <w:pBdr>
          <w:top w:val="nil"/>
          <w:left w:val="nil"/>
          <w:bottom w:val="nil"/>
          <w:right w:val="nil"/>
          <w:between w:val="nil"/>
        </w:pBdr>
        <w:spacing w:line="240" w:lineRule="auto"/>
      </w:pPr>
      <w:r w:rsidRPr="002C2C75">
        <w:t>Figure 8: Genomic surveillance results from the GenMoz project (IMISS)</w:t>
      </w:r>
      <w:r w:rsidRPr="002C2C75">
        <w:rPr>
          <w:noProof/>
        </w:rPr>
        <w:drawing>
          <wp:inline distT="114300" distB="114300" distL="114300" distR="114300" wp14:anchorId="18D282A4" wp14:editId="2C4EAF24">
            <wp:extent cx="3209925" cy="3248025"/>
            <wp:effectExtent l="0" t="0" r="9525" b="9525"/>
            <wp:docPr id="207057682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4"/>
                    <a:srcRect/>
                    <a:stretch>
                      <a:fillRect/>
                    </a:stretch>
                  </pic:blipFill>
                  <pic:spPr>
                    <a:xfrm>
                      <a:off x="0" y="0"/>
                      <a:ext cx="3209925" cy="3248025"/>
                    </a:xfrm>
                    <a:prstGeom prst="rect">
                      <a:avLst/>
                    </a:prstGeom>
                    <a:ln/>
                  </pic:spPr>
                </pic:pic>
              </a:graphicData>
            </a:graphic>
          </wp:inline>
        </w:drawing>
      </w:r>
    </w:p>
    <w:p w14:paraId="40C73DF0" w14:textId="140E0370" w:rsidR="000D0D2D" w:rsidRPr="002C2C75" w:rsidRDefault="000D0D2D" w:rsidP="003D2E4F">
      <w:pPr>
        <w:spacing w:after="0" w:line="264" w:lineRule="auto"/>
        <w:jc w:val="both"/>
        <w:rPr>
          <w:rFonts w:eastAsia="Arial" w:cstheme="minorHAnsi"/>
          <w:color w:val="000000"/>
        </w:rPr>
      </w:pPr>
      <w:r w:rsidRPr="002C2C75">
        <w:rPr>
          <w:rFonts w:eastAsia="Arial" w:cstheme="minorHAnsi"/>
          <w:color w:val="000000"/>
        </w:rPr>
        <w:t>Preliminary results from the 2022 Therapeutic Efficacy Study (TES) showed an alarmingly low efficacy of artemether-lumefantrine (AL) at 28 days post-treatment (86.3%). Caution is being taken in interpretation, as the 2018 version showed a similar result before the final PCR-corrected results indicated a 97.9% efficacy. Given genetic surveillance has shown few genetic markers of resistance to artemisinin, the expectation is that a similar result may appear when the final results are available. Nonetheless, given the identification of resistance elsewhere on the continent, it is critical for Mozambique to conduct robust surveillance and develop clear plans for treatment variation according to the guidance from the recently released WHO guidance.</w:t>
      </w:r>
    </w:p>
    <w:p w14:paraId="78A6ADC2" w14:textId="77777777" w:rsidR="003D2E4F" w:rsidRPr="002C2C75" w:rsidRDefault="003D2E4F" w:rsidP="003D2E4F">
      <w:pPr>
        <w:spacing w:after="0" w:line="264" w:lineRule="auto"/>
        <w:jc w:val="both"/>
        <w:rPr>
          <w:rFonts w:eastAsia="Arial" w:cstheme="minorHAnsi"/>
          <w:color w:val="000000"/>
        </w:rPr>
      </w:pPr>
    </w:p>
    <w:p w14:paraId="369FE785" w14:textId="77777777" w:rsidR="000D0D2D" w:rsidRPr="002C2C75" w:rsidRDefault="000D0D2D" w:rsidP="000D0D2D">
      <w:pPr>
        <w:pStyle w:val="BodyText"/>
        <w:rPr>
          <w:b/>
          <w:bCs/>
          <w:sz w:val="22"/>
          <w:lang w:val="en-US"/>
        </w:rPr>
      </w:pPr>
      <w:r w:rsidRPr="002C2C75">
        <w:rPr>
          <w:b/>
          <w:bCs/>
          <w:sz w:val="22"/>
          <w:lang w:val="en-US"/>
        </w:rPr>
        <w:t>Vector control</w:t>
      </w:r>
    </w:p>
    <w:p w14:paraId="2F81B029" w14:textId="77777777" w:rsidR="000D0D2D" w:rsidRPr="002C2C75" w:rsidRDefault="000D0D2D" w:rsidP="000D0D2D">
      <w:pPr>
        <w:pStyle w:val="BodyText"/>
        <w:rPr>
          <w:b/>
          <w:bCs/>
          <w:i/>
          <w:iCs/>
          <w:sz w:val="22"/>
          <w:lang w:val="en-US"/>
        </w:rPr>
      </w:pPr>
      <w:r w:rsidRPr="002C2C75">
        <w:rPr>
          <w:b/>
          <w:bCs/>
          <w:i/>
          <w:iCs/>
          <w:sz w:val="22"/>
          <w:lang w:val="en-US"/>
        </w:rPr>
        <w:t>Introduction of dual-AI and PBO-pyrethroid ITNs can be remarkably impactful, but action is needed to retain high coverage and usage</w:t>
      </w:r>
    </w:p>
    <w:p w14:paraId="1D4FDC61" w14:textId="77777777" w:rsidR="000D0D2D" w:rsidRPr="002C2C75" w:rsidRDefault="000D0D2D" w:rsidP="000D0D2D">
      <w:pPr>
        <w:pBdr>
          <w:top w:val="nil"/>
          <w:left w:val="nil"/>
          <w:bottom w:val="nil"/>
          <w:right w:val="nil"/>
          <w:between w:val="nil"/>
        </w:pBdr>
        <w:spacing w:line="240" w:lineRule="auto"/>
        <w:jc w:val="both"/>
        <w:rPr>
          <w:rFonts w:eastAsia="Arial" w:cstheme="minorHAnsi"/>
          <w:color w:val="000000"/>
        </w:rPr>
      </w:pPr>
      <w:r w:rsidRPr="002C2C75">
        <w:rPr>
          <w:rFonts w:eastAsia="Arial" w:cstheme="minorHAnsi"/>
          <w:color w:val="000000"/>
        </w:rPr>
        <w:t>Unfortunately, due to delays with survey completion, updated nationally representative data on ITN ownership and usage do not exist. However, in the years prior, all survey indicators have shown a substantial upward trajectory. Households with at least 1 net per 2 people increased from 39% in 2015 to 57% in 2018. Usage of LLINs among children in households owning at least 1 LLIN increased to 73% in 2018, up from 48% in 2015. Similarly, usage amongst pregnant women in households owning at least 1 LLIN was 76% in 2018, up from 52% in 2015 (IIM 2018, p. 42-5). This indicates a clear increasing trend in access and the normalization of LLIN usage.</w:t>
      </w:r>
    </w:p>
    <w:p w14:paraId="1BC633A8" w14:textId="77777777" w:rsidR="000D0D2D" w:rsidRPr="002C2C75" w:rsidRDefault="000D0D2D" w:rsidP="000D0D2D">
      <w:pPr>
        <w:pBdr>
          <w:top w:val="nil"/>
          <w:left w:val="nil"/>
          <w:bottom w:val="nil"/>
          <w:right w:val="nil"/>
          <w:between w:val="nil"/>
        </w:pBdr>
        <w:spacing w:line="240" w:lineRule="auto"/>
        <w:jc w:val="both"/>
        <w:rPr>
          <w:rFonts w:eastAsia="Arial" w:cstheme="minorHAnsi"/>
          <w:color w:val="000000"/>
        </w:rPr>
      </w:pPr>
      <w:r w:rsidRPr="002C2C75">
        <w:rPr>
          <w:rFonts w:eastAsia="Arial" w:cstheme="minorHAnsi"/>
          <w:color w:val="000000"/>
        </w:rPr>
        <w:t xml:space="preserve">In order to fight resistance and leverage on the increasing community usage to drive impact, the country has proactively sought the widespread introduction of new next-generation LLINs to manage resistance, and by the end of 2023, Mozambique will have covered all of the highest risk populations with a non-pyrethroid-only vector control intervention. </w:t>
      </w:r>
    </w:p>
    <w:p w14:paraId="1DB87346" w14:textId="77777777" w:rsidR="000D0D2D" w:rsidRPr="002C2C75" w:rsidRDefault="000D0D2D" w:rsidP="000D0D2D">
      <w:pPr>
        <w:jc w:val="both"/>
      </w:pPr>
      <w:r w:rsidRPr="002C2C75">
        <w:t xml:space="preserve">The introduction of next-generation LLINs demonstrated an impact on malaria trends. Notably, following the 2019/20 LLIN distribution, the provinces receiving PBO-pyrethroid or dual-AI LLINs recorded marked decreases in reported incidence when compared to provinces who received standard pyrethroid LLINs (see Figures 9 &amp; 10 below). Household survey data from the New Nets Project evaluation study aligns closely to data from routine HMIS data, indicating a strong likelihood that this effect is real. With these LLINs being deployed at national scale in 2022/23, it is believed that the resulting impact will be high. </w:t>
      </w:r>
    </w:p>
    <w:p w14:paraId="482B0398" w14:textId="77777777" w:rsidR="000D0D2D" w:rsidRPr="002C2C75" w:rsidRDefault="000D0D2D" w:rsidP="000D0D2D">
      <w:pPr>
        <w:jc w:val="both"/>
      </w:pPr>
      <w:r w:rsidRPr="002C2C75">
        <w:t>Figure 9: Prevalence at baseline and midline, by district and LLIN type – New Nets Project evaluation</w:t>
      </w:r>
    </w:p>
    <w:p w14:paraId="3535BCC7" w14:textId="77777777" w:rsidR="000D0D2D" w:rsidRPr="002C2C75" w:rsidRDefault="000D0D2D" w:rsidP="000D0D2D">
      <w:pPr>
        <w:jc w:val="both"/>
      </w:pPr>
      <w:r w:rsidRPr="002C2C75">
        <w:rPr>
          <w:noProof/>
        </w:rPr>
        <w:drawing>
          <wp:inline distT="0" distB="0" distL="0" distR="0" wp14:anchorId="68796452" wp14:editId="140A8CE9">
            <wp:extent cx="4723419" cy="2647335"/>
            <wp:effectExtent l="0" t="0" r="0" b="0"/>
            <wp:docPr id="2070576833" name="image32.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2.png" descr="Chart, bar chart&#10;&#10;Description automatically generated"/>
                    <pic:cNvPicPr preferRelativeResize="0"/>
                  </pic:nvPicPr>
                  <pic:blipFill>
                    <a:blip r:embed="rId45"/>
                    <a:srcRect/>
                    <a:stretch>
                      <a:fillRect/>
                    </a:stretch>
                  </pic:blipFill>
                  <pic:spPr>
                    <a:xfrm>
                      <a:off x="0" y="0"/>
                      <a:ext cx="4723419" cy="2647335"/>
                    </a:xfrm>
                    <a:prstGeom prst="rect">
                      <a:avLst/>
                    </a:prstGeom>
                    <a:ln/>
                  </pic:spPr>
                </pic:pic>
              </a:graphicData>
            </a:graphic>
          </wp:inline>
        </w:drawing>
      </w:r>
      <w:r w:rsidRPr="002C2C75">
        <w:t xml:space="preserve"> </w:t>
      </w:r>
    </w:p>
    <w:p w14:paraId="699800F9" w14:textId="77777777" w:rsidR="000D0D2D" w:rsidRPr="002C2C75" w:rsidRDefault="000D0D2D" w:rsidP="000D0D2D">
      <w:pPr>
        <w:jc w:val="both"/>
      </w:pPr>
      <w:r w:rsidRPr="002C2C75">
        <w:t>Figure 10: Incidence trends following next-gen and standard net distributions, by province</w:t>
      </w:r>
    </w:p>
    <w:p w14:paraId="076A32C4" w14:textId="77777777" w:rsidR="000D0D2D" w:rsidRPr="002C2C75" w:rsidRDefault="000D0D2D" w:rsidP="000D0D2D">
      <w:pPr>
        <w:jc w:val="both"/>
      </w:pPr>
      <w:r w:rsidRPr="002C2C75">
        <w:rPr>
          <w:noProof/>
        </w:rPr>
        <w:drawing>
          <wp:inline distT="0" distB="0" distL="0" distR="0" wp14:anchorId="73CC886E" wp14:editId="089AD03C">
            <wp:extent cx="5943600" cy="3142615"/>
            <wp:effectExtent l="0" t="0" r="0" b="0"/>
            <wp:docPr id="2070576835" name="image42.png" descr="Chart, line 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2.png" descr="Chart, line chart, histogram&#10;&#10;Description automatically generated"/>
                    <pic:cNvPicPr preferRelativeResize="0"/>
                  </pic:nvPicPr>
                  <pic:blipFill>
                    <a:blip r:embed="rId46"/>
                    <a:srcRect/>
                    <a:stretch>
                      <a:fillRect/>
                    </a:stretch>
                  </pic:blipFill>
                  <pic:spPr>
                    <a:xfrm>
                      <a:off x="0" y="0"/>
                      <a:ext cx="5943600" cy="3142615"/>
                    </a:xfrm>
                    <a:prstGeom prst="rect">
                      <a:avLst/>
                    </a:prstGeom>
                    <a:ln/>
                  </pic:spPr>
                </pic:pic>
              </a:graphicData>
            </a:graphic>
          </wp:inline>
        </w:drawing>
      </w:r>
    </w:p>
    <w:p w14:paraId="41329C31" w14:textId="7F39FF76" w:rsidR="000D0D2D" w:rsidRPr="002C2C75" w:rsidRDefault="000D0D2D" w:rsidP="000D0D2D">
      <w:pPr>
        <w:jc w:val="both"/>
      </w:pPr>
      <w:r w:rsidRPr="002C2C75">
        <w:t xml:space="preserve">Unfortunately, however, by the end of Year 2, the New Net Project data showed that the initial impact of the PBO-pyrethroid ITNs had reversed, largely due to suboptimal chemical and physical durability. This has been seen across countries in the New Nets Project data, with dual-AI nets consistently outperforming other ITNs due to this durability in field conditions. For this reason, given that the costs of dual-AI nets have reduced dramatically to be on par with GF reference prices for PBO-pyrethroid ITNs, a decision has been made in Mozambique to deploy dual-AI ITNs in the coming grant period. </w:t>
      </w:r>
    </w:p>
    <w:p w14:paraId="6F0A4F85" w14:textId="77777777" w:rsidR="009C0996" w:rsidRPr="002C2C75" w:rsidRDefault="009C0996" w:rsidP="000D0D2D">
      <w:pPr>
        <w:jc w:val="both"/>
      </w:pPr>
    </w:p>
    <w:p w14:paraId="54ECED60" w14:textId="77777777" w:rsidR="000D0D2D" w:rsidRPr="002C2C75" w:rsidRDefault="000D0D2D" w:rsidP="000D0D2D">
      <w:pPr>
        <w:jc w:val="both"/>
      </w:pPr>
      <w:r w:rsidRPr="002C2C75">
        <w:t>Figure 11: Changes in U5 prevalence and incidence across different arms of the NNP West Study Zone (NNP Endline Results Summary)</w:t>
      </w:r>
    </w:p>
    <w:p w14:paraId="205B5D82" w14:textId="77777777" w:rsidR="000D0D2D" w:rsidRPr="002C2C75" w:rsidRDefault="000D0D2D" w:rsidP="000D0D2D">
      <w:pPr>
        <w:jc w:val="both"/>
      </w:pPr>
      <w:r w:rsidRPr="002C2C75">
        <w:rPr>
          <w:noProof/>
        </w:rPr>
        <w:drawing>
          <wp:inline distT="0" distB="0" distL="0" distR="0" wp14:anchorId="36335368" wp14:editId="6A138CCD">
            <wp:extent cx="2719705" cy="2413000"/>
            <wp:effectExtent l="0" t="0" r="444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l="4886" b="10038"/>
                    <a:stretch/>
                  </pic:blipFill>
                  <pic:spPr bwMode="auto">
                    <a:xfrm>
                      <a:off x="0" y="0"/>
                      <a:ext cx="2719705" cy="2413000"/>
                    </a:xfrm>
                    <a:prstGeom prst="rect">
                      <a:avLst/>
                    </a:prstGeom>
                    <a:noFill/>
                    <a:ln>
                      <a:noFill/>
                    </a:ln>
                    <a:extLst>
                      <a:ext uri="{53640926-AAD7-44D8-BBD7-CCE9431645EC}">
                        <a14:shadowObscured xmlns:a14="http://schemas.microsoft.com/office/drawing/2010/main"/>
                      </a:ext>
                    </a:extLst>
                  </pic:spPr>
                </pic:pic>
              </a:graphicData>
            </a:graphic>
          </wp:inline>
        </w:drawing>
      </w:r>
      <w:r w:rsidRPr="002C2C75">
        <w:rPr>
          <w:noProof/>
        </w:rPr>
        <w:drawing>
          <wp:inline distT="0" distB="0" distL="0" distR="0" wp14:anchorId="0B0D9461" wp14:editId="2302030A">
            <wp:extent cx="2590800" cy="230481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96073" cy="2309504"/>
                    </a:xfrm>
                    <a:prstGeom prst="rect">
                      <a:avLst/>
                    </a:prstGeom>
                    <a:noFill/>
                  </pic:spPr>
                </pic:pic>
              </a:graphicData>
            </a:graphic>
          </wp:inline>
        </w:drawing>
      </w:r>
    </w:p>
    <w:p w14:paraId="6C1F11B3" w14:textId="77777777" w:rsidR="000D0D2D" w:rsidRPr="002C2C75" w:rsidRDefault="000D0D2D" w:rsidP="000D0D2D">
      <w:pPr>
        <w:jc w:val="both"/>
        <w:rPr>
          <w:b/>
          <w:bCs/>
        </w:rPr>
      </w:pPr>
    </w:p>
    <w:p w14:paraId="7EF6F92F" w14:textId="77777777" w:rsidR="000D0D2D" w:rsidRPr="002C2C75" w:rsidRDefault="000D0D2D" w:rsidP="000D0D2D">
      <w:pPr>
        <w:jc w:val="both"/>
      </w:pPr>
      <w:r w:rsidRPr="002C2C75">
        <w:t>While the IG2 dual-AI ITNs appeared to outperformed Royal Guard and PBO-pyrethroid nets in terms of durability, they still were failing to last the 3 years between cycles of mass distribution. Only 71.1% survived by the end of the 2</w:t>
      </w:r>
      <w:r w:rsidRPr="002C2C75">
        <w:rPr>
          <w:vertAlign w:val="superscript"/>
        </w:rPr>
        <w:t>nd</w:t>
      </w:r>
      <w:r w:rsidRPr="002C2C75">
        <w:t xml:space="preserve"> year, resulting in reduced ownership (NNP Endline Results). Prior studies in three provinces showed that a large proportion of LLINs were unusable due to physical wear and tear after 36 months - 41% in Tete, 33% in Nampula, and 28% in Inhambane. Insecticidal effectiveness was optimal for all sampled nets (100%) in all three sites up to the 24 months follow-up but declined by 36 months. IN Inhambane, only 3% of samples showed optimal effectiveness at 36 months, with only 11% in Tete and 29% in Nampula at 36 months.</w:t>
      </w:r>
      <w:r w:rsidRPr="002C2C75">
        <w:rPr>
          <w:vertAlign w:val="superscript"/>
        </w:rPr>
        <w:footnoteReference w:id="14"/>
      </w:r>
    </w:p>
    <w:p w14:paraId="63C27556" w14:textId="77777777" w:rsidR="000D0D2D" w:rsidRPr="002C2C75" w:rsidRDefault="000D0D2D" w:rsidP="000D0D2D">
      <w:pPr>
        <w:jc w:val="both"/>
      </w:pPr>
      <w:r w:rsidRPr="002C2C75">
        <w:t>Based on this evidence and the modeled predicted impact of different net distribution intervals on malaria morbidity and mortality, the malaria program decided to decrease the interval between distribution from 3 years to 2.5 years for the 2022/23 campaign. This decision was approved by the Global Fund in July 2021 based on this evidence and is in the process of being implemented.</w:t>
      </w:r>
    </w:p>
    <w:p w14:paraId="361C486C" w14:textId="77777777" w:rsidR="000D0D2D" w:rsidRPr="002C2C75" w:rsidRDefault="000D0D2D" w:rsidP="000D0D2D">
      <w:pPr>
        <w:jc w:val="both"/>
        <w:rPr>
          <w:b/>
          <w:bCs/>
          <w:i/>
          <w:iCs/>
        </w:rPr>
      </w:pPr>
      <w:r w:rsidRPr="002C2C75">
        <w:rPr>
          <w:b/>
          <w:bCs/>
          <w:i/>
          <w:iCs/>
        </w:rPr>
        <w:t xml:space="preserve">Indoor Residual Spraying </w:t>
      </w:r>
    </w:p>
    <w:p w14:paraId="76132B73" w14:textId="77777777" w:rsidR="000D0D2D" w:rsidRPr="002C2C75" w:rsidRDefault="000D0D2D" w:rsidP="000D0D2D">
      <w:pPr>
        <w:pStyle w:val="Default"/>
        <w:jc w:val="both"/>
        <w:rPr>
          <w:sz w:val="22"/>
          <w:szCs w:val="22"/>
        </w:rPr>
      </w:pPr>
      <w:r w:rsidRPr="002C2C75">
        <w:rPr>
          <w:sz w:val="22"/>
          <w:szCs w:val="22"/>
        </w:rPr>
        <w:t>Over 90% of households targeted for IRS have reported to have been sprayed over the implementation period (MPR Report, p. 97), although there have been challenges with accurate IRS coverage denominators, as in many other countries. The districts targeted with IRS grew from 2020-2022 due to investments in regional elimination initiatives. Only focal IRS was conducted in Maputo Province, which allowed for budget savings to expand IRS to higher burden districts of the southern region. This more limited but targeted sprays still led reductions in incidence in Maputo province (e.g., incidence in the province reducing by 62.7% between 2017 and 2022). IRS has been shown to be impactful, notably through two robust local studies conducted in Mozambique. An evaluation of the MOSASWA IRS in southern Mozambique (commissioned by the Global Fund) was conducted in collaboration with the Swiss Tropical and Public Health Institute (STPH), and it showed evidence of substantial impact, particularly in Inhambane and Gaza provinces. The below is an excerpt from the evaluation, alongside a chart displaying the impact following IRS introduction (Figure 12).</w:t>
      </w:r>
    </w:p>
    <w:p w14:paraId="5876E146" w14:textId="77777777" w:rsidR="000D0D2D" w:rsidRPr="002C2C75" w:rsidRDefault="000D0D2D" w:rsidP="000D0D2D">
      <w:pPr>
        <w:pStyle w:val="Default"/>
        <w:jc w:val="both"/>
        <w:rPr>
          <w:sz w:val="22"/>
          <w:szCs w:val="22"/>
        </w:rPr>
      </w:pPr>
    </w:p>
    <w:p w14:paraId="023469A3" w14:textId="77777777" w:rsidR="000D0D2D" w:rsidRPr="002C2C75" w:rsidRDefault="000D0D2D" w:rsidP="000D0D2D">
      <w:pPr>
        <w:ind w:hanging="2"/>
        <w:rPr>
          <w:rFonts w:ascii="Arial" w:eastAsia="Arial" w:hAnsi="Arial" w:cs="Arial"/>
          <w:b/>
          <w:iCs/>
          <w:color w:val="1E1E1E"/>
        </w:rPr>
      </w:pPr>
      <w:r w:rsidRPr="002C2C75">
        <w:rPr>
          <w:rFonts w:ascii="Arial" w:eastAsia="Arial" w:hAnsi="Arial" w:cs="Arial"/>
          <w:iCs/>
          <w:color w:val="1E1E1E"/>
        </w:rPr>
        <w:t>Figure 12: Relative changes in incidence pre and post IRS in 2019 (STPH evaluation, 2021)</w:t>
      </w:r>
    </w:p>
    <w:p w14:paraId="2FC5556D" w14:textId="77777777" w:rsidR="000D0D2D" w:rsidRPr="002C2C75" w:rsidRDefault="000D0D2D" w:rsidP="000D0D2D">
      <w:pPr>
        <w:ind w:hanging="2"/>
        <w:jc w:val="both"/>
        <w:rPr>
          <w:rFonts w:ascii="Arial" w:eastAsia="Arial" w:hAnsi="Arial" w:cs="Arial"/>
          <w:color w:val="1E1E1E"/>
        </w:rPr>
      </w:pPr>
      <w:r w:rsidRPr="002C2C75">
        <w:rPr>
          <w:noProof/>
        </w:rPr>
        <w:drawing>
          <wp:inline distT="0" distB="0" distL="114300" distR="114300" wp14:anchorId="1F3B5A25" wp14:editId="42FE0A2B">
            <wp:extent cx="2159000" cy="1797685"/>
            <wp:effectExtent l="0" t="0" r="0" b="0"/>
            <wp:docPr id="1072" name="image9.png" descr="Text,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1072" name="image9.png" descr="Text, chat or text message&#10;&#10;Description automatically generated"/>
                    <pic:cNvPicPr preferRelativeResize="0"/>
                  </pic:nvPicPr>
                  <pic:blipFill>
                    <a:blip r:embed="rId49"/>
                    <a:srcRect/>
                    <a:stretch>
                      <a:fillRect/>
                    </a:stretch>
                  </pic:blipFill>
                  <pic:spPr>
                    <a:xfrm>
                      <a:off x="0" y="0"/>
                      <a:ext cx="2165498" cy="1803096"/>
                    </a:xfrm>
                    <a:prstGeom prst="rect">
                      <a:avLst/>
                    </a:prstGeom>
                    <a:ln/>
                  </pic:spPr>
                </pic:pic>
              </a:graphicData>
            </a:graphic>
          </wp:inline>
        </w:drawing>
      </w:r>
      <w:r w:rsidRPr="002C2C75">
        <w:rPr>
          <w:rFonts w:ascii="Arial" w:eastAsia="Arial" w:hAnsi="Arial" w:cs="Arial"/>
          <w:color w:val="1E1E1E"/>
        </w:rPr>
        <w:t xml:space="preserve">  </w:t>
      </w:r>
      <w:r w:rsidRPr="002C2C75">
        <w:rPr>
          <w:noProof/>
        </w:rPr>
        <w:drawing>
          <wp:inline distT="0" distB="0" distL="114300" distR="114300" wp14:anchorId="26D8ED76" wp14:editId="6B1A9989">
            <wp:extent cx="4254500" cy="2298700"/>
            <wp:effectExtent l="0" t="0" r="0" b="6350"/>
            <wp:docPr id="1075" name="image3.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75" name="image3.png" descr="Chart, line chart&#10;&#10;Description automatically generated"/>
                    <pic:cNvPicPr preferRelativeResize="0"/>
                  </pic:nvPicPr>
                  <pic:blipFill>
                    <a:blip r:embed="rId50"/>
                    <a:srcRect/>
                    <a:stretch>
                      <a:fillRect/>
                    </a:stretch>
                  </pic:blipFill>
                  <pic:spPr>
                    <a:xfrm>
                      <a:off x="0" y="0"/>
                      <a:ext cx="4289040" cy="2317362"/>
                    </a:xfrm>
                    <a:prstGeom prst="rect">
                      <a:avLst/>
                    </a:prstGeom>
                    <a:ln/>
                  </pic:spPr>
                </pic:pic>
              </a:graphicData>
            </a:graphic>
          </wp:inline>
        </w:drawing>
      </w:r>
    </w:p>
    <w:p w14:paraId="406B0DD1" w14:textId="77777777" w:rsidR="000D0D2D" w:rsidRPr="002C2C75" w:rsidRDefault="000D0D2D" w:rsidP="000D0D2D">
      <w:pPr>
        <w:pStyle w:val="Default"/>
        <w:jc w:val="both"/>
        <w:rPr>
          <w:sz w:val="22"/>
          <w:szCs w:val="22"/>
        </w:rPr>
      </w:pPr>
    </w:p>
    <w:p w14:paraId="65FDE5E3" w14:textId="77777777" w:rsidR="000D0D2D" w:rsidRPr="002C2C75" w:rsidRDefault="000D0D2D" w:rsidP="000D0D2D">
      <w:pPr>
        <w:pStyle w:val="Default"/>
        <w:jc w:val="both"/>
        <w:rPr>
          <w:sz w:val="22"/>
          <w:szCs w:val="22"/>
        </w:rPr>
      </w:pPr>
      <w:r w:rsidRPr="002C2C75">
        <w:rPr>
          <w:sz w:val="22"/>
          <w:szCs w:val="22"/>
        </w:rPr>
        <w:t>Similarly, an evaluation of IRS in Zambezia Province published in 2021 showed the significant impact of IRS in a high endemic area with high iTN access and pyrethroid resistance – with an 18% reduction in incidence in the actively followed cohort, a 35% reduction in incidence via passive surveillance, and a 46% reduction in household prevalence</w:t>
      </w:r>
      <w:r w:rsidRPr="002C2C75">
        <w:rPr>
          <w:rStyle w:val="FootnoteReference"/>
          <w:sz w:val="22"/>
          <w:szCs w:val="22"/>
        </w:rPr>
        <w:footnoteReference w:id="15"/>
      </w:r>
      <w:r w:rsidRPr="002C2C75">
        <w:rPr>
          <w:sz w:val="22"/>
          <w:szCs w:val="22"/>
        </w:rPr>
        <w:t xml:space="preserve">. However, as in all settings, IRS remains more expensive than nets and more labour-intensive to implement, leading to challenges in sustaining coverage of targeted areas in northern provinces when competing for limited resources. </w:t>
      </w:r>
    </w:p>
    <w:p w14:paraId="586922EF" w14:textId="77777777" w:rsidR="000D0D2D" w:rsidRPr="002C2C75" w:rsidRDefault="000D0D2D" w:rsidP="000D0D2D">
      <w:pPr>
        <w:jc w:val="both"/>
      </w:pPr>
    </w:p>
    <w:p w14:paraId="546E1320" w14:textId="77777777" w:rsidR="000D0D2D" w:rsidRPr="002C2C75" w:rsidRDefault="000D0D2D" w:rsidP="000D0D2D">
      <w:pPr>
        <w:jc w:val="both"/>
        <w:rPr>
          <w:b/>
          <w:bCs/>
        </w:rPr>
      </w:pPr>
      <w:r w:rsidRPr="002C2C75">
        <w:rPr>
          <w:b/>
          <w:bCs/>
        </w:rPr>
        <w:t>Specific Prevention Interventions (SPI)</w:t>
      </w:r>
    </w:p>
    <w:p w14:paraId="1DE08679" w14:textId="77777777" w:rsidR="000D0D2D" w:rsidRPr="002C2C75" w:rsidRDefault="000D0D2D" w:rsidP="000D0D2D">
      <w:pPr>
        <w:pBdr>
          <w:top w:val="nil"/>
          <w:left w:val="nil"/>
          <w:bottom w:val="nil"/>
          <w:right w:val="nil"/>
          <w:between w:val="nil"/>
        </w:pBdr>
        <w:spacing w:line="240" w:lineRule="auto"/>
        <w:rPr>
          <w:rFonts w:eastAsia="Arial" w:cstheme="minorHAnsi"/>
          <w:b/>
          <w:bCs/>
          <w:i/>
          <w:iCs/>
          <w:color w:val="000000"/>
        </w:rPr>
      </w:pPr>
      <w:r w:rsidRPr="002C2C75">
        <w:rPr>
          <w:rFonts w:eastAsia="Arial" w:cstheme="minorHAnsi"/>
          <w:b/>
          <w:bCs/>
          <w:i/>
          <w:iCs/>
          <w:color w:val="000000"/>
        </w:rPr>
        <w:t>Introduction of new chemoprevention strategies, their success and future as a highly cost-effective strategy</w:t>
      </w:r>
    </w:p>
    <w:p w14:paraId="49938D40" w14:textId="77777777" w:rsidR="000D0D2D" w:rsidRPr="002C2C75" w:rsidRDefault="000D0D2D" w:rsidP="000D0D2D">
      <w:pPr>
        <w:jc w:val="both"/>
        <w:rPr>
          <w:rFonts w:cstheme="minorHAnsi"/>
        </w:rPr>
      </w:pPr>
      <w:r w:rsidRPr="002C2C75">
        <w:rPr>
          <w:rFonts w:cstheme="minorHAnsi"/>
        </w:rPr>
        <w:t>The 2020 MTR found that additional interventions needed to be explored if Mozambique was to achieve its burden reduction goals. The stratification process identified SMC and PMC as priorities for this expansion. In the intervening years to date, Mozambique has mobilized resources to pilot both interventions. The early results of both show that while SP resistance is high in the country it still seems to be effective for chemoprevention.</w:t>
      </w:r>
    </w:p>
    <w:p w14:paraId="3C9E9A0E" w14:textId="77777777" w:rsidR="000D0D2D" w:rsidRPr="002C2C75" w:rsidRDefault="000D0D2D" w:rsidP="000D0D2D">
      <w:pPr>
        <w:jc w:val="both"/>
        <w:rPr>
          <w:rFonts w:cstheme="minorHAnsi"/>
        </w:rPr>
      </w:pPr>
      <w:r w:rsidRPr="002C2C75">
        <w:rPr>
          <w:rFonts w:cstheme="minorHAnsi"/>
        </w:rPr>
        <w:t xml:space="preserve">SMC was successfully introduced in Mecuburi and Malema Districts of Nampula province. About 81,000 children aged 3-59 months benefited, with &gt;100% coverage and 99% adherence on day 2 and 3. In 2021 SMC was expanded to two additional districts of Nampula (Lalaua and Muecate) reaching around 115,000 children from the same target group.  Both implementation pilots showed that SMC with SPAQ is safe, feasible and well accepted in the local context, which supported increasing the scale of the intervention beginning in 2022/23. </w:t>
      </w:r>
    </w:p>
    <w:p w14:paraId="2B88E1B4" w14:textId="77777777" w:rsidR="000D0D2D" w:rsidRPr="002C2C75" w:rsidRDefault="000D0D2D" w:rsidP="000D0D2D">
      <w:pPr>
        <w:jc w:val="both"/>
        <w:rPr>
          <w:rFonts w:cstheme="minorHAnsi"/>
        </w:rPr>
      </w:pPr>
      <w:r w:rsidRPr="002C2C75">
        <w:rPr>
          <w:rFonts w:cstheme="minorHAnsi"/>
        </w:rPr>
        <w:t xml:space="preserve">Importantly, given the initial uncertainty of its effectiveness given documented SP resistance, SMC also appears to be highly effective. In a non-randomised controlled trial, children who lived in a district where SMC had been implemented (Muecate) had 86 percent lower odds of developing clinical malaria during the peak transmission season compared with children who lived in the control district without SMC implementation (Lalaua). During phase 1, trends of SP and AQ resistance were monitored in the two intervention districts receiving SMC, and in a neighbouring district with similar epidemiologic characteristics but with no SMC coverage (Lalaua). Preliminary results found high rates of SP resistance but low AQ-associated resistance markers. One annual round of SMC did not appear to have had a negative impact on the SP resistance profile. However, continued research is needed to determine any resistance and efficacy implications from repeated implementation. </w:t>
      </w:r>
    </w:p>
    <w:p w14:paraId="7D527AA7" w14:textId="77777777" w:rsidR="000D0D2D" w:rsidRPr="002C2C75" w:rsidRDefault="000D0D2D" w:rsidP="000D0D2D">
      <w:pPr>
        <w:rPr>
          <w:rFonts w:cstheme="minorHAnsi"/>
          <w:b/>
          <w:bCs/>
        </w:rPr>
      </w:pPr>
      <w:r w:rsidRPr="002C2C75">
        <w:rPr>
          <w:rFonts w:cstheme="minorHAnsi"/>
          <w:b/>
          <w:bCs/>
        </w:rPr>
        <w:t>Surveillance, M&amp;E</w:t>
      </w:r>
    </w:p>
    <w:p w14:paraId="60386382" w14:textId="77777777" w:rsidR="000D0D2D" w:rsidRPr="002C2C75" w:rsidRDefault="000D0D2D" w:rsidP="000D0D2D">
      <w:pPr>
        <w:rPr>
          <w:rFonts w:cstheme="minorHAnsi"/>
          <w:b/>
          <w:bCs/>
        </w:rPr>
      </w:pPr>
      <w:r w:rsidRPr="002C2C75">
        <w:rPr>
          <w:rFonts w:cstheme="minorHAnsi"/>
          <w:b/>
          <w:bCs/>
          <w:i/>
          <w:iCs/>
        </w:rPr>
        <w:t>Improved data can improve programming</w:t>
      </w:r>
    </w:p>
    <w:p w14:paraId="6E4E6264" w14:textId="77777777" w:rsidR="000D0D2D" w:rsidRPr="002C2C75" w:rsidRDefault="000D0D2D" w:rsidP="000D0D2D">
      <w:pPr>
        <w:jc w:val="both"/>
        <w:rPr>
          <w:rFonts w:cstheme="minorHAnsi"/>
        </w:rPr>
      </w:pPr>
      <w:r w:rsidRPr="002C2C75">
        <w:rPr>
          <w:rFonts w:cstheme="minorHAnsi"/>
        </w:rPr>
        <w:t xml:space="preserve">The completeness of surveillance reporting has progressed since 2017, increasing from 90.1% in 2017 to 97.7% in 2021. This has ensured better representativeness of the routinely collected data.  Timeliness targets fell slightly short of MSP targets, but still saw significant improvements—moving from 73% timeliness in 2017 to 90.1% in 2019 (MPR Report, p. 115).  </w:t>
      </w:r>
    </w:p>
    <w:p w14:paraId="5021934F" w14:textId="77777777" w:rsidR="000D0D2D" w:rsidRPr="002C2C75" w:rsidRDefault="000D0D2D" w:rsidP="000D0D2D">
      <w:pPr>
        <w:spacing w:after="0" w:line="240" w:lineRule="auto"/>
        <w:jc w:val="both"/>
        <w:rPr>
          <w:rFonts w:eastAsia="Calibri" w:cstheme="minorHAnsi"/>
          <w:lang w:val="en-GB"/>
        </w:rPr>
      </w:pPr>
      <w:r w:rsidRPr="002C2C75">
        <w:rPr>
          <w:rFonts w:eastAsia="Calibri" w:cstheme="minorHAnsi"/>
          <w:lang w:val="en-GB"/>
        </w:rPr>
        <w:t xml:space="preserve">Data quality and accuracy has been a challenge for the country. The Health Facility Survey conducted in 2018 showed that facilities in three provinces were over-reporting cases into SISMA by 52-178%. While a follow up survey in 6 provinces showed an overall lower degree of error, it still showed an overall trend of over-reporting, with five of six provinces over-reporting by 8-67% (see Figure 13 below). </w:t>
      </w:r>
    </w:p>
    <w:p w14:paraId="331D16A4" w14:textId="77777777" w:rsidR="000D0D2D" w:rsidRPr="002C2C75" w:rsidRDefault="000D0D2D" w:rsidP="000D0D2D">
      <w:pPr>
        <w:spacing w:after="0" w:line="240" w:lineRule="auto"/>
        <w:jc w:val="both"/>
        <w:rPr>
          <w:rFonts w:ascii="Calibri" w:eastAsia="Calibri" w:hAnsi="Calibri" w:cs="Calibri"/>
          <w:lang w:val="en-GB"/>
        </w:rPr>
      </w:pPr>
    </w:p>
    <w:p w14:paraId="7DFA5C5A" w14:textId="77777777" w:rsidR="000D0D2D" w:rsidRPr="002C2C75" w:rsidRDefault="000D0D2D" w:rsidP="000D0D2D">
      <w:pPr>
        <w:spacing w:after="0" w:line="240" w:lineRule="auto"/>
        <w:jc w:val="both"/>
        <w:rPr>
          <w:rFonts w:ascii="Calibri" w:eastAsia="Calibri" w:hAnsi="Calibri" w:cs="Calibri"/>
          <w:iCs/>
          <w:lang w:val="en-GB"/>
        </w:rPr>
      </w:pPr>
      <w:r w:rsidRPr="002C2C75">
        <w:rPr>
          <w:rFonts w:ascii="Calibri" w:eastAsia="Calibri" w:hAnsi="Calibri" w:cs="Calibri"/>
          <w:iCs/>
          <w:lang w:val="en-GB"/>
        </w:rPr>
        <w:t>Figure 13: Percent differences in total confirmed cases, SIS-MA vs facility registers</w:t>
      </w:r>
    </w:p>
    <w:p w14:paraId="08B5F38B" w14:textId="77777777" w:rsidR="000D0D2D" w:rsidRPr="002C2C75" w:rsidRDefault="000D0D2D" w:rsidP="000D0D2D">
      <w:pPr>
        <w:spacing w:after="0" w:line="240" w:lineRule="auto"/>
        <w:jc w:val="both"/>
        <w:rPr>
          <w:rFonts w:ascii="Calibri" w:eastAsia="Calibri" w:hAnsi="Calibri" w:cs="Calibri"/>
          <w:lang w:val="en-GB"/>
        </w:rPr>
      </w:pPr>
      <w:r w:rsidRPr="002C2C75">
        <w:rPr>
          <w:rFonts w:ascii="Calibri" w:eastAsia="Calibri" w:hAnsi="Calibri" w:cs="Calibri"/>
          <w:noProof/>
          <w:lang w:val="en-GB"/>
        </w:rPr>
        <w:drawing>
          <wp:inline distT="0" distB="0" distL="0" distR="0" wp14:anchorId="76811C85" wp14:editId="52300EFB">
            <wp:extent cx="5137785" cy="2964762"/>
            <wp:effectExtent l="0" t="0" r="5715" b="7620"/>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44063" cy="2968385"/>
                    </a:xfrm>
                    <a:prstGeom prst="rect">
                      <a:avLst/>
                    </a:prstGeom>
                    <a:noFill/>
                  </pic:spPr>
                </pic:pic>
              </a:graphicData>
            </a:graphic>
          </wp:inline>
        </w:drawing>
      </w:r>
    </w:p>
    <w:p w14:paraId="474CBEF0" w14:textId="77777777" w:rsidR="000D0D2D" w:rsidRPr="002C2C75" w:rsidRDefault="000D0D2D" w:rsidP="000D0D2D">
      <w:pPr>
        <w:jc w:val="both"/>
        <w:rPr>
          <w:rFonts w:cstheme="minorHAnsi"/>
          <w:lang w:val="en-GB"/>
        </w:rPr>
      </w:pPr>
      <w:r w:rsidRPr="002C2C75">
        <w:rPr>
          <w:rFonts w:cstheme="minorHAnsi"/>
          <w:lang w:val="en-GB"/>
        </w:rPr>
        <w:t xml:space="preserve">Beginning in 2019, the NMCP, with the support of partners, began implementing surveillance strengthening activities with an emphasis on Data Quality Audits (DQA) integrated with supervision visits. At baseline, only 51% of health facilities had good data accuracy, and by the end of 2 years of implementation this figure had risen to 80% of facilities (MPR Report, p. 117).  </w:t>
      </w:r>
    </w:p>
    <w:p w14:paraId="6645D3CD" w14:textId="77777777" w:rsidR="000D0D2D" w:rsidRPr="002C2C75" w:rsidRDefault="000D0D2D" w:rsidP="000D0D2D">
      <w:pPr>
        <w:jc w:val="both"/>
        <w:rPr>
          <w:rFonts w:cstheme="minorHAnsi"/>
          <w:lang w:val="en-GB"/>
        </w:rPr>
      </w:pPr>
      <w:r w:rsidRPr="002C2C75">
        <w:rPr>
          <w:rFonts w:cstheme="minorHAnsi"/>
          <w:lang w:val="en-GB"/>
        </w:rPr>
        <w:t xml:space="preserve">Additionally, during that implementation period, the NMCP and partners designed the integrated malaria information storage system (iMISS) as a malaria data repository that houses and visualizes malaria data from all sources in the country, with the aim of improving data access and use. </w:t>
      </w:r>
    </w:p>
    <w:p w14:paraId="1FDB5EC7" w14:textId="6A9DF695" w:rsidR="000D0D2D" w:rsidRPr="002C2C75" w:rsidRDefault="000D0D2D" w:rsidP="000D0D2D">
      <w:pPr>
        <w:jc w:val="both"/>
        <w:rPr>
          <w:rFonts w:cstheme="minorHAnsi"/>
          <w:lang w:val="en-GB"/>
        </w:rPr>
      </w:pPr>
      <w:r w:rsidRPr="002C2C75">
        <w:rPr>
          <w:rFonts w:cstheme="minorHAnsi"/>
          <w:lang w:val="en-GB"/>
        </w:rPr>
        <w:t xml:space="preserve">Beginning with the 2021 MDA campaign, and continuing for the 2022/23 ITN </w:t>
      </w:r>
      <w:r w:rsidR="00597CB4">
        <w:rPr>
          <w:rFonts w:cstheme="minorHAnsi"/>
          <w:lang w:val="en-GB"/>
        </w:rPr>
        <w:t>and 2023 MDA</w:t>
      </w:r>
      <w:r w:rsidRPr="002C2C75">
        <w:rPr>
          <w:rFonts w:cstheme="minorHAnsi"/>
          <w:lang w:val="en-GB"/>
        </w:rPr>
        <w:t xml:space="preserve"> campaign</w:t>
      </w:r>
      <w:r w:rsidR="00597CB4">
        <w:rPr>
          <w:rFonts w:cstheme="minorHAnsi"/>
          <w:lang w:val="en-GB"/>
        </w:rPr>
        <w:t>s</w:t>
      </w:r>
      <w:r w:rsidRPr="002C2C75">
        <w:rPr>
          <w:rFonts w:cstheme="minorHAnsi"/>
          <w:lang w:val="en-GB"/>
        </w:rPr>
        <w:t xml:space="preserve">, the NMCP began to implement a vision of digitizing campaigns to improve the visibility of data in real time and use that data to improve the coverage and quality of campaigns. While many challenges existed in implementation, this effort was considered a resounding success and re-doubled the NMCP’s enthusiasm to envision a future that includes an integrated campaign management platform which can be used for all malaria campaigns (and further can be extended to non-malaria campaigns such as those conducted by the NTD program and immunization program). While far from a panacea for these challenges, </w:t>
      </w:r>
      <w:r w:rsidRPr="002C2C75">
        <w:rPr>
          <w:rFonts w:cstheme="minorHAnsi"/>
          <w:b/>
          <w:bCs/>
          <w:lang w:val="en-GB"/>
        </w:rPr>
        <w:t>digital health technology can play a catalyzing role</w:t>
      </w:r>
      <w:r w:rsidRPr="002C2C75">
        <w:rPr>
          <w:rFonts w:cstheme="minorHAnsi"/>
          <w:lang w:val="en-GB"/>
        </w:rPr>
        <w:t xml:space="preserve"> in improving local ownership and oversight of well-planned and efficiently executed campaigns. Digital health tools and innovations can enable public health campaigns to achieve higher coverage – and measure it more accurately – by better managing logistics and improving visibility into where interventions have been delivered and what remains to be achieved.</w:t>
      </w:r>
    </w:p>
    <w:p w14:paraId="667B6E04" w14:textId="77777777" w:rsidR="000D0D2D" w:rsidRPr="002C2C75" w:rsidRDefault="000D0D2D" w:rsidP="000D0D2D">
      <w:pPr>
        <w:pStyle w:val="BodyText"/>
        <w:rPr>
          <w:rFonts w:cstheme="minorHAnsi"/>
        </w:rPr>
      </w:pPr>
      <w:r w:rsidRPr="002C2C75">
        <w:rPr>
          <w:b/>
          <w:bCs/>
          <w:sz w:val="22"/>
          <w:lang w:val="en-US"/>
        </w:rPr>
        <w:t>Program Management</w:t>
      </w:r>
    </w:p>
    <w:p w14:paraId="28387F8C" w14:textId="77777777" w:rsidR="000D0D2D" w:rsidRPr="002C2C75" w:rsidRDefault="000D0D2D" w:rsidP="000754C3">
      <w:pPr>
        <w:spacing w:after="0" w:line="80" w:lineRule="atLeast"/>
        <w:jc w:val="both"/>
        <w:rPr>
          <w:rFonts w:cstheme="minorHAnsi"/>
        </w:rPr>
      </w:pPr>
      <w:r w:rsidRPr="002C2C75">
        <w:rPr>
          <w:rFonts w:cstheme="minorHAnsi"/>
        </w:rPr>
        <w:t>The primary donors supporting malaria commodities and activities in Mozambique continue to be the Global Fund and the United States President’s Malaria Initiative (PMI) (currently approximately $66.7M and $29M per annum, respectively). Of late, Givewell has also supported SMC activities through Malaria Consortium, and has been expanding their investment. There are complementary surveillance strengthening investments by the Gates Foundation. Additionally, there are vector control investments by the MOSASWA regional Global Fund grant and South African government (at an average of $8M and $2.2M per annum, respectively). The World Bank is an important cross-cutting funding source relevant for malaria, as it is responsible for funding the operational costs of the APE program, which is a key platform for delivering care at the community level.</w:t>
      </w:r>
    </w:p>
    <w:p w14:paraId="1A81ED83" w14:textId="77777777" w:rsidR="000D0D2D" w:rsidRPr="002C2C75" w:rsidRDefault="000D0D2D" w:rsidP="000D0D2D">
      <w:pPr>
        <w:spacing w:after="0"/>
        <w:jc w:val="both"/>
        <w:rPr>
          <w:rFonts w:cstheme="minorHAnsi"/>
          <w:sz w:val="8"/>
          <w:szCs w:val="8"/>
        </w:rPr>
      </w:pPr>
    </w:p>
    <w:p w14:paraId="0581714B" w14:textId="77777777" w:rsidR="000D0D2D" w:rsidRPr="002C2C75" w:rsidRDefault="000D0D2D" w:rsidP="000754C3">
      <w:pPr>
        <w:spacing w:after="0" w:line="80" w:lineRule="atLeast"/>
        <w:jc w:val="both"/>
        <w:rPr>
          <w:rFonts w:cstheme="minorHAnsi"/>
        </w:rPr>
      </w:pPr>
      <w:r w:rsidRPr="002C2C75">
        <w:rPr>
          <w:rFonts w:cstheme="minorHAnsi"/>
        </w:rPr>
        <w:t>The Mozambique NMCP collaborates extensively as a member of two regional malaria multi-lateral initiatives, the Elimination 8 and MOSASWA, as well as the health initiatives of the Southern Africa Development Community. The country firmly supports the concept of a regional approach to burden reduction and elimination, and actively collaborates with its neighbors to ensure the needs of an interconnected epidemiological block are jointly considered. This includes active participation in the E8’s Technical Committee, TWGs, and Situation Room calls, as well as co-chairing of the Regional Coordinating Mechanism (RCM) of the MOSASWA Initiative.</w:t>
      </w:r>
    </w:p>
    <w:p w14:paraId="51E3EE49" w14:textId="77777777" w:rsidR="000D0D2D" w:rsidRPr="002C2C75" w:rsidRDefault="000D0D2D" w:rsidP="000D0D2D">
      <w:pPr>
        <w:spacing w:after="0"/>
        <w:jc w:val="both"/>
        <w:rPr>
          <w:rFonts w:cstheme="minorHAnsi"/>
          <w:sz w:val="8"/>
          <w:szCs w:val="8"/>
        </w:rPr>
      </w:pPr>
    </w:p>
    <w:p w14:paraId="30394E85" w14:textId="77777777" w:rsidR="000D0D2D" w:rsidRPr="002C2C75" w:rsidRDefault="000D0D2D" w:rsidP="000D0D2D">
      <w:pPr>
        <w:spacing w:after="0"/>
        <w:jc w:val="both"/>
        <w:rPr>
          <w:rFonts w:cstheme="minorHAnsi"/>
        </w:rPr>
      </w:pPr>
      <w:r w:rsidRPr="002C2C75">
        <w:rPr>
          <w:rFonts w:cstheme="minorHAnsi"/>
        </w:rPr>
        <w:t xml:space="preserve">The second and third rounds of MOSASWA grant development were particularly encouraging in their ability to align regional and country priorities, and in ensuring that the country and regional grants were complementary. A particular lesson learned by the NMCP was the value of developing comprehensive, thoughtfully-deliberated subnational operational plans to help clearly articulate needs before grant development. </w:t>
      </w:r>
    </w:p>
    <w:p w14:paraId="218622A7" w14:textId="77777777" w:rsidR="000D0D2D" w:rsidRPr="002C2C75" w:rsidRDefault="000D0D2D" w:rsidP="000D0D2D">
      <w:pPr>
        <w:spacing w:after="0"/>
        <w:rPr>
          <w:rFonts w:cstheme="minorHAnsi"/>
        </w:rPr>
      </w:pPr>
    </w:p>
    <w:p w14:paraId="31EC2E72" w14:textId="77777777" w:rsidR="000D0D2D" w:rsidRPr="002C2C75" w:rsidRDefault="000D0D2D" w:rsidP="000D0D2D">
      <w:pPr>
        <w:pBdr>
          <w:top w:val="nil"/>
          <w:left w:val="nil"/>
          <w:bottom w:val="nil"/>
          <w:right w:val="nil"/>
          <w:between w:val="nil"/>
        </w:pBdr>
        <w:spacing w:line="240" w:lineRule="auto"/>
        <w:jc w:val="both"/>
        <w:rPr>
          <w:rFonts w:eastAsia="Arial" w:cstheme="minorHAnsi"/>
          <w:color w:val="000000"/>
        </w:rPr>
      </w:pPr>
      <w:r w:rsidRPr="002C2C75">
        <w:rPr>
          <w:rFonts w:eastAsia="Arial" w:cstheme="minorHAnsi"/>
          <w:color w:val="000000"/>
        </w:rPr>
        <w:t xml:space="preserve">The program was able to organize training for health professionals at all levels. At central level, NMCP staff and health care providers (doctors and nurses) were trained. At provincial and district levels, malaria focal persons, M&amp;E staff and SBCC personnel received training in their respective areas. </w:t>
      </w:r>
      <w:r w:rsidRPr="002C2C75">
        <w:rPr>
          <w:rFonts w:eastAsia="Arial" w:cstheme="minorHAnsi"/>
        </w:rPr>
        <w:t>APS</w:t>
      </w:r>
      <w:r w:rsidRPr="002C2C75">
        <w:rPr>
          <w:rFonts w:eastAsia="Arial" w:cstheme="minorHAnsi"/>
          <w:color w:val="000000"/>
        </w:rPr>
        <w:t>s at community level were trained in malaria diagnosis and treatment. The following training activities were organized in the country during the GF funding period (Table 9):</w:t>
      </w:r>
    </w:p>
    <w:p w14:paraId="6E9ED93A" w14:textId="77777777" w:rsidR="00683C62" w:rsidRPr="002C2C75" w:rsidRDefault="00683C62" w:rsidP="000754C3">
      <w:pPr>
        <w:pBdr>
          <w:top w:val="nil"/>
          <w:left w:val="nil"/>
          <w:bottom w:val="nil"/>
          <w:right w:val="nil"/>
          <w:between w:val="nil"/>
        </w:pBdr>
        <w:spacing w:after="40" w:line="240" w:lineRule="auto"/>
        <w:jc w:val="both"/>
        <w:rPr>
          <w:rFonts w:eastAsia="Arial" w:cstheme="minorHAnsi"/>
          <w:color w:val="000000"/>
          <w:sz w:val="20"/>
          <w:szCs w:val="20"/>
        </w:rPr>
      </w:pPr>
    </w:p>
    <w:p w14:paraId="2EF5E22A" w14:textId="77777777" w:rsidR="00683C62" w:rsidRPr="002C2C75" w:rsidRDefault="00683C62" w:rsidP="000754C3">
      <w:pPr>
        <w:pBdr>
          <w:top w:val="nil"/>
          <w:left w:val="nil"/>
          <w:bottom w:val="nil"/>
          <w:right w:val="nil"/>
          <w:between w:val="nil"/>
        </w:pBdr>
        <w:spacing w:after="40" w:line="240" w:lineRule="auto"/>
        <w:jc w:val="both"/>
        <w:rPr>
          <w:rFonts w:eastAsia="Arial" w:cstheme="minorHAnsi"/>
          <w:color w:val="000000"/>
          <w:sz w:val="20"/>
          <w:szCs w:val="20"/>
        </w:rPr>
      </w:pPr>
    </w:p>
    <w:p w14:paraId="4CCD5ADE" w14:textId="77777777" w:rsidR="00683C62" w:rsidRPr="002C2C75" w:rsidRDefault="00683C62" w:rsidP="000754C3">
      <w:pPr>
        <w:pBdr>
          <w:top w:val="nil"/>
          <w:left w:val="nil"/>
          <w:bottom w:val="nil"/>
          <w:right w:val="nil"/>
          <w:between w:val="nil"/>
        </w:pBdr>
        <w:spacing w:after="40" w:line="240" w:lineRule="auto"/>
        <w:jc w:val="both"/>
        <w:rPr>
          <w:rFonts w:eastAsia="Arial" w:cstheme="minorHAnsi"/>
          <w:color w:val="000000"/>
          <w:sz w:val="20"/>
          <w:szCs w:val="20"/>
        </w:rPr>
      </w:pPr>
    </w:p>
    <w:p w14:paraId="6169C3EF" w14:textId="77777777" w:rsidR="00683C62" w:rsidRPr="002C2C75" w:rsidRDefault="00683C62" w:rsidP="000754C3">
      <w:pPr>
        <w:pBdr>
          <w:top w:val="nil"/>
          <w:left w:val="nil"/>
          <w:bottom w:val="nil"/>
          <w:right w:val="nil"/>
          <w:between w:val="nil"/>
        </w:pBdr>
        <w:spacing w:after="40" w:line="240" w:lineRule="auto"/>
        <w:jc w:val="both"/>
        <w:rPr>
          <w:rFonts w:eastAsia="Arial" w:cstheme="minorHAnsi"/>
          <w:color w:val="000000"/>
          <w:sz w:val="20"/>
          <w:szCs w:val="20"/>
        </w:rPr>
      </w:pPr>
    </w:p>
    <w:p w14:paraId="46FF3B2A" w14:textId="77777777" w:rsidR="00683C62" w:rsidRPr="002C2C75" w:rsidRDefault="00683C62" w:rsidP="000754C3">
      <w:pPr>
        <w:pBdr>
          <w:top w:val="nil"/>
          <w:left w:val="nil"/>
          <w:bottom w:val="nil"/>
          <w:right w:val="nil"/>
          <w:between w:val="nil"/>
        </w:pBdr>
        <w:spacing w:after="40" w:line="240" w:lineRule="auto"/>
        <w:jc w:val="both"/>
        <w:rPr>
          <w:rFonts w:eastAsia="Arial" w:cstheme="minorHAnsi"/>
          <w:color w:val="000000"/>
          <w:sz w:val="20"/>
          <w:szCs w:val="20"/>
        </w:rPr>
      </w:pPr>
    </w:p>
    <w:p w14:paraId="4CBE93B8" w14:textId="318E9BE4" w:rsidR="000D0D2D" w:rsidRPr="002C2C75" w:rsidRDefault="000D0D2D" w:rsidP="000754C3">
      <w:pPr>
        <w:pBdr>
          <w:top w:val="nil"/>
          <w:left w:val="nil"/>
          <w:bottom w:val="nil"/>
          <w:right w:val="nil"/>
          <w:between w:val="nil"/>
        </w:pBdr>
        <w:spacing w:after="40" w:line="240" w:lineRule="auto"/>
        <w:jc w:val="both"/>
        <w:rPr>
          <w:rFonts w:eastAsia="Arial" w:cstheme="minorHAnsi"/>
          <w:color w:val="000000"/>
          <w:sz w:val="20"/>
          <w:szCs w:val="20"/>
        </w:rPr>
      </w:pPr>
      <w:r w:rsidRPr="002C2C75">
        <w:rPr>
          <w:rFonts w:eastAsia="Arial" w:cstheme="minorHAnsi"/>
          <w:color w:val="000000"/>
          <w:sz w:val="20"/>
          <w:szCs w:val="20"/>
        </w:rPr>
        <w:t xml:space="preserve">Table 9: Training of health workers and community members (2019-2023) (Source: SM&amp;E /NMCP database, 2023) </w:t>
      </w:r>
    </w:p>
    <w:tbl>
      <w:tblPr>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6411"/>
        <w:gridCol w:w="1174"/>
        <w:gridCol w:w="1984"/>
      </w:tblGrid>
      <w:tr w:rsidR="000D0D2D" w:rsidRPr="002C2C75" w14:paraId="10EB8614" w14:textId="77777777" w:rsidTr="001B7A18">
        <w:trPr>
          <w:cantSplit/>
        </w:trPr>
        <w:tc>
          <w:tcPr>
            <w:tcW w:w="625" w:type="dxa"/>
          </w:tcPr>
          <w:p w14:paraId="4635DE8C" w14:textId="77777777" w:rsidR="000D0D2D" w:rsidRPr="002C2C75" w:rsidRDefault="000D0D2D" w:rsidP="000754C3">
            <w:pPr>
              <w:keepNext/>
              <w:spacing w:after="0" w:line="240" w:lineRule="auto"/>
              <w:ind w:left="58" w:right="58"/>
              <w:rPr>
                <w:rFonts w:eastAsia="Arial" w:cstheme="minorHAnsi"/>
                <w:color w:val="404040"/>
                <w:sz w:val="16"/>
                <w:szCs w:val="16"/>
              </w:rPr>
            </w:pPr>
          </w:p>
        </w:tc>
        <w:tc>
          <w:tcPr>
            <w:tcW w:w="6411" w:type="dxa"/>
          </w:tcPr>
          <w:p w14:paraId="1BA77F7F"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Item</w:t>
            </w:r>
          </w:p>
        </w:tc>
        <w:tc>
          <w:tcPr>
            <w:tcW w:w="1174" w:type="dxa"/>
          </w:tcPr>
          <w:p w14:paraId="03D2EE6D" w14:textId="1E7803AC"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Number trained</w:t>
            </w:r>
          </w:p>
        </w:tc>
        <w:tc>
          <w:tcPr>
            <w:tcW w:w="1984" w:type="dxa"/>
          </w:tcPr>
          <w:p w14:paraId="4E11836B"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Year of training</w:t>
            </w:r>
          </w:p>
        </w:tc>
      </w:tr>
      <w:tr w:rsidR="000D0D2D" w:rsidRPr="002C2C75" w14:paraId="0E5A6A10" w14:textId="77777777" w:rsidTr="001B7A18">
        <w:trPr>
          <w:cantSplit/>
        </w:trPr>
        <w:tc>
          <w:tcPr>
            <w:tcW w:w="625" w:type="dxa"/>
          </w:tcPr>
          <w:p w14:paraId="36835773"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1</w:t>
            </w:r>
          </w:p>
        </w:tc>
        <w:tc>
          <w:tcPr>
            <w:tcW w:w="6411" w:type="dxa"/>
          </w:tcPr>
          <w:p w14:paraId="67BEBABB"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Training in case management of health care practitioners (doctors and nurses) an on-job training</w:t>
            </w:r>
          </w:p>
        </w:tc>
        <w:tc>
          <w:tcPr>
            <w:tcW w:w="1174" w:type="dxa"/>
          </w:tcPr>
          <w:p w14:paraId="1B0E7D9D"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10607</w:t>
            </w:r>
          </w:p>
        </w:tc>
        <w:tc>
          <w:tcPr>
            <w:tcW w:w="1984" w:type="dxa"/>
          </w:tcPr>
          <w:p w14:paraId="15F5B62C"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 xml:space="preserve">2019 -2023  </w:t>
            </w:r>
          </w:p>
        </w:tc>
      </w:tr>
      <w:tr w:rsidR="000D0D2D" w:rsidRPr="002C2C75" w14:paraId="73E8567F" w14:textId="77777777" w:rsidTr="001B7A18">
        <w:trPr>
          <w:cantSplit/>
        </w:trPr>
        <w:tc>
          <w:tcPr>
            <w:tcW w:w="625" w:type="dxa"/>
          </w:tcPr>
          <w:p w14:paraId="3DA3A481"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2</w:t>
            </w:r>
          </w:p>
        </w:tc>
        <w:tc>
          <w:tcPr>
            <w:tcW w:w="6411" w:type="dxa"/>
          </w:tcPr>
          <w:p w14:paraId="49EAC7A6"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Training APSs in malaria diagnosis and treatment</w:t>
            </w:r>
          </w:p>
        </w:tc>
        <w:tc>
          <w:tcPr>
            <w:tcW w:w="1174" w:type="dxa"/>
          </w:tcPr>
          <w:p w14:paraId="4EF9FC87" w14:textId="77777777" w:rsidR="000D0D2D" w:rsidRPr="002C2C75" w:rsidRDefault="000D0D2D" w:rsidP="000754C3">
            <w:pPr>
              <w:keepNext/>
              <w:spacing w:after="0" w:line="240" w:lineRule="auto"/>
              <w:ind w:left="58" w:right="58"/>
              <w:rPr>
                <w:rFonts w:eastAsia="Arial" w:cstheme="minorHAnsi"/>
                <w:color w:val="FF0000"/>
                <w:sz w:val="16"/>
                <w:szCs w:val="16"/>
              </w:rPr>
            </w:pPr>
            <w:r w:rsidRPr="002C2C75">
              <w:rPr>
                <w:rFonts w:eastAsia="Arial" w:cstheme="minorHAnsi"/>
                <w:color w:val="404040"/>
                <w:sz w:val="16"/>
                <w:szCs w:val="16"/>
              </w:rPr>
              <w:t>7329</w:t>
            </w:r>
          </w:p>
        </w:tc>
        <w:tc>
          <w:tcPr>
            <w:tcW w:w="1984" w:type="dxa"/>
          </w:tcPr>
          <w:p w14:paraId="67599CFC"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2020, 2022</w:t>
            </w:r>
          </w:p>
        </w:tc>
      </w:tr>
      <w:tr w:rsidR="000D0D2D" w:rsidRPr="002C2C75" w14:paraId="46CAA690" w14:textId="77777777" w:rsidTr="001B7A18">
        <w:trPr>
          <w:cantSplit/>
        </w:trPr>
        <w:tc>
          <w:tcPr>
            <w:tcW w:w="625" w:type="dxa"/>
          </w:tcPr>
          <w:p w14:paraId="334B3601"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3</w:t>
            </w:r>
          </w:p>
        </w:tc>
        <w:tc>
          <w:tcPr>
            <w:tcW w:w="6411" w:type="dxa"/>
          </w:tcPr>
          <w:p w14:paraId="6763A58B"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Training in laboratory techniques: exploration data analysis (EDA), training of trainers on WHO External Competency Assessment for Malaria Microscopy (ECAMM)</w:t>
            </w:r>
          </w:p>
        </w:tc>
        <w:tc>
          <w:tcPr>
            <w:tcW w:w="1174" w:type="dxa"/>
          </w:tcPr>
          <w:p w14:paraId="74D2B5E3"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312</w:t>
            </w:r>
          </w:p>
        </w:tc>
        <w:tc>
          <w:tcPr>
            <w:tcW w:w="1984" w:type="dxa"/>
          </w:tcPr>
          <w:p w14:paraId="5298B0FC"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2019 - 2023</w:t>
            </w:r>
          </w:p>
        </w:tc>
      </w:tr>
      <w:tr w:rsidR="000D0D2D" w:rsidRPr="002C2C75" w14:paraId="69375E4B" w14:textId="77777777" w:rsidTr="001B7A18">
        <w:trPr>
          <w:cantSplit/>
        </w:trPr>
        <w:tc>
          <w:tcPr>
            <w:tcW w:w="625" w:type="dxa"/>
          </w:tcPr>
          <w:p w14:paraId="6764B52E"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4</w:t>
            </w:r>
          </w:p>
        </w:tc>
        <w:tc>
          <w:tcPr>
            <w:tcW w:w="6411" w:type="dxa"/>
          </w:tcPr>
          <w:p w14:paraId="1D87A1DF"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Training in SBCC (teachers and volunteers including Civil society) countrywide</w:t>
            </w:r>
          </w:p>
        </w:tc>
        <w:tc>
          <w:tcPr>
            <w:tcW w:w="1174" w:type="dxa"/>
          </w:tcPr>
          <w:p w14:paraId="77599AA9"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116,121</w:t>
            </w:r>
          </w:p>
        </w:tc>
        <w:tc>
          <w:tcPr>
            <w:tcW w:w="1984" w:type="dxa"/>
          </w:tcPr>
          <w:p w14:paraId="438F3D81"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2019-2023</w:t>
            </w:r>
          </w:p>
        </w:tc>
      </w:tr>
      <w:tr w:rsidR="000D0D2D" w:rsidRPr="002C2C75" w14:paraId="1D7F567D" w14:textId="77777777" w:rsidTr="001B7A18">
        <w:trPr>
          <w:cantSplit/>
        </w:trPr>
        <w:tc>
          <w:tcPr>
            <w:tcW w:w="625" w:type="dxa"/>
          </w:tcPr>
          <w:p w14:paraId="0C295AAF"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5</w:t>
            </w:r>
          </w:p>
        </w:tc>
        <w:tc>
          <w:tcPr>
            <w:tcW w:w="6411" w:type="dxa"/>
          </w:tcPr>
          <w:p w14:paraId="2988B395"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Training in M&amp;E, Data QA and Data audit, Epidemic preparedness, and response</w:t>
            </w:r>
          </w:p>
        </w:tc>
        <w:tc>
          <w:tcPr>
            <w:tcW w:w="1174" w:type="dxa"/>
          </w:tcPr>
          <w:p w14:paraId="7C5E23F5"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815</w:t>
            </w:r>
          </w:p>
        </w:tc>
        <w:tc>
          <w:tcPr>
            <w:tcW w:w="1984" w:type="dxa"/>
          </w:tcPr>
          <w:p w14:paraId="42965D1F"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2021-2023</w:t>
            </w:r>
          </w:p>
        </w:tc>
      </w:tr>
      <w:tr w:rsidR="000D0D2D" w:rsidRPr="002C2C75" w14:paraId="0D82FB31" w14:textId="77777777" w:rsidTr="001B7A18">
        <w:trPr>
          <w:cantSplit/>
        </w:trPr>
        <w:tc>
          <w:tcPr>
            <w:tcW w:w="625" w:type="dxa"/>
          </w:tcPr>
          <w:p w14:paraId="3925C64A"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6</w:t>
            </w:r>
          </w:p>
        </w:tc>
        <w:tc>
          <w:tcPr>
            <w:tcW w:w="6411" w:type="dxa"/>
          </w:tcPr>
          <w:p w14:paraId="7934C64B"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Training on IRS for spray operators, supervisors, and SBC teams for the 6 provinces</w:t>
            </w:r>
          </w:p>
        </w:tc>
        <w:tc>
          <w:tcPr>
            <w:tcW w:w="1174" w:type="dxa"/>
          </w:tcPr>
          <w:p w14:paraId="78A81B09"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8630</w:t>
            </w:r>
          </w:p>
        </w:tc>
        <w:tc>
          <w:tcPr>
            <w:tcW w:w="1984" w:type="dxa"/>
          </w:tcPr>
          <w:p w14:paraId="642228C5"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2022</w:t>
            </w:r>
          </w:p>
        </w:tc>
      </w:tr>
      <w:tr w:rsidR="000D0D2D" w:rsidRPr="002C2C75" w14:paraId="49EAD959" w14:textId="77777777" w:rsidTr="001B7A18">
        <w:trPr>
          <w:cantSplit/>
        </w:trPr>
        <w:tc>
          <w:tcPr>
            <w:tcW w:w="625" w:type="dxa"/>
          </w:tcPr>
          <w:p w14:paraId="74EB304F"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7</w:t>
            </w:r>
          </w:p>
        </w:tc>
        <w:tc>
          <w:tcPr>
            <w:tcW w:w="6411" w:type="dxa"/>
          </w:tcPr>
          <w:p w14:paraId="7DA938A9"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Training in Mass Drug administration (MDA):</w:t>
            </w:r>
          </w:p>
        </w:tc>
        <w:tc>
          <w:tcPr>
            <w:tcW w:w="1174" w:type="dxa"/>
          </w:tcPr>
          <w:p w14:paraId="5FEFB63C"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1257</w:t>
            </w:r>
          </w:p>
        </w:tc>
        <w:tc>
          <w:tcPr>
            <w:tcW w:w="1984" w:type="dxa"/>
          </w:tcPr>
          <w:p w14:paraId="0A2F0BF8"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2022 – 2023</w:t>
            </w:r>
          </w:p>
        </w:tc>
      </w:tr>
      <w:tr w:rsidR="000D0D2D" w:rsidRPr="002C2C75" w14:paraId="19D42332" w14:textId="77777777" w:rsidTr="001B7A18">
        <w:trPr>
          <w:cantSplit/>
        </w:trPr>
        <w:tc>
          <w:tcPr>
            <w:tcW w:w="625" w:type="dxa"/>
          </w:tcPr>
          <w:p w14:paraId="51A10445"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8</w:t>
            </w:r>
          </w:p>
        </w:tc>
        <w:tc>
          <w:tcPr>
            <w:tcW w:w="6411" w:type="dxa"/>
          </w:tcPr>
          <w:p w14:paraId="292DBC36"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Training in ITNs</w:t>
            </w:r>
          </w:p>
        </w:tc>
        <w:tc>
          <w:tcPr>
            <w:tcW w:w="1174" w:type="dxa"/>
          </w:tcPr>
          <w:p w14:paraId="5A9A21BB"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75253</w:t>
            </w:r>
          </w:p>
        </w:tc>
        <w:tc>
          <w:tcPr>
            <w:tcW w:w="1984" w:type="dxa"/>
          </w:tcPr>
          <w:p w14:paraId="660CF306"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2020-2022</w:t>
            </w:r>
          </w:p>
        </w:tc>
      </w:tr>
      <w:tr w:rsidR="000D0D2D" w:rsidRPr="002C2C75" w14:paraId="4AAFAF37" w14:textId="77777777" w:rsidTr="001B7A18">
        <w:trPr>
          <w:cantSplit/>
        </w:trPr>
        <w:tc>
          <w:tcPr>
            <w:tcW w:w="625" w:type="dxa"/>
          </w:tcPr>
          <w:p w14:paraId="7A56EBDC"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9</w:t>
            </w:r>
          </w:p>
        </w:tc>
        <w:tc>
          <w:tcPr>
            <w:tcW w:w="6411" w:type="dxa"/>
          </w:tcPr>
          <w:p w14:paraId="73A347B0"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Training in SMC</w:t>
            </w:r>
          </w:p>
        </w:tc>
        <w:tc>
          <w:tcPr>
            <w:tcW w:w="1174" w:type="dxa"/>
          </w:tcPr>
          <w:p w14:paraId="5A021303"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1200</w:t>
            </w:r>
          </w:p>
        </w:tc>
        <w:tc>
          <w:tcPr>
            <w:tcW w:w="1984" w:type="dxa"/>
          </w:tcPr>
          <w:p w14:paraId="1CA03F78"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2020-2021</w:t>
            </w:r>
          </w:p>
        </w:tc>
      </w:tr>
      <w:tr w:rsidR="000D0D2D" w:rsidRPr="002C2C75" w14:paraId="4ECDF225" w14:textId="77777777" w:rsidTr="001B7A18">
        <w:trPr>
          <w:cantSplit/>
        </w:trPr>
        <w:tc>
          <w:tcPr>
            <w:tcW w:w="625" w:type="dxa"/>
          </w:tcPr>
          <w:p w14:paraId="50E1BBE7"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10</w:t>
            </w:r>
          </w:p>
        </w:tc>
        <w:tc>
          <w:tcPr>
            <w:tcW w:w="6411" w:type="dxa"/>
          </w:tcPr>
          <w:p w14:paraId="7EF26E79" w14:textId="2C6D74B2"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Training in IPTi</w:t>
            </w:r>
            <w:r w:rsidR="00A4690D" w:rsidRPr="002C2C75">
              <w:rPr>
                <w:rFonts w:eastAsia="Arial" w:cstheme="minorHAnsi"/>
                <w:color w:val="404040"/>
                <w:sz w:val="16"/>
                <w:szCs w:val="16"/>
              </w:rPr>
              <w:t>/PMC</w:t>
            </w:r>
          </w:p>
        </w:tc>
        <w:tc>
          <w:tcPr>
            <w:tcW w:w="1174" w:type="dxa"/>
          </w:tcPr>
          <w:p w14:paraId="358504D4"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330</w:t>
            </w:r>
          </w:p>
        </w:tc>
        <w:tc>
          <w:tcPr>
            <w:tcW w:w="1984" w:type="dxa"/>
          </w:tcPr>
          <w:p w14:paraId="4B171002"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2022/2023</w:t>
            </w:r>
          </w:p>
        </w:tc>
      </w:tr>
      <w:tr w:rsidR="000D0D2D" w:rsidRPr="002C2C75" w14:paraId="4B1849C3" w14:textId="77777777" w:rsidTr="001B7A18">
        <w:trPr>
          <w:cantSplit/>
        </w:trPr>
        <w:tc>
          <w:tcPr>
            <w:tcW w:w="625" w:type="dxa"/>
          </w:tcPr>
          <w:p w14:paraId="4DCF51FA"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11</w:t>
            </w:r>
          </w:p>
        </w:tc>
        <w:tc>
          <w:tcPr>
            <w:tcW w:w="6411" w:type="dxa"/>
          </w:tcPr>
          <w:p w14:paraId="2588CA2D"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Training in Programme management at central, provincial and district levels</w:t>
            </w:r>
          </w:p>
        </w:tc>
        <w:tc>
          <w:tcPr>
            <w:tcW w:w="1174" w:type="dxa"/>
          </w:tcPr>
          <w:p w14:paraId="0BC0D879"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6786</w:t>
            </w:r>
          </w:p>
        </w:tc>
        <w:tc>
          <w:tcPr>
            <w:tcW w:w="1984" w:type="dxa"/>
          </w:tcPr>
          <w:p w14:paraId="003D4F4F"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2019 - 2021</w:t>
            </w:r>
          </w:p>
        </w:tc>
      </w:tr>
      <w:tr w:rsidR="000D0D2D" w:rsidRPr="002C2C75" w14:paraId="1BEE1CC5" w14:textId="77777777" w:rsidTr="001B7A18">
        <w:trPr>
          <w:cantSplit/>
        </w:trPr>
        <w:tc>
          <w:tcPr>
            <w:tcW w:w="625" w:type="dxa"/>
          </w:tcPr>
          <w:p w14:paraId="7DD2A34A"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12</w:t>
            </w:r>
          </w:p>
        </w:tc>
        <w:tc>
          <w:tcPr>
            <w:tcW w:w="6411" w:type="dxa"/>
          </w:tcPr>
          <w:p w14:paraId="14CF5A3A"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Training in genomic surveillance (or genomic sequencing)</w:t>
            </w:r>
          </w:p>
        </w:tc>
        <w:tc>
          <w:tcPr>
            <w:tcW w:w="1174" w:type="dxa"/>
          </w:tcPr>
          <w:p w14:paraId="71C51EC9"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54</w:t>
            </w:r>
          </w:p>
        </w:tc>
        <w:tc>
          <w:tcPr>
            <w:tcW w:w="1984" w:type="dxa"/>
          </w:tcPr>
          <w:p w14:paraId="323AFC4E" w14:textId="77777777" w:rsidR="000D0D2D" w:rsidRPr="002C2C75" w:rsidRDefault="000D0D2D" w:rsidP="000754C3">
            <w:pPr>
              <w:keepNext/>
              <w:spacing w:after="0" w:line="240" w:lineRule="auto"/>
              <w:ind w:left="58" w:right="58"/>
              <w:rPr>
                <w:rFonts w:eastAsia="Arial" w:cstheme="minorHAnsi"/>
                <w:color w:val="404040"/>
                <w:sz w:val="16"/>
                <w:szCs w:val="16"/>
              </w:rPr>
            </w:pPr>
            <w:r w:rsidRPr="002C2C75">
              <w:rPr>
                <w:rFonts w:eastAsia="Arial" w:cstheme="minorHAnsi"/>
                <w:color w:val="404040"/>
                <w:sz w:val="16"/>
                <w:szCs w:val="16"/>
              </w:rPr>
              <w:t>2022</w:t>
            </w:r>
          </w:p>
        </w:tc>
      </w:tr>
    </w:tbl>
    <w:p w14:paraId="3CB8A5A5" w14:textId="31C54DC1" w:rsidR="005E25BF" w:rsidRPr="002C2C75" w:rsidRDefault="005E25BF" w:rsidP="000754C3">
      <w:pPr>
        <w:pBdr>
          <w:top w:val="nil"/>
          <w:left w:val="nil"/>
          <w:bottom w:val="nil"/>
          <w:right w:val="nil"/>
          <w:between w:val="nil"/>
        </w:pBdr>
        <w:spacing w:before="120" w:after="40" w:line="240" w:lineRule="auto"/>
        <w:rPr>
          <w:rFonts w:eastAsia="Arial" w:cstheme="minorHAnsi"/>
          <w:b/>
          <w:bCs/>
          <w:color w:val="000000"/>
        </w:rPr>
      </w:pPr>
      <w:r w:rsidRPr="002C2C75">
        <w:rPr>
          <w:rFonts w:eastAsia="Arial" w:cstheme="minorHAnsi"/>
          <w:b/>
          <w:bCs/>
          <w:color w:val="000000"/>
        </w:rPr>
        <w:t>Cross-cutting RSSH Context</w:t>
      </w:r>
    </w:p>
    <w:p w14:paraId="3C183186" w14:textId="1E6C648B" w:rsidR="005E25BF" w:rsidRPr="002C2C75" w:rsidRDefault="005E25BF" w:rsidP="005E25BF">
      <w:pPr>
        <w:pBdr>
          <w:top w:val="nil"/>
          <w:left w:val="nil"/>
          <w:bottom w:val="nil"/>
          <w:right w:val="nil"/>
          <w:between w:val="nil"/>
        </w:pBdr>
        <w:spacing w:line="240" w:lineRule="auto"/>
        <w:jc w:val="both"/>
        <w:rPr>
          <w:rFonts w:eastAsia="Arial" w:cstheme="minorHAnsi"/>
          <w:color w:val="000000"/>
        </w:rPr>
      </w:pPr>
      <w:r w:rsidRPr="002C2C75">
        <w:rPr>
          <w:rFonts w:eastAsia="Arial" w:cstheme="minorHAnsi"/>
          <w:color w:val="000000"/>
        </w:rPr>
        <w:t>Like in many other countries, the COVID 19 pandemic had a considerable impact on the Mozambican health systems by diverting human and financial resources to tackle this public health emergency, and slowing down implementation of planned RSSH investments. In addition, natural disasters that have cyclically affected the country and resulting in destructions of key infra-structures like health facilities and medicines warehouses further stress the health systems. Lastly, but not least, the armed conflict in the northern provinces has demanded new service delivery models for displaced people and reconstruction of destroyed infrastructures. As part of the response, some interventions to increase system capacity to prepare and respond to these shocks are anticipated in this funding request. Investments in laboratory and community systems surveillance, and last mile supply chain are just few examples.</w:t>
      </w:r>
    </w:p>
    <w:p w14:paraId="047567C7" w14:textId="131048BB" w:rsidR="009D656D" w:rsidRPr="002C2C75" w:rsidRDefault="009D656D">
      <w:pPr>
        <w:pStyle w:val="Heading2"/>
        <w:numPr>
          <w:ilvl w:val="1"/>
          <w:numId w:val="13"/>
        </w:numPr>
      </w:pPr>
      <w:r w:rsidRPr="002C2C75">
        <w:t>Lessons Learned</w:t>
      </w:r>
    </w:p>
    <w:p w14:paraId="66DA3DF6" w14:textId="4351AB27" w:rsidR="009D656D" w:rsidRPr="002C2C75" w:rsidRDefault="000050E1" w:rsidP="00B97E2B">
      <w:pPr>
        <w:pStyle w:val="BodyText"/>
        <w:rPr>
          <w:lang w:val="en-US"/>
        </w:rPr>
      </w:pPr>
      <w:r w:rsidRPr="002C2C75">
        <w:rPr>
          <w:lang w:val="en-US"/>
        </w:rPr>
        <w:t>D</w:t>
      </w:r>
      <w:r w:rsidR="009D656D" w:rsidRPr="002C2C75">
        <w:rPr>
          <w:lang w:val="en-US"/>
        </w:rPr>
        <w:t xml:space="preserve">escribe the main lessons learned from current programs. </w:t>
      </w:r>
    </w:p>
    <w:p w14:paraId="5AAB8E31" w14:textId="77777777" w:rsidR="000D0D2D" w:rsidRPr="002C2C75" w:rsidRDefault="000D0D2D" w:rsidP="000D0D2D">
      <w:pPr>
        <w:pStyle w:val="BodyText"/>
        <w:rPr>
          <w:b/>
          <w:bCs/>
          <w:i/>
          <w:iCs/>
          <w:sz w:val="22"/>
          <w:szCs w:val="20"/>
          <w:lang w:val="en-US"/>
        </w:rPr>
      </w:pPr>
      <w:r w:rsidRPr="002C2C75">
        <w:rPr>
          <w:b/>
          <w:bCs/>
          <w:i/>
          <w:iCs/>
          <w:sz w:val="22"/>
          <w:szCs w:val="20"/>
          <w:lang w:val="en-US"/>
        </w:rPr>
        <w:t>Case management strengthening</w:t>
      </w:r>
    </w:p>
    <w:p w14:paraId="027ADE59" w14:textId="77777777" w:rsidR="000D0D2D" w:rsidRPr="002C2C75" w:rsidRDefault="000D0D2D">
      <w:pPr>
        <w:pStyle w:val="BodyText"/>
        <w:numPr>
          <w:ilvl w:val="0"/>
          <w:numId w:val="55"/>
        </w:numPr>
        <w:jc w:val="both"/>
        <w:rPr>
          <w:b/>
          <w:bCs/>
          <w:i/>
          <w:iCs/>
          <w:sz w:val="22"/>
          <w:szCs w:val="20"/>
          <w:lang w:val="en-US"/>
        </w:rPr>
      </w:pPr>
      <w:r w:rsidRPr="002C2C75">
        <w:rPr>
          <w:b/>
          <w:bCs/>
          <w:sz w:val="22"/>
          <w:szCs w:val="20"/>
          <w:lang w:val="en-US"/>
        </w:rPr>
        <w:t xml:space="preserve">Supply chain management remains moderately strong at the facility level, but it continues to be challenging at community level – </w:t>
      </w:r>
      <w:r w:rsidRPr="002C2C75">
        <w:rPr>
          <w:sz w:val="22"/>
          <w:szCs w:val="20"/>
          <w:lang w:val="en-US"/>
        </w:rPr>
        <w:t xml:space="preserve">Malaria commodities were found to continue to be widely available at health facilities, with the proportion of facilities without RDT stock outs at 97% in 2021 while the proportion of facilities without ACT stock outs remained stable at 93%. However, at community level, stock outs remain a large challenge with important programmatic implications: in four of six provinces, over 50% of APSs reported stockouts of AL (MPR Report, p. 106.). Changes to APS supply chain and stocking practices are under discussion with the Central Medical Store (PSM) and the National APS Program in the RSSH funding request, as fixing this problem is critical to the functioning of the community cadre. </w:t>
      </w:r>
    </w:p>
    <w:p w14:paraId="3EB0A911" w14:textId="1C3F791F" w:rsidR="000D0D2D" w:rsidRPr="002C2C75" w:rsidRDefault="000D0D2D">
      <w:pPr>
        <w:pStyle w:val="BodyText"/>
        <w:numPr>
          <w:ilvl w:val="0"/>
          <w:numId w:val="55"/>
        </w:numPr>
        <w:jc w:val="both"/>
        <w:rPr>
          <w:i/>
          <w:iCs/>
          <w:sz w:val="22"/>
          <w:szCs w:val="20"/>
          <w:lang w:val="en-US"/>
        </w:rPr>
      </w:pPr>
      <w:r w:rsidRPr="002C2C75">
        <w:rPr>
          <w:b/>
          <w:bCs/>
          <w:sz w:val="22"/>
          <w:szCs w:val="20"/>
          <w:lang w:val="en-US"/>
        </w:rPr>
        <w:t xml:space="preserve">Quality testing of suspected cases has improved, but it remains to be the biggest gap in the cascade of correct fever management - </w:t>
      </w:r>
      <w:r w:rsidRPr="002C2C75">
        <w:rPr>
          <w:sz w:val="22"/>
          <w:szCs w:val="20"/>
          <w:lang w:val="en-US"/>
        </w:rPr>
        <w:t xml:space="preserve">as described under section 1.3, there is still under-testing in health facilities, though with some noted improvement. During the current grant, the NMCP began to implement the integrated malaria supervision tool, which is now a mobile-based checklist that includes case management, malaria in pregnancy, DQA, pharmacy, and SBCC activities with associated visualizations. In this proposed grant, the NMCP will continue to strengthen implementation of the integrated supervision visits, using this tool to inform data-driven targeting of supervision to </w:t>
      </w:r>
      <w:r w:rsidRPr="00ED1300">
        <w:rPr>
          <w:sz w:val="22"/>
          <w:lang w:val="en-US"/>
        </w:rPr>
        <w:t>improve quality in the lowest performing facilities and therefore improve value-for-money.</w:t>
      </w:r>
      <w:r w:rsidR="00ED1300" w:rsidRPr="00ED1300">
        <w:rPr>
          <w:sz w:val="22"/>
          <w:lang w:val="en-US"/>
        </w:rPr>
        <w:t xml:space="preserve"> </w:t>
      </w:r>
      <w:bookmarkStart w:id="2" w:name="_Hlk137022148"/>
      <w:r w:rsidR="00ED1300" w:rsidRPr="00ED1300">
        <w:rPr>
          <w:rFonts w:cstheme="minorHAnsi"/>
          <w:sz w:val="22"/>
        </w:rPr>
        <w:t>Implementation of supervision has been hampered by challenges with expenditure and funding flow within government</w:t>
      </w:r>
      <w:r w:rsidR="00ED1300">
        <w:rPr>
          <w:rFonts w:cstheme="minorHAnsi"/>
          <w:sz w:val="22"/>
        </w:rPr>
        <w:t>, which must be improved</w:t>
      </w:r>
      <w:r w:rsidR="00ED1300" w:rsidRPr="00ED1300">
        <w:rPr>
          <w:rFonts w:cstheme="minorHAnsi"/>
          <w:sz w:val="22"/>
        </w:rPr>
        <w:t xml:space="preserve">. </w:t>
      </w:r>
      <w:r w:rsidR="00ED1300">
        <w:rPr>
          <w:rFonts w:cstheme="minorHAnsi"/>
          <w:sz w:val="22"/>
        </w:rPr>
        <w:t>Understanding of the supervision objectives and methodology have been improved, and NMCP is working closely with civil society and MOH/MEF to overcome the challenges with funding flow.</w:t>
      </w:r>
      <w:bookmarkEnd w:id="2"/>
    </w:p>
    <w:p w14:paraId="1A52B584" w14:textId="77777777" w:rsidR="000D0D2D" w:rsidRPr="002C2C75" w:rsidRDefault="000D0D2D" w:rsidP="000D0D2D">
      <w:pPr>
        <w:pStyle w:val="BodyText"/>
        <w:tabs>
          <w:tab w:val="center" w:pos="5102"/>
        </w:tabs>
        <w:rPr>
          <w:b/>
          <w:bCs/>
          <w:i/>
          <w:iCs/>
          <w:sz w:val="22"/>
          <w:szCs w:val="20"/>
          <w:lang w:val="en-US"/>
        </w:rPr>
      </w:pPr>
      <w:r w:rsidRPr="002C2C75">
        <w:rPr>
          <w:b/>
          <w:bCs/>
          <w:i/>
          <w:iCs/>
          <w:sz w:val="22"/>
          <w:szCs w:val="20"/>
          <w:lang w:val="en-US"/>
        </w:rPr>
        <w:t>SBCC to improve intervention uptake</w:t>
      </w:r>
    </w:p>
    <w:p w14:paraId="720A463E" w14:textId="77777777" w:rsidR="000D0D2D" w:rsidRPr="002C2C75" w:rsidRDefault="000D0D2D">
      <w:pPr>
        <w:pStyle w:val="BodyText"/>
        <w:numPr>
          <w:ilvl w:val="0"/>
          <w:numId w:val="56"/>
        </w:numPr>
        <w:spacing w:after="0"/>
        <w:rPr>
          <w:sz w:val="22"/>
          <w:szCs w:val="20"/>
          <w:lang w:val="en-US"/>
        </w:rPr>
      </w:pPr>
      <w:r w:rsidRPr="002C2C75">
        <w:rPr>
          <w:b/>
          <w:bCs/>
          <w:sz w:val="22"/>
          <w:szCs w:val="20"/>
          <w:lang w:val="en-US"/>
        </w:rPr>
        <w:t>Without survey data, updates on SBCC outcomes is lacking; however, the MPR noted key lessons for improving SBCC implementation</w:t>
      </w:r>
    </w:p>
    <w:p w14:paraId="0F35A8B2" w14:textId="77777777" w:rsidR="000D0D2D" w:rsidRPr="002C2C75" w:rsidRDefault="000D0D2D">
      <w:pPr>
        <w:pStyle w:val="BodyText"/>
        <w:numPr>
          <w:ilvl w:val="1"/>
          <w:numId w:val="56"/>
        </w:numPr>
        <w:spacing w:after="0"/>
        <w:rPr>
          <w:sz w:val="22"/>
          <w:szCs w:val="20"/>
          <w:lang w:val="en-US"/>
        </w:rPr>
      </w:pPr>
      <w:r w:rsidRPr="002C2C75">
        <w:rPr>
          <w:sz w:val="22"/>
          <w:szCs w:val="20"/>
          <w:lang w:val="en-US"/>
        </w:rPr>
        <w:t>The targeting of specific districts for SBCC has led to gaps in activities within important high burden provinces, and thus all districts will be included in SBCC activities in this request.</w:t>
      </w:r>
    </w:p>
    <w:p w14:paraId="189564FF" w14:textId="6184FD24" w:rsidR="000D0D2D" w:rsidRDefault="000D0D2D">
      <w:pPr>
        <w:pStyle w:val="BodyText"/>
        <w:numPr>
          <w:ilvl w:val="1"/>
          <w:numId w:val="56"/>
        </w:numPr>
        <w:spacing w:after="0"/>
        <w:rPr>
          <w:sz w:val="22"/>
          <w:szCs w:val="20"/>
          <w:lang w:val="en-US"/>
        </w:rPr>
      </w:pPr>
      <w:r w:rsidRPr="002C2C75">
        <w:rPr>
          <w:sz w:val="22"/>
          <w:szCs w:val="20"/>
          <w:lang w:val="en-US"/>
        </w:rPr>
        <w:t>The operational intensity of ITN campaign activities has often resulted in a lack of SBCC focus after the campaign; to resolve this, Mozambique will explore changing implementation arrangements to ensure focus on both important activities is maintained.</w:t>
      </w:r>
    </w:p>
    <w:p w14:paraId="45F02F8F" w14:textId="1A806934" w:rsidR="00587D86" w:rsidRPr="002C2C75" w:rsidRDefault="00587D86">
      <w:pPr>
        <w:pStyle w:val="BodyText"/>
        <w:numPr>
          <w:ilvl w:val="1"/>
          <w:numId w:val="56"/>
        </w:numPr>
        <w:spacing w:after="0"/>
        <w:rPr>
          <w:sz w:val="22"/>
          <w:szCs w:val="20"/>
          <w:lang w:val="en-US"/>
        </w:rPr>
      </w:pPr>
      <w:bookmarkStart w:id="3" w:name="_Hlk137022453"/>
      <w:r>
        <w:rPr>
          <w:sz w:val="22"/>
          <w:szCs w:val="20"/>
          <w:lang w:val="en-US"/>
        </w:rPr>
        <w:t>The implementation approach going forward is still being deliberated upon, however looks to account for these lessons, and is committed to be finalized by the SBCC TWG by December 2023.</w:t>
      </w:r>
    </w:p>
    <w:bookmarkEnd w:id="3"/>
    <w:p w14:paraId="3650442F" w14:textId="77777777" w:rsidR="000D0D2D" w:rsidRPr="002C2C75" w:rsidRDefault="000D0D2D" w:rsidP="000D0D2D">
      <w:pPr>
        <w:pStyle w:val="BodyText"/>
        <w:spacing w:before="120"/>
        <w:rPr>
          <w:b/>
          <w:bCs/>
          <w:i/>
          <w:iCs/>
          <w:sz w:val="22"/>
          <w:szCs w:val="20"/>
          <w:lang w:val="en-US"/>
        </w:rPr>
      </w:pPr>
      <w:r w:rsidRPr="002C2C75">
        <w:rPr>
          <w:b/>
          <w:bCs/>
          <w:i/>
          <w:iCs/>
          <w:sz w:val="22"/>
          <w:szCs w:val="20"/>
          <w:lang w:val="en-US"/>
        </w:rPr>
        <w:t>Vector Control</w:t>
      </w:r>
    </w:p>
    <w:p w14:paraId="405485BB" w14:textId="77777777" w:rsidR="000D0D2D" w:rsidRPr="002C2C75" w:rsidRDefault="000D0D2D">
      <w:pPr>
        <w:pStyle w:val="BodyText"/>
        <w:numPr>
          <w:ilvl w:val="0"/>
          <w:numId w:val="56"/>
        </w:numPr>
        <w:rPr>
          <w:sz w:val="22"/>
          <w:szCs w:val="20"/>
          <w:lang w:val="en-US"/>
        </w:rPr>
      </w:pPr>
      <w:r w:rsidRPr="002C2C75">
        <w:rPr>
          <w:b/>
          <w:bCs/>
          <w:sz w:val="22"/>
          <w:szCs w:val="20"/>
          <w:lang w:val="en-US"/>
        </w:rPr>
        <w:t>The vector control intervention mix has improved and been impactful, but it must continue to address key challenges (e.g., resistance, durability) to sustain impact:</w:t>
      </w:r>
    </w:p>
    <w:p w14:paraId="059B3BCA" w14:textId="77777777" w:rsidR="000D0D2D" w:rsidRPr="002C2C75" w:rsidRDefault="000D0D2D">
      <w:pPr>
        <w:pStyle w:val="BodyText"/>
        <w:numPr>
          <w:ilvl w:val="1"/>
          <w:numId w:val="56"/>
        </w:numPr>
        <w:jc w:val="both"/>
        <w:rPr>
          <w:sz w:val="22"/>
          <w:szCs w:val="20"/>
          <w:lang w:val="en-US"/>
        </w:rPr>
      </w:pPr>
      <w:r w:rsidRPr="002C2C75">
        <w:rPr>
          <w:b/>
          <w:bCs/>
          <w:sz w:val="22"/>
          <w:szCs w:val="20"/>
          <w:lang w:val="en-US"/>
        </w:rPr>
        <w:t xml:space="preserve">Continued management of insecticide resistance – </w:t>
      </w:r>
      <w:r w:rsidRPr="002C2C75">
        <w:rPr>
          <w:sz w:val="22"/>
          <w:szCs w:val="20"/>
          <w:lang w:val="en-US"/>
        </w:rPr>
        <w:t xml:space="preserve">the previous funding request highlighted the urgency of managing insecticide resistance, and the New Nets Project (NNP) results summarized in Section 1.3 showed the substantial impact of new tools designed to do just that. Mozambique has continued to respond to robust local data in choosing dual-AI ITNs as the likely future preference, given their superior performance. Though, of course, it will also be open to updated data prior to procurement for the 2025/26 distribution which is budgeted in this funding request. </w:t>
      </w:r>
    </w:p>
    <w:p w14:paraId="2F517A98" w14:textId="77777777" w:rsidR="000D0D2D" w:rsidRPr="002C2C75" w:rsidRDefault="000D0D2D">
      <w:pPr>
        <w:pStyle w:val="BodyText"/>
        <w:numPr>
          <w:ilvl w:val="1"/>
          <w:numId w:val="56"/>
        </w:numPr>
        <w:jc w:val="both"/>
        <w:rPr>
          <w:sz w:val="22"/>
          <w:szCs w:val="20"/>
          <w:lang w:val="en-US"/>
        </w:rPr>
      </w:pPr>
      <w:r w:rsidRPr="002C2C75">
        <w:rPr>
          <w:b/>
          <w:bCs/>
          <w:sz w:val="22"/>
          <w:szCs w:val="20"/>
          <w:lang w:val="en-US"/>
        </w:rPr>
        <w:t xml:space="preserve">ITN quantification – </w:t>
      </w:r>
      <w:r w:rsidRPr="002C2C75">
        <w:rPr>
          <w:sz w:val="22"/>
          <w:szCs w:val="20"/>
          <w:lang w:val="en-US"/>
        </w:rPr>
        <w:t xml:space="preserve">in every campaign, household data from the distribution has shown far larger population figures than the census projections, particularly in the north/central provinces, resulting in LLIN shortages and thus suboptimal ownership. In the last funding request which planned for the current 2022/23 distribution, the percent variance from the 2017 distribution was used to quantify upward from the census projections. The result was substantial improvements in the supply challenge. In planning for the 2025/26 distribution, the program has therefore analyzed the variance across the last 3 campaigns and chosen a reasonable figure for adjustment based on those to sustain this improvement in quantification. During microplanning of the 2025/26 campaign, it is anticipated that the geolocated data from a digitized 2022/23 campaign will serve as an improved foundation for village-level population estimates. </w:t>
      </w:r>
    </w:p>
    <w:p w14:paraId="63D8D443" w14:textId="77777777" w:rsidR="000D0D2D" w:rsidRPr="002C2C75" w:rsidRDefault="000D0D2D">
      <w:pPr>
        <w:pStyle w:val="BodyText"/>
        <w:numPr>
          <w:ilvl w:val="1"/>
          <w:numId w:val="56"/>
        </w:numPr>
        <w:jc w:val="both"/>
        <w:rPr>
          <w:sz w:val="22"/>
          <w:szCs w:val="20"/>
          <w:lang w:val="en-US"/>
        </w:rPr>
      </w:pPr>
      <w:r w:rsidRPr="002C2C75">
        <w:rPr>
          <w:b/>
          <w:bCs/>
          <w:sz w:val="22"/>
          <w:szCs w:val="20"/>
          <w:lang w:val="en-US"/>
        </w:rPr>
        <w:t xml:space="preserve">ITN durability – </w:t>
      </w:r>
      <w:r w:rsidRPr="002C2C75">
        <w:rPr>
          <w:sz w:val="22"/>
          <w:szCs w:val="20"/>
          <w:lang w:val="en-US"/>
        </w:rPr>
        <w:t>as described in Section 1.3, 2018 studies showed that ITN durability is a challenge in Mozambique. In the three provinces studied, a large proportion of LLINs were unusable after 36 months due to physical wear and tear - 41% in Tete, 33% in Nampula, and 28% in Inhambane. Based on this evidence and the modeled predicted impact on malaria of different distribution intervals, the program made a policy decision to decrease the interval between distribution from 3 years to 2.5 years for the 2022/23 campaign. This decision was approved by the Global Fund in July 2021 based on this evidence, and this shortened interval is in the process of being implemented. NNP data showed that this durability challenge still exists for new types of ITNs, though with an advantage shown for dual-AI nets thus far which makes them a superior choice.</w:t>
      </w:r>
    </w:p>
    <w:p w14:paraId="1053ED47" w14:textId="77777777" w:rsidR="000D0D2D" w:rsidRPr="002C2C75" w:rsidRDefault="000D0D2D">
      <w:pPr>
        <w:pStyle w:val="BodyText"/>
        <w:numPr>
          <w:ilvl w:val="1"/>
          <w:numId w:val="56"/>
        </w:numPr>
        <w:jc w:val="both"/>
        <w:rPr>
          <w:sz w:val="22"/>
          <w:szCs w:val="20"/>
          <w:lang w:val="en-US"/>
        </w:rPr>
      </w:pPr>
      <w:r w:rsidRPr="002C2C75">
        <w:rPr>
          <w:b/>
          <w:bCs/>
          <w:sz w:val="22"/>
          <w:szCs w:val="20"/>
          <w:lang w:val="en-US"/>
        </w:rPr>
        <w:t xml:space="preserve">Potential impact of digitization – </w:t>
      </w:r>
      <w:r w:rsidRPr="002C2C75">
        <w:rPr>
          <w:sz w:val="22"/>
          <w:szCs w:val="20"/>
          <w:lang w:val="en-US"/>
        </w:rPr>
        <w:t xml:space="preserve">during the 2022/23 ITN mass campaign, the NMCP began to implement a vision of digitizing campaigns to improve the visibility of data in real time and use that data to improve the coverage and quality of campaigns. While many challenges existed in implementation and many lessons were learned, this effort was considered a resounding success and re-doubled the NMCP’s enthusiasm to envision a future that includes an integrated campaign management platform which can be used for all malaria campaigns. </w:t>
      </w:r>
    </w:p>
    <w:p w14:paraId="7EC27596" w14:textId="77777777" w:rsidR="000D0D2D" w:rsidRPr="002C2C75" w:rsidRDefault="000D0D2D">
      <w:pPr>
        <w:pStyle w:val="BodyText"/>
        <w:numPr>
          <w:ilvl w:val="1"/>
          <w:numId w:val="56"/>
        </w:numPr>
        <w:jc w:val="both"/>
        <w:rPr>
          <w:sz w:val="22"/>
          <w:szCs w:val="20"/>
          <w:lang w:val="en-US"/>
        </w:rPr>
      </w:pPr>
      <w:r w:rsidRPr="002C2C75">
        <w:rPr>
          <w:b/>
          <w:bCs/>
          <w:sz w:val="22"/>
          <w:szCs w:val="20"/>
          <w:lang w:val="en-US"/>
        </w:rPr>
        <w:t xml:space="preserve">Continued reinforcement of usage – </w:t>
      </w:r>
      <w:r w:rsidRPr="002C2C75">
        <w:rPr>
          <w:sz w:val="22"/>
          <w:szCs w:val="20"/>
          <w:lang w:val="en-US"/>
        </w:rPr>
        <w:t>Usage amongst those with access to nets had improved substantially to 82% in 2018 (IIM 2018, p. 42.51). However, delays in surveys make updating this data challenging. Nonetheless, it remains critical to maintain strong messaging to reinforce consistent usage.</w:t>
      </w:r>
    </w:p>
    <w:p w14:paraId="0525EF8F" w14:textId="77777777" w:rsidR="000D0D2D" w:rsidRPr="002C2C75" w:rsidRDefault="000D0D2D">
      <w:pPr>
        <w:pStyle w:val="BodyText"/>
        <w:numPr>
          <w:ilvl w:val="1"/>
          <w:numId w:val="56"/>
        </w:numPr>
        <w:spacing w:after="0"/>
        <w:jc w:val="both"/>
        <w:rPr>
          <w:sz w:val="22"/>
          <w:szCs w:val="20"/>
          <w:lang w:val="en-US"/>
        </w:rPr>
      </w:pPr>
      <w:r w:rsidRPr="002C2C75">
        <w:rPr>
          <w:b/>
          <w:bCs/>
          <w:sz w:val="22"/>
          <w:szCs w:val="20"/>
          <w:lang w:val="en-US"/>
        </w:rPr>
        <w:t xml:space="preserve">IRS has been impactful, but given funding constraints and the rollout of next-generation ITNs, the country must think deeply about the future of IRS </w:t>
      </w:r>
      <w:r w:rsidRPr="002C2C75">
        <w:rPr>
          <w:sz w:val="22"/>
          <w:szCs w:val="20"/>
          <w:lang w:val="en-US"/>
        </w:rPr>
        <w:t xml:space="preserve"> </w:t>
      </w:r>
    </w:p>
    <w:p w14:paraId="1B64025D" w14:textId="77777777" w:rsidR="000D0D2D" w:rsidRPr="002C2C75" w:rsidRDefault="000D0D2D">
      <w:pPr>
        <w:pStyle w:val="BodyText"/>
        <w:numPr>
          <w:ilvl w:val="2"/>
          <w:numId w:val="56"/>
        </w:numPr>
        <w:spacing w:after="0"/>
        <w:jc w:val="both"/>
        <w:rPr>
          <w:sz w:val="22"/>
          <w:szCs w:val="20"/>
          <w:lang w:val="en-US"/>
        </w:rPr>
      </w:pPr>
      <w:r w:rsidRPr="002C2C75">
        <w:rPr>
          <w:sz w:val="22"/>
          <w:szCs w:val="20"/>
          <w:lang w:val="en-US"/>
        </w:rPr>
        <w:t xml:space="preserve">Several analyses and studies in Mozambique, including those highlighted in Section 1.3, have shown the impact of IRS in the country. It is hypothesized that this was particularly true in an era of limited options to manage pyrethroid resistance. However, it is likely that its impact is also due to its non-dependence on daily human behavior as well as its timed annual application.  </w:t>
      </w:r>
    </w:p>
    <w:p w14:paraId="66BB7336" w14:textId="77777777" w:rsidR="000D0D2D" w:rsidRPr="002C2C75" w:rsidRDefault="000D0D2D">
      <w:pPr>
        <w:pStyle w:val="BodyText"/>
        <w:numPr>
          <w:ilvl w:val="2"/>
          <w:numId w:val="56"/>
        </w:numPr>
        <w:spacing w:after="0"/>
        <w:jc w:val="both"/>
        <w:rPr>
          <w:sz w:val="22"/>
          <w:szCs w:val="20"/>
          <w:lang w:val="en-US"/>
        </w:rPr>
      </w:pPr>
      <w:r w:rsidRPr="002C2C75">
        <w:rPr>
          <w:sz w:val="22"/>
          <w:szCs w:val="20"/>
          <w:lang w:val="en-US"/>
        </w:rPr>
        <w:t xml:space="preserve">For these reasons, the NMCP seeks to continue IRS, both in areas of priority for regional and sub-national elimination targets as well as selected high burden areas (see the inclusion in stratification under Core and Core Plus packages). However, IRS is somewhat expensive and unlikely to be as cost-effective as next-generation ITNs, SMC, or PMC. As such, in the constrained fiscal environment the NMCP will begin to reduce the scale of IRS in high-burden areas – monitoring closely the effects of withdrawal to avoid resurgence. </w:t>
      </w:r>
    </w:p>
    <w:p w14:paraId="403FDF1F" w14:textId="77777777" w:rsidR="000D0D2D" w:rsidRPr="002C2C75" w:rsidRDefault="000D0D2D" w:rsidP="000D0D2D">
      <w:pPr>
        <w:pStyle w:val="BodyText"/>
        <w:spacing w:after="0"/>
        <w:ind w:left="2160"/>
        <w:jc w:val="both"/>
        <w:rPr>
          <w:sz w:val="22"/>
          <w:szCs w:val="20"/>
          <w:lang w:val="en-US"/>
        </w:rPr>
      </w:pPr>
    </w:p>
    <w:p w14:paraId="6D5F6F71" w14:textId="77777777" w:rsidR="000D0D2D" w:rsidRPr="002C2C75" w:rsidRDefault="000D0D2D" w:rsidP="000D0D2D">
      <w:pPr>
        <w:pStyle w:val="BodyText"/>
        <w:jc w:val="both"/>
        <w:rPr>
          <w:sz w:val="22"/>
          <w:szCs w:val="20"/>
          <w:lang w:val="en-US"/>
        </w:rPr>
      </w:pPr>
      <w:r w:rsidRPr="002C2C75">
        <w:rPr>
          <w:sz w:val="22"/>
          <w:szCs w:val="20"/>
          <w:lang w:val="en-US"/>
        </w:rPr>
        <w:t xml:space="preserve">All of these challenges must continue to be managed in the context of an increasing population, which creates budgetary challenges that must be managed to achieve the projected impact. </w:t>
      </w:r>
    </w:p>
    <w:p w14:paraId="01433153" w14:textId="77777777" w:rsidR="000D0D2D" w:rsidRPr="002C2C75" w:rsidRDefault="000D0D2D" w:rsidP="000D0D2D">
      <w:pPr>
        <w:pStyle w:val="BodyText"/>
        <w:rPr>
          <w:b/>
          <w:bCs/>
          <w:i/>
          <w:iCs/>
          <w:sz w:val="22"/>
          <w:szCs w:val="20"/>
          <w:lang w:val="en-US"/>
        </w:rPr>
      </w:pPr>
      <w:r w:rsidRPr="002C2C75">
        <w:rPr>
          <w:b/>
          <w:bCs/>
          <w:i/>
          <w:iCs/>
          <w:sz w:val="22"/>
          <w:szCs w:val="20"/>
          <w:lang w:val="en-US"/>
        </w:rPr>
        <w:t>SPI – Chemoprevention</w:t>
      </w:r>
    </w:p>
    <w:p w14:paraId="09C7E697" w14:textId="77777777" w:rsidR="000D0D2D" w:rsidRPr="002C2C75" w:rsidRDefault="000D0D2D">
      <w:pPr>
        <w:pStyle w:val="BodyText"/>
        <w:numPr>
          <w:ilvl w:val="0"/>
          <w:numId w:val="56"/>
        </w:numPr>
        <w:jc w:val="both"/>
        <w:rPr>
          <w:b/>
          <w:bCs/>
          <w:sz w:val="22"/>
          <w:szCs w:val="20"/>
          <w:lang w:val="en-US"/>
        </w:rPr>
      </w:pPr>
      <w:r w:rsidRPr="002C2C75">
        <w:rPr>
          <w:b/>
          <w:bCs/>
          <w:sz w:val="22"/>
          <w:szCs w:val="20"/>
          <w:lang w:val="en-US"/>
        </w:rPr>
        <w:t>Chemoprevention interventions look to be a highly cost-effective addition to the country’s intervention mix, if able to be scaled up</w:t>
      </w:r>
      <w:r w:rsidRPr="002C2C75">
        <w:rPr>
          <w:sz w:val="22"/>
          <w:szCs w:val="20"/>
          <w:lang w:val="en-US"/>
        </w:rPr>
        <w:t xml:space="preserve"> - as described in the MPR Report, Section 1.3 of this application, as well as the stratification of the MSP 2023-2030, given their effectiveness and low cost, SMC and PMC are high priorities for expansion in the country. Resources from a variety of donors have been critical to launching the intervention in high priority geographies, with thanks to those partners for adhering to priorities from the national stratification. To bring these to their full ideal scale per that stratification, however, additional resources are required.</w:t>
      </w:r>
    </w:p>
    <w:p w14:paraId="54E5F37D" w14:textId="77777777" w:rsidR="000D0D2D" w:rsidRPr="002C2C75" w:rsidRDefault="000D0D2D" w:rsidP="000D0D2D">
      <w:pPr>
        <w:pStyle w:val="BodyText"/>
        <w:rPr>
          <w:b/>
          <w:bCs/>
          <w:i/>
          <w:iCs/>
          <w:sz w:val="22"/>
          <w:szCs w:val="20"/>
          <w:lang w:val="en-US"/>
        </w:rPr>
      </w:pPr>
      <w:r w:rsidRPr="002C2C75">
        <w:rPr>
          <w:b/>
          <w:bCs/>
          <w:i/>
          <w:iCs/>
          <w:sz w:val="22"/>
          <w:szCs w:val="20"/>
          <w:lang w:val="en-US"/>
        </w:rPr>
        <w:t>Program management</w:t>
      </w:r>
    </w:p>
    <w:p w14:paraId="14BAF671" w14:textId="77777777" w:rsidR="000D0D2D" w:rsidRPr="002C2C75" w:rsidRDefault="000D0D2D">
      <w:pPr>
        <w:pStyle w:val="BodyText"/>
        <w:numPr>
          <w:ilvl w:val="0"/>
          <w:numId w:val="54"/>
        </w:numPr>
        <w:jc w:val="both"/>
        <w:rPr>
          <w:sz w:val="22"/>
          <w:szCs w:val="20"/>
          <w:lang w:val="en-US"/>
        </w:rPr>
      </w:pPr>
      <w:r w:rsidRPr="002C2C75">
        <w:rPr>
          <w:b/>
          <w:bCs/>
          <w:sz w:val="22"/>
          <w:szCs w:val="20"/>
          <w:lang w:val="en-US"/>
        </w:rPr>
        <w:t xml:space="preserve">Bureaucratic processes can hinder implementation – </w:t>
      </w:r>
      <w:r w:rsidRPr="002C2C75">
        <w:rPr>
          <w:sz w:val="22"/>
          <w:szCs w:val="20"/>
          <w:lang w:val="en-US"/>
        </w:rPr>
        <w:t>challenges have continued with timely disbursement of funds by the Ministry of Health and Ministry of Finance, with additional challenges noted from the transition of the LFA. Activities are often implemented with a delay of 2 months or more, leading to serious programmatic challenges. This includes foundational delays like the procurement of adequate health facility registers, which has been a root cause in challenges with data accuracy in SM&amp;E.</w:t>
      </w:r>
    </w:p>
    <w:p w14:paraId="638CF7C2" w14:textId="77777777" w:rsidR="000D0D2D" w:rsidRPr="002C2C75" w:rsidRDefault="000D0D2D" w:rsidP="000D0D2D">
      <w:pPr>
        <w:pStyle w:val="BodyText"/>
        <w:rPr>
          <w:b/>
          <w:bCs/>
          <w:i/>
          <w:iCs/>
          <w:sz w:val="22"/>
          <w:szCs w:val="20"/>
          <w:lang w:val="en-US"/>
        </w:rPr>
      </w:pPr>
      <w:r w:rsidRPr="002C2C75">
        <w:rPr>
          <w:b/>
          <w:bCs/>
          <w:i/>
          <w:iCs/>
          <w:sz w:val="22"/>
          <w:szCs w:val="20"/>
          <w:lang w:val="en-US"/>
        </w:rPr>
        <w:t>Surveillance, M&amp;E</w:t>
      </w:r>
    </w:p>
    <w:p w14:paraId="3209BBD9" w14:textId="77777777" w:rsidR="000D0D2D" w:rsidRPr="002C2C75" w:rsidRDefault="000D0D2D">
      <w:pPr>
        <w:pStyle w:val="BodyText"/>
        <w:numPr>
          <w:ilvl w:val="0"/>
          <w:numId w:val="54"/>
        </w:numPr>
        <w:jc w:val="both"/>
        <w:rPr>
          <w:sz w:val="22"/>
          <w:szCs w:val="20"/>
          <w:lang w:val="en-US"/>
        </w:rPr>
      </w:pPr>
      <w:r w:rsidRPr="002C2C75">
        <w:rPr>
          <w:b/>
          <w:bCs/>
          <w:sz w:val="22"/>
          <w:szCs w:val="20"/>
          <w:lang w:val="en-US"/>
        </w:rPr>
        <w:t xml:space="preserve">Improved data quality </w:t>
      </w:r>
      <w:r w:rsidRPr="002C2C75">
        <w:rPr>
          <w:sz w:val="22"/>
          <w:szCs w:val="20"/>
          <w:lang w:val="en-US"/>
        </w:rPr>
        <w:t xml:space="preserve">– data completeness and timeliness, already moderately strong, have continued to improve. Completeness increased from 90.1% in 2017 to 97.7% in 2021, and timeliness increased from 73% in 2017 to 90.1% in 2019 (MPR Report, p. 115). As described in section 1.3, data accuracy, which had been a weakness, has improved greatly through intervention. Beginning in 2019, the NMCP, with the support of partners, began implementing surveillance strengthening activities with an emphasis on Data Quality Audits (DQA) integrated with supervision visits. At baseline, only 51% of health facilities had good data accuracy, and, by the end of 2 years of implementation, this figure rose to 80% of facilities (MPR Report, p. 117).  </w:t>
      </w:r>
    </w:p>
    <w:p w14:paraId="3A783CAA" w14:textId="2674D668" w:rsidR="000D0D2D" w:rsidRPr="007E336C" w:rsidRDefault="000D0D2D">
      <w:pPr>
        <w:pStyle w:val="BodyText"/>
        <w:numPr>
          <w:ilvl w:val="0"/>
          <w:numId w:val="54"/>
        </w:numPr>
        <w:jc w:val="both"/>
        <w:rPr>
          <w:b/>
          <w:bCs/>
          <w:sz w:val="22"/>
          <w:szCs w:val="20"/>
          <w:lang w:val="en-US"/>
        </w:rPr>
      </w:pPr>
      <w:r w:rsidRPr="002C2C75">
        <w:rPr>
          <w:b/>
          <w:bCs/>
          <w:sz w:val="22"/>
          <w:szCs w:val="20"/>
          <w:lang w:val="en-US"/>
        </w:rPr>
        <w:t xml:space="preserve">Better data can lead to better decisions and improved programming, but this requires further investment in building staff capacity - </w:t>
      </w:r>
      <w:r w:rsidRPr="002C2C75">
        <w:rPr>
          <w:sz w:val="22"/>
          <w:szCs w:val="20"/>
          <w:lang w:val="en-US"/>
        </w:rPr>
        <w:t>during the implementation period, the NMCP and partners designed the integrated malaria information storage system (iMISS) as a malaria data repository that houses and visualizes malaria data from all sources in the country, with the aim of improving data access and use.</w:t>
      </w:r>
      <w:r w:rsidRPr="002C2C75">
        <w:rPr>
          <w:b/>
          <w:bCs/>
          <w:sz w:val="22"/>
          <w:szCs w:val="20"/>
          <w:lang w:val="en-US"/>
        </w:rPr>
        <w:t xml:space="preserve"> </w:t>
      </w:r>
      <w:r w:rsidRPr="002C2C75">
        <w:rPr>
          <w:sz w:val="22"/>
          <w:szCs w:val="20"/>
          <w:lang w:val="en-US"/>
        </w:rPr>
        <w:t xml:space="preserve">This has been successful overall, but at lower levels of the health system, there remains a need for capacity building and fostering a data use culture. Continued supervision and support to these levels from NMCP and partners will help achieve this. </w:t>
      </w:r>
    </w:p>
    <w:p w14:paraId="5B21B8F3" w14:textId="77777777" w:rsidR="007E336C" w:rsidRDefault="007E336C" w:rsidP="007E336C">
      <w:pPr>
        <w:pBdr>
          <w:top w:val="nil"/>
          <w:left w:val="nil"/>
          <w:bottom w:val="nil"/>
          <w:right w:val="nil"/>
          <w:between w:val="nil"/>
        </w:pBdr>
        <w:spacing w:before="120" w:after="40" w:line="240" w:lineRule="auto"/>
        <w:rPr>
          <w:rFonts w:eastAsia="Arial" w:cstheme="minorHAnsi"/>
          <w:b/>
          <w:bCs/>
          <w:color w:val="000000"/>
        </w:rPr>
      </w:pPr>
    </w:p>
    <w:p w14:paraId="477F8308" w14:textId="27D818C1" w:rsidR="007E336C" w:rsidRPr="007E336C" w:rsidRDefault="007E336C" w:rsidP="007E336C">
      <w:pPr>
        <w:pBdr>
          <w:top w:val="nil"/>
          <w:left w:val="nil"/>
          <w:bottom w:val="nil"/>
          <w:right w:val="nil"/>
          <w:between w:val="nil"/>
        </w:pBdr>
        <w:spacing w:before="120" w:after="40" w:line="240" w:lineRule="auto"/>
        <w:rPr>
          <w:rFonts w:eastAsia="Arial" w:cstheme="minorHAnsi"/>
          <w:b/>
          <w:bCs/>
          <w:i/>
          <w:iCs/>
          <w:color w:val="000000"/>
        </w:rPr>
      </w:pPr>
      <w:r w:rsidRPr="007E336C">
        <w:rPr>
          <w:rFonts w:eastAsia="Arial" w:cstheme="minorHAnsi"/>
          <w:b/>
          <w:bCs/>
          <w:i/>
          <w:iCs/>
          <w:color w:val="000000"/>
        </w:rPr>
        <w:t xml:space="preserve">Cross-cutting RSSH </w:t>
      </w:r>
      <w:r>
        <w:rPr>
          <w:rFonts w:eastAsia="Arial" w:cstheme="minorHAnsi"/>
          <w:b/>
          <w:bCs/>
          <w:i/>
          <w:iCs/>
          <w:color w:val="000000"/>
        </w:rPr>
        <w:t>Lessons Learned</w:t>
      </w:r>
    </w:p>
    <w:p w14:paraId="6157DC0B" w14:textId="77777777" w:rsidR="007E336C" w:rsidRPr="007E336C" w:rsidRDefault="007E336C" w:rsidP="007E336C">
      <w:pPr>
        <w:pStyle w:val="BodyText"/>
        <w:jc w:val="both"/>
        <w:rPr>
          <w:sz w:val="22"/>
          <w:szCs w:val="20"/>
          <w:lang w:val="en-US"/>
        </w:rPr>
      </w:pPr>
      <w:r w:rsidRPr="007E336C">
        <w:rPr>
          <w:sz w:val="22"/>
          <w:szCs w:val="20"/>
          <w:lang w:val="en-US"/>
        </w:rPr>
        <w:t>As stated in the previous section, the COVID 19 pandemic, the cyclical occurrence of natural disasters and the armed conflict in the north of the country had, and continues to have, a negative impact on efforts to build a resilient and sustainable health system. These events have implied adaptations to implementation mechanisms, application of mitigation measures, including new approaches to implementing RSSH activities. Some relevant lessons learned and resulting changes are described below.</w:t>
      </w:r>
    </w:p>
    <w:p w14:paraId="02A18DA2" w14:textId="77777777" w:rsidR="007E336C" w:rsidRPr="007E336C" w:rsidRDefault="007E336C" w:rsidP="007E336C">
      <w:pPr>
        <w:pStyle w:val="BodyText"/>
        <w:jc w:val="both"/>
        <w:rPr>
          <w:sz w:val="22"/>
          <w:szCs w:val="20"/>
          <w:lang w:val="en-US"/>
        </w:rPr>
      </w:pPr>
      <w:r w:rsidRPr="007E336C">
        <w:rPr>
          <w:sz w:val="22"/>
          <w:szCs w:val="20"/>
          <w:lang w:val="en-US"/>
        </w:rPr>
        <w:t>Mozambique’s vulnerability to natural disasters and health emergencies resulted in the creation of coordination structure and responses at central and decentralized level, including communities. These contributed to the definition and recognition of the role and responsibilities of communities’ health and primary health care in pandemic response and continuity of health delivery services. These led to the approval, in June 2020, of the first community response strategy to COVID-19, which specifies the role of the community health workers. This and the previous experience in responding to health emergencies to address health-related challenges effectively at community level. Key lessons include the importance of health system strengthening, community engagement, and the use of digital health solutions, integrated approaches, inclusive and participatory methods, and strengthened coordination mechanisms in the context of protracted crises or emergencies. Additionally, the context-specific research, improved data collection and management systems, and a focus on innovation and adaptation are also emphasized. By operationalizing these lessons, programs in Mozambique strive to enhance resilience, response capabilities, and overall health outcomes.</w:t>
      </w:r>
    </w:p>
    <w:p w14:paraId="0AC32817" w14:textId="77777777" w:rsidR="007E336C" w:rsidRPr="007E336C" w:rsidRDefault="007E336C" w:rsidP="007E336C">
      <w:pPr>
        <w:pStyle w:val="BodyText"/>
        <w:jc w:val="both"/>
        <w:rPr>
          <w:sz w:val="22"/>
          <w:szCs w:val="20"/>
          <w:lang w:val="en-US"/>
        </w:rPr>
      </w:pPr>
      <w:r w:rsidRPr="007E336C">
        <w:rPr>
          <w:sz w:val="22"/>
          <w:szCs w:val="20"/>
          <w:lang w:val="en-US"/>
        </w:rPr>
        <w:t>The preliminary findings of a study commissioned to Eduardo Mondlane University and disseminated in early 2023, within the scope of implementing a pilot of the subsystem in six provinces, have revealed the need for training program enhancements. These improvements primarily pertain to competencies related to governance, emergency response, and road safety, among others. Consequently, the new competency-based curriculum has been modified to accommodate these recommendations. It is worth noting that the forthcoming cohorts undergoing training will adopt the revised curriculum to ensure alignment with the updated standards.</w:t>
      </w:r>
    </w:p>
    <w:p w14:paraId="7BE5C296" w14:textId="77777777" w:rsidR="007E336C" w:rsidRPr="007E336C" w:rsidRDefault="007E336C" w:rsidP="007E336C">
      <w:pPr>
        <w:pStyle w:val="BodyText"/>
        <w:jc w:val="both"/>
        <w:rPr>
          <w:sz w:val="22"/>
          <w:szCs w:val="20"/>
          <w:lang w:val="en-US"/>
        </w:rPr>
      </w:pPr>
      <w:r w:rsidRPr="007E336C">
        <w:rPr>
          <w:sz w:val="22"/>
          <w:szCs w:val="20"/>
          <w:lang w:val="en-US"/>
        </w:rPr>
        <w:t>On the supply chain, distribution routes were updated on both permanent and routine basis, including alternative ones to address disruptions resulting from extreme climate events with the aim to gain efficiencies in the supply chain operations.  A Medicines and Health Products Emergency Supply Chain Unit was also developed and installed in CMAM as part of SC response within MoH and the "national emergency entity" with support from USAID and GOM.</w:t>
      </w:r>
    </w:p>
    <w:p w14:paraId="3866E939" w14:textId="77777777" w:rsidR="007E336C" w:rsidRPr="007E336C" w:rsidRDefault="007E336C" w:rsidP="007E336C">
      <w:pPr>
        <w:pStyle w:val="BodyText"/>
        <w:jc w:val="both"/>
        <w:rPr>
          <w:sz w:val="22"/>
          <w:szCs w:val="20"/>
          <w:lang w:val="en-US"/>
        </w:rPr>
      </w:pPr>
      <w:r w:rsidRPr="007E336C">
        <w:rPr>
          <w:sz w:val="22"/>
          <w:szCs w:val="20"/>
          <w:lang w:val="en-US"/>
        </w:rPr>
        <w:t>To avoid recurrent contact between users and Health Facilities, especially during the COVID 19 pandemic, the lab system took advantage of existing TB testing platforms for COVID 19. This is how Genexpert was used for testing COVID 19 samples that increased COVID 19 screening rate and reduced the spread of the disease in HFs. Likewise, the use of Disalink for referencing COVID 19 samples facilitated the return of COVID results and precipitated the expansion of the LIS electronic system in GC7.</w:t>
      </w:r>
    </w:p>
    <w:p w14:paraId="6B52186A" w14:textId="5F0DFA42" w:rsidR="007E336C" w:rsidRPr="007E336C" w:rsidRDefault="007E336C" w:rsidP="007E336C">
      <w:pPr>
        <w:pStyle w:val="BodyText"/>
        <w:jc w:val="both"/>
        <w:rPr>
          <w:sz w:val="22"/>
          <w:szCs w:val="20"/>
          <w:lang w:val="en-US"/>
        </w:rPr>
      </w:pPr>
      <w:r w:rsidRPr="007E336C">
        <w:rPr>
          <w:sz w:val="22"/>
          <w:szCs w:val="20"/>
          <w:lang w:val="en-US"/>
        </w:rPr>
        <w:t>In the area of ICT, some geographic areas were left without communication due to natural disasters that damaged IT infrastructure in the center of the country. Likewise, many Health Facilities were destroyed in the North, but this time as a result of the armed conflict. Thus, the increasing use of ICTs in HFs has been favored, including the use of virtual platforms and new internet technologies, combined with local data network modem and centralization of servers, resulting in better data protection. Reinforcing HR and training in ICTs has also been a key element in improving the quality of services in this area.</w:t>
      </w:r>
    </w:p>
    <w:p w14:paraId="152461BE" w14:textId="5B62C37F" w:rsidR="003A5D77" w:rsidRPr="002C2C75" w:rsidRDefault="004867E1">
      <w:pPr>
        <w:pStyle w:val="Heading2"/>
        <w:numPr>
          <w:ilvl w:val="1"/>
          <w:numId w:val="13"/>
        </w:numPr>
      </w:pPr>
      <w:r w:rsidRPr="002C2C75">
        <w:t xml:space="preserve">Focus of </w:t>
      </w:r>
      <w:r w:rsidR="003A5D77" w:rsidRPr="002C2C75">
        <w:t>Application Requirements</w:t>
      </w:r>
    </w:p>
    <w:p w14:paraId="2FC680BA" w14:textId="4F96741E" w:rsidR="003A5D77" w:rsidRPr="002C2C75" w:rsidRDefault="000050E1" w:rsidP="003A5D77">
      <w:pPr>
        <w:pStyle w:val="BodyText"/>
        <w:rPr>
          <w:lang w:val="en-US"/>
        </w:rPr>
      </w:pPr>
      <w:r w:rsidRPr="002C2C75">
        <w:rPr>
          <w:lang w:val="en-US"/>
        </w:rPr>
        <w:t>D</w:t>
      </w:r>
      <w:r w:rsidR="00D7023E" w:rsidRPr="002C2C75">
        <w:rPr>
          <w:lang w:val="en-US"/>
        </w:rPr>
        <w:t>escribe</w:t>
      </w:r>
      <w:r w:rsidR="003A5D77" w:rsidRPr="002C2C75">
        <w:rPr>
          <w:lang w:val="en-US"/>
        </w:rPr>
        <w:t xml:space="preserve"> how the </w:t>
      </w:r>
      <w:r w:rsidR="00B64C47" w:rsidRPr="002C2C75">
        <w:rPr>
          <w:lang w:val="en-US"/>
        </w:rPr>
        <w:t>f</w:t>
      </w:r>
      <w:r w:rsidR="003A5D77" w:rsidRPr="002C2C75">
        <w:rPr>
          <w:lang w:val="en-US"/>
        </w:rPr>
        <w:t xml:space="preserve">unding </w:t>
      </w:r>
      <w:r w:rsidR="00B64C47" w:rsidRPr="002C2C75">
        <w:rPr>
          <w:lang w:val="en-US"/>
        </w:rPr>
        <w:t>r</w:t>
      </w:r>
      <w:r w:rsidR="003A5D77" w:rsidRPr="002C2C75">
        <w:rPr>
          <w:lang w:val="en-US"/>
        </w:rPr>
        <w:t xml:space="preserve">equest complies with the focus </w:t>
      </w:r>
      <w:r w:rsidR="004867E1" w:rsidRPr="002C2C75">
        <w:rPr>
          <w:lang w:val="en-US"/>
        </w:rPr>
        <w:t xml:space="preserve">of </w:t>
      </w:r>
      <w:r w:rsidR="003A5D77" w:rsidRPr="002C2C75">
        <w:rPr>
          <w:lang w:val="en-US"/>
        </w:rPr>
        <w:t xml:space="preserve">application requirements specified in </w:t>
      </w:r>
      <w:r w:rsidR="00A465EE" w:rsidRPr="002C2C75">
        <w:rPr>
          <w:lang w:val="en-US"/>
        </w:rPr>
        <w:t xml:space="preserve">the </w:t>
      </w:r>
      <w:r w:rsidR="00342479" w:rsidRPr="002C2C75">
        <w:rPr>
          <w:lang w:val="en-US"/>
        </w:rPr>
        <w:t>A</w:t>
      </w:r>
      <w:r w:rsidR="003A5D77" w:rsidRPr="002C2C75">
        <w:rPr>
          <w:lang w:val="en-US"/>
        </w:rPr>
        <w:t xml:space="preserve">llocation </w:t>
      </w:r>
      <w:r w:rsidR="00342479" w:rsidRPr="002C2C75">
        <w:rPr>
          <w:lang w:val="en-US"/>
        </w:rPr>
        <w:t>L</w:t>
      </w:r>
      <w:r w:rsidR="003A5D77" w:rsidRPr="002C2C75">
        <w:rPr>
          <w:lang w:val="en-US"/>
        </w:rPr>
        <w:t>etter.</w:t>
      </w:r>
    </w:p>
    <w:p w14:paraId="59F19131" w14:textId="6739B3F8" w:rsidR="008F27DC" w:rsidRPr="002C2C75" w:rsidRDefault="000D0D2D" w:rsidP="00B65245">
      <w:pPr>
        <w:pStyle w:val="BodyText"/>
        <w:jc w:val="both"/>
        <w:rPr>
          <w:sz w:val="22"/>
          <w:lang w:val="en-US"/>
        </w:rPr>
      </w:pPr>
      <w:r w:rsidRPr="002C2C75">
        <w:rPr>
          <w:sz w:val="22"/>
          <w:lang w:val="en-US"/>
        </w:rPr>
        <w:t>As Mozambique is classified as a low-income country, there are no restrictions on the programmatic scope of malaria requests, but it is strongly encouraged to include RSSH interventions. This has been done for malaria specifically in this request through the separate RSSH request. The application includes interventions that respond to key and vulnerable populations, human rights and gender-related barriers, inequities and vulnerabilities in access to services. This is done through special attention paid to and the provision of services to these populations throughout the interventions described.</w:t>
      </w:r>
    </w:p>
    <w:p w14:paraId="04E35420" w14:textId="1844D2F9" w:rsidR="0029440E" w:rsidRPr="002C2C75" w:rsidRDefault="0029440E">
      <w:pPr>
        <w:pStyle w:val="Heading2"/>
        <w:numPr>
          <w:ilvl w:val="1"/>
          <w:numId w:val="13"/>
        </w:numPr>
      </w:pPr>
      <w:r w:rsidRPr="002C2C75">
        <w:t>Matching Funds (if applicable)</w:t>
      </w:r>
    </w:p>
    <w:p w14:paraId="2E080075" w14:textId="65B6E8B3" w:rsidR="008B0060" w:rsidRPr="002C2C75" w:rsidRDefault="008B0060" w:rsidP="00915D7A">
      <w:pPr>
        <w:pStyle w:val="BodyText"/>
        <w:rPr>
          <w:lang w:val="en-US"/>
        </w:rPr>
      </w:pPr>
      <w:r w:rsidRPr="002C2C75">
        <w:rPr>
          <w:lang w:val="en-US"/>
        </w:rPr>
        <w:t>If Matching Funds were designated for the 2023-2025 allocation period:</w:t>
      </w:r>
    </w:p>
    <w:p w14:paraId="2D49DBED" w14:textId="4B19EE85" w:rsidR="005E25BF" w:rsidRPr="002C2C75" w:rsidRDefault="000050E1" w:rsidP="005E25BF">
      <w:pPr>
        <w:pStyle w:val="BodyText"/>
        <w:numPr>
          <w:ilvl w:val="2"/>
          <w:numId w:val="15"/>
        </w:numPr>
        <w:ind w:left="990" w:hanging="450"/>
        <w:rPr>
          <w:lang w:val="en-US"/>
        </w:rPr>
      </w:pPr>
      <w:r w:rsidRPr="002C2C75">
        <w:rPr>
          <w:lang w:val="en-US"/>
        </w:rPr>
        <w:t>D</w:t>
      </w:r>
      <w:r w:rsidR="008B0060" w:rsidRPr="002C2C75">
        <w:rPr>
          <w:lang w:val="en-US"/>
        </w:rPr>
        <w:t xml:space="preserve">escribe </w:t>
      </w:r>
      <w:r w:rsidR="00192812" w:rsidRPr="002C2C75">
        <w:rPr>
          <w:lang w:val="en-US"/>
        </w:rPr>
        <w:t xml:space="preserve">how </w:t>
      </w:r>
      <w:r w:rsidR="00281116" w:rsidRPr="002C2C75">
        <w:rPr>
          <w:lang w:val="en-US"/>
        </w:rPr>
        <w:t xml:space="preserve">integrating the Matching Funds will increase the impact and improve </w:t>
      </w:r>
      <w:r w:rsidR="00EB2512" w:rsidRPr="002C2C75">
        <w:rPr>
          <w:lang w:val="en-US"/>
        </w:rPr>
        <w:t>the outcome of the allocation</w:t>
      </w:r>
      <w:r w:rsidR="00D8440F" w:rsidRPr="002C2C75">
        <w:rPr>
          <w:lang w:val="en-US"/>
        </w:rPr>
        <w:t xml:space="preserve"> for the Matching Funds area</w:t>
      </w:r>
      <w:r w:rsidR="008B0060" w:rsidRPr="002C2C75">
        <w:rPr>
          <w:lang w:val="en-US"/>
        </w:rPr>
        <w:t>.</w:t>
      </w:r>
    </w:p>
    <w:p w14:paraId="3CE02F8C" w14:textId="3BA01B28" w:rsidR="005E25BF" w:rsidRPr="002C2C75" w:rsidRDefault="005E25BF" w:rsidP="005E25BF">
      <w:pPr>
        <w:pStyle w:val="BodyText"/>
        <w:jc w:val="both"/>
        <w:rPr>
          <w:sz w:val="22"/>
          <w:lang w:val="en-US"/>
        </w:rPr>
      </w:pPr>
      <w:r w:rsidRPr="002C2C75">
        <w:rPr>
          <w:sz w:val="22"/>
          <w:lang w:val="en-US"/>
        </w:rPr>
        <w:t>The RSSH component of the funding request is eligible for US$7,000,000 for the RSSH Innovation Fund allocated to HRH. Over USD 10 million within funding allocation were assigned to HRH, including CHW to meet HRH needs and secure these matching funds. The bulk of these additional resources are dedicated to further strengthen the CWH programs and increase production capacity of primary health care workers in line with the community subsystems strategy and the accelerated training plan for health professionals. Through this investment approach, the MoH expects to increase its response capacity to the ever-increasing volume of HIV/TB and Malaria patients and other programmatic gaps highlighted in RSSH annex. The entire amount of FR allocation and Match funding will be programmed in the detailed budget.</w:t>
      </w:r>
    </w:p>
    <w:p w14:paraId="201EFA1D" w14:textId="3EE95C4C" w:rsidR="0029440E" w:rsidRPr="002C2C75" w:rsidRDefault="000050E1">
      <w:pPr>
        <w:pStyle w:val="BodyText"/>
        <w:numPr>
          <w:ilvl w:val="2"/>
          <w:numId w:val="15"/>
        </w:numPr>
        <w:ind w:left="990" w:hanging="450"/>
        <w:rPr>
          <w:lang w:val="en-US"/>
        </w:rPr>
      </w:pPr>
      <w:r w:rsidRPr="002C2C75">
        <w:rPr>
          <w:lang w:val="en-US"/>
        </w:rPr>
        <w:t>D</w:t>
      </w:r>
      <w:r w:rsidR="007A1E3E" w:rsidRPr="002C2C75">
        <w:rPr>
          <w:lang w:val="en-US"/>
        </w:rPr>
        <w:t>escribe how programmatic and access conditions have been met.</w:t>
      </w:r>
    </w:p>
    <w:p w14:paraId="0DDE5022" w14:textId="2F837DB1" w:rsidR="0075301C" w:rsidRPr="002C2C75" w:rsidRDefault="0075301C" w:rsidP="005E25BF">
      <w:pPr>
        <w:pStyle w:val="BodyText"/>
        <w:jc w:val="both"/>
        <w:rPr>
          <w:sz w:val="22"/>
          <w:szCs w:val="20"/>
          <w:lang w:val="en-US"/>
        </w:rPr>
      </w:pPr>
      <w:r w:rsidRPr="002C2C75">
        <w:rPr>
          <w:sz w:val="22"/>
          <w:szCs w:val="20"/>
          <w:lang w:val="en-US"/>
        </w:rPr>
        <w:t>To access the RSSH Innovation Fund matching funds, several conditions were provided which must be met to be eligible for this $7,000,000. The evidence for meeting these is detailed below:</w:t>
      </w:r>
    </w:p>
    <w:p w14:paraId="6279B5BB" w14:textId="723DBD3E" w:rsidR="00FA3D98" w:rsidRPr="002C2C75" w:rsidRDefault="00FA3D98" w:rsidP="005E25BF">
      <w:pPr>
        <w:pStyle w:val="BodyText"/>
        <w:jc w:val="both"/>
        <w:rPr>
          <w:sz w:val="18"/>
          <w:szCs w:val="18"/>
          <w:lang w:val="en-US"/>
        </w:rPr>
      </w:pPr>
      <w:r w:rsidRPr="002C2C75">
        <w:rPr>
          <w:sz w:val="18"/>
          <w:szCs w:val="18"/>
          <w:lang w:val="en-US"/>
        </w:rPr>
        <w:t>Table 10: Completion of access conditions for RSSH Innovation Fund</w:t>
      </w:r>
    </w:p>
    <w:tbl>
      <w:tblPr>
        <w:tblW w:w="10340" w:type="dxa"/>
        <w:tblCellMar>
          <w:left w:w="0" w:type="dxa"/>
          <w:right w:w="0" w:type="dxa"/>
        </w:tblCellMar>
        <w:tblLook w:val="04A0" w:firstRow="1" w:lastRow="0" w:firstColumn="1" w:lastColumn="0" w:noHBand="0" w:noVBand="1"/>
      </w:tblPr>
      <w:tblGrid>
        <w:gridCol w:w="4220"/>
        <w:gridCol w:w="630"/>
        <w:gridCol w:w="5490"/>
      </w:tblGrid>
      <w:tr w:rsidR="00FA3D98" w:rsidRPr="002C2C75" w14:paraId="49A7A393" w14:textId="77777777" w:rsidTr="00FA3D98">
        <w:trPr>
          <w:trHeight w:val="60"/>
        </w:trPr>
        <w:tc>
          <w:tcPr>
            <w:tcW w:w="42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005DB88" w14:textId="3CC1AB43" w:rsidR="0075301C" w:rsidRPr="002C2C75" w:rsidRDefault="00FA3D98" w:rsidP="00FA3D98">
            <w:pPr>
              <w:spacing w:after="0" w:line="240" w:lineRule="auto"/>
              <w:rPr>
                <w:rFonts w:ascii="Calibri" w:hAnsi="Calibri" w:cs="Calibri"/>
                <w:b/>
                <w:bCs/>
                <w:sz w:val="16"/>
                <w:szCs w:val="16"/>
              </w:rPr>
            </w:pPr>
            <w:r w:rsidRPr="002C2C75">
              <w:rPr>
                <w:rFonts w:ascii="Calibri" w:hAnsi="Calibri" w:cs="Calibri"/>
                <w:b/>
                <w:bCs/>
                <w:sz w:val="16"/>
                <w:szCs w:val="16"/>
              </w:rPr>
              <w:t>Access Conditions</w:t>
            </w:r>
          </w:p>
        </w:tc>
        <w:tc>
          <w:tcPr>
            <w:tcW w:w="630"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BC3AEAD" w14:textId="78E3FDC1" w:rsidR="0075301C" w:rsidRPr="002C2C75" w:rsidRDefault="0075301C" w:rsidP="00FA3D98">
            <w:pPr>
              <w:spacing w:after="0" w:line="240" w:lineRule="auto"/>
              <w:rPr>
                <w:rFonts w:ascii="Calibri" w:hAnsi="Calibri" w:cs="Calibri"/>
                <w:sz w:val="16"/>
                <w:szCs w:val="16"/>
              </w:rPr>
            </w:pPr>
            <w:r w:rsidRPr="002C2C75">
              <w:rPr>
                <w:rFonts w:ascii="Calibri" w:hAnsi="Calibri" w:cs="Calibri"/>
                <w:b/>
                <w:bCs/>
                <w:sz w:val="16"/>
                <w:szCs w:val="16"/>
              </w:rPr>
              <w:t>Met</w:t>
            </w:r>
            <w:r w:rsidR="00FA3D98" w:rsidRPr="002C2C75">
              <w:rPr>
                <w:rFonts w:ascii="Calibri" w:hAnsi="Calibri" w:cs="Calibri"/>
                <w:b/>
                <w:bCs/>
                <w:sz w:val="16"/>
                <w:szCs w:val="16"/>
              </w:rPr>
              <w:t>?</w:t>
            </w:r>
          </w:p>
        </w:tc>
        <w:tc>
          <w:tcPr>
            <w:tcW w:w="5490"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D10D427" w14:textId="77777777" w:rsidR="0075301C" w:rsidRPr="002C2C75" w:rsidRDefault="0075301C" w:rsidP="00FA3D98">
            <w:pPr>
              <w:spacing w:after="0" w:line="240" w:lineRule="auto"/>
              <w:rPr>
                <w:rFonts w:ascii="Calibri" w:hAnsi="Calibri" w:cs="Calibri"/>
                <w:sz w:val="16"/>
                <w:szCs w:val="16"/>
              </w:rPr>
            </w:pPr>
            <w:r w:rsidRPr="002C2C75">
              <w:rPr>
                <w:rFonts w:ascii="Calibri" w:hAnsi="Calibri" w:cs="Calibri"/>
                <w:b/>
                <w:bCs/>
                <w:sz w:val="16"/>
                <w:szCs w:val="16"/>
              </w:rPr>
              <w:t>Evidence in FR</w:t>
            </w:r>
          </w:p>
        </w:tc>
      </w:tr>
      <w:tr w:rsidR="00FA3D98" w:rsidRPr="002C2C75" w14:paraId="4F2BBF8F" w14:textId="77777777" w:rsidTr="00FA3D98">
        <w:trPr>
          <w:trHeight w:val="238"/>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3B1C37" w14:textId="4DE73C32" w:rsidR="0075301C" w:rsidRPr="002C2C75" w:rsidRDefault="0075301C" w:rsidP="00FA3D98">
            <w:pPr>
              <w:spacing w:after="0" w:line="240" w:lineRule="auto"/>
              <w:rPr>
                <w:rFonts w:ascii="Calibri" w:hAnsi="Calibri" w:cs="Calibri"/>
                <w:sz w:val="16"/>
                <w:szCs w:val="16"/>
              </w:rPr>
            </w:pPr>
            <w:r w:rsidRPr="002C2C75">
              <w:rPr>
                <w:rStyle w:val="m-1546250433784318022markedcontent"/>
                <w:rFonts w:ascii="Calibri" w:hAnsi="Calibri" w:cs="Calibri"/>
                <w:sz w:val="16"/>
                <w:szCs w:val="16"/>
              </w:rPr>
              <w:t>Countries must invest a portion of their total country allocation that is greater than or equal to the amount of available Matching Funds, in the focus area that the country is eligible for:</w:t>
            </w:r>
            <w:r w:rsidRPr="002C2C75">
              <w:rPr>
                <w:rFonts w:ascii="Calibri" w:hAnsi="Calibri" w:cs="Calibri"/>
                <w:sz w:val="16"/>
                <w:szCs w:val="16"/>
              </w:rPr>
              <w:br/>
            </w:r>
            <w:r w:rsidRPr="002C2C75">
              <w:rPr>
                <w:rStyle w:val="m-1546250433784318022markedcontent"/>
                <w:rFonts w:ascii="Calibri" w:hAnsi="Calibri" w:cs="Calibri"/>
                <w:sz w:val="16"/>
                <w:szCs w:val="16"/>
              </w:rPr>
              <w:t>•Health workforce / quality of care including CHWs</w:t>
            </w:r>
          </w:p>
        </w:tc>
        <w:tc>
          <w:tcPr>
            <w:tcW w:w="630" w:type="dxa"/>
            <w:tcBorders>
              <w:top w:val="nil"/>
              <w:left w:val="nil"/>
              <w:bottom w:val="single" w:sz="8" w:space="0" w:color="auto"/>
              <w:right w:val="single" w:sz="8" w:space="0" w:color="auto"/>
            </w:tcBorders>
            <w:tcMar>
              <w:top w:w="0" w:type="dxa"/>
              <w:left w:w="108" w:type="dxa"/>
              <w:bottom w:w="0" w:type="dxa"/>
              <w:right w:w="108" w:type="dxa"/>
            </w:tcMar>
            <w:hideMark/>
          </w:tcPr>
          <w:p w14:paraId="59B62D57" w14:textId="77777777" w:rsidR="0075301C" w:rsidRPr="002C2C75" w:rsidRDefault="0075301C" w:rsidP="00FA3D98">
            <w:pPr>
              <w:spacing w:after="0" w:line="240" w:lineRule="auto"/>
              <w:rPr>
                <w:rFonts w:ascii="Calibri" w:hAnsi="Calibri" w:cs="Calibri"/>
                <w:sz w:val="16"/>
                <w:szCs w:val="16"/>
              </w:rPr>
            </w:pPr>
            <w:r w:rsidRPr="002C2C75">
              <w:rPr>
                <w:rFonts w:ascii="Calibri" w:hAnsi="Calibri" w:cs="Calibri"/>
                <w:sz w:val="16"/>
                <w:szCs w:val="16"/>
              </w:rPr>
              <w:t xml:space="preserve">Met </w:t>
            </w:r>
          </w:p>
        </w:tc>
        <w:tc>
          <w:tcPr>
            <w:tcW w:w="5490" w:type="dxa"/>
            <w:tcBorders>
              <w:top w:val="nil"/>
              <w:left w:val="nil"/>
              <w:bottom w:val="single" w:sz="8" w:space="0" w:color="auto"/>
              <w:right w:val="single" w:sz="8" w:space="0" w:color="auto"/>
            </w:tcBorders>
            <w:tcMar>
              <w:top w:w="0" w:type="dxa"/>
              <w:left w:w="108" w:type="dxa"/>
              <w:bottom w:w="0" w:type="dxa"/>
              <w:right w:w="108" w:type="dxa"/>
            </w:tcMar>
            <w:hideMark/>
          </w:tcPr>
          <w:p w14:paraId="3CF647C2" w14:textId="4F6D32C7" w:rsidR="00F5105A" w:rsidRPr="002C2C75" w:rsidRDefault="0075301C" w:rsidP="00FA3D98">
            <w:pPr>
              <w:spacing w:after="0" w:line="240" w:lineRule="auto"/>
              <w:rPr>
                <w:rFonts w:ascii="Calibri" w:hAnsi="Calibri" w:cs="Calibri"/>
                <w:sz w:val="16"/>
                <w:szCs w:val="16"/>
              </w:rPr>
            </w:pPr>
            <w:r w:rsidRPr="002C2C75">
              <w:rPr>
                <w:rFonts w:ascii="Calibri" w:hAnsi="Calibri" w:cs="Calibri"/>
                <w:sz w:val="16"/>
                <w:szCs w:val="16"/>
              </w:rPr>
              <w:t>$</w:t>
            </w:r>
            <w:r w:rsidR="00F5105A">
              <w:rPr>
                <w:rFonts w:ascii="Calibri" w:hAnsi="Calibri" w:cs="Calibri"/>
                <w:sz w:val="16"/>
                <w:szCs w:val="16"/>
              </w:rPr>
              <w:t>1</w:t>
            </w:r>
            <w:r w:rsidR="00A246BA">
              <w:rPr>
                <w:rFonts w:ascii="Calibri" w:hAnsi="Calibri" w:cs="Calibri"/>
                <w:sz w:val="16"/>
                <w:szCs w:val="16"/>
              </w:rPr>
              <w:t>3</w:t>
            </w:r>
            <w:r w:rsidR="00DA0A16" w:rsidRPr="002C2C75">
              <w:rPr>
                <w:rFonts w:ascii="Calibri" w:hAnsi="Calibri" w:cs="Calibri"/>
                <w:sz w:val="16"/>
                <w:szCs w:val="16"/>
              </w:rPr>
              <w:t>.</w:t>
            </w:r>
            <w:r w:rsidR="00A246BA">
              <w:rPr>
                <w:rFonts w:ascii="Calibri" w:hAnsi="Calibri" w:cs="Calibri"/>
                <w:sz w:val="16"/>
                <w:szCs w:val="16"/>
              </w:rPr>
              <w:t>33</w:t>
            </w:r>
            <w:r w:rsidRPr="002C2C75">
              <w:rPr>
                <w:rFonts w:ascii="Calibri" w:hAnsi="Calibri" w:cs="Calibri"/>
                <w:sz w:val="16"/>
                <w:szCs w:val="16"/>
              </w:rPr>
              <w:t>M is propose</w:t>
            </w:r>
            <w:r w:rsidR="00DA0A16" w:rsidRPr="002C2C75">
              <w:rPr>
                <w:rFonts w:ascii="Calibri" w:hAnsi="Calibri" w:cs="Calibri"/>
                <w:sz w:val="16"/>
                <w:szCs w:val="16"/>
              </w:rPr>
              <w:t>d</w:t>
            </w:r>
            <w:r w:rsidRPr="002C2C75">
              <w:rPr>
                <w:rFonts w:ascii="Calibri" w:hAnsi="Calibri" w:cs="Calibri"/>
                <w:sz w:val="16"/>
                <w:szCs w:val="16"/>
              </w:rPr>
              <w:t xml:space="preserve"> for investment in the Health workforce/</w:t>
            </w:r>
            <w:r w:rsidR="00FA3D98" w:rsidRPr="002C2C75">
              <w:rPr>
                <w:rFonts w:ascii="Calibri" w:hAnsi="Calibri" w:cs="Calibri"/>
                <w:sz w:val="16"/>
                <w:szCs w:val="16"/>
              </w:rPr>
              <w:t xml:space="preserve"> </w:t>
            </w:r>
            <w:r w:rsidRPr="002C2C75">
              <w:rPr>
                <w:rFonts w:ascii="Calibri" w:hAnsi="Calibri" w:cs="Calibri"/>
                <w:sz w:val="16"/>
                <w:szCs w:val="16"/>
              </w:rPr>
              <w:t>quality of care module, including an additional $7M proposed for the matching funds, for a total of $</w:t>
            </w:r>
            <w:r w:rsidR="00A246BA">
              <w:rPr>
                <w:rFonts w:ascii="Calibri" w:hAnsi="Calibri" w:cs="Calibri"/>
                <w:sz w:val="16"/>
                <w:szCs w:val="16"/>
              </w:rPr>
              <w:t>20</w:t>
            </w:r>
            <w:r w:rsidR="00DA0A16" w:rsidRPr="002C2C75">
              <w:rPr>
                <w:rFonts w:ascii="Calibri" w:hAnsi="Calibri" w:cs="Calibri"/>
                <w:sz w:val="16"/>
                <w:szCs w:val="16"/>
              </w:rPr>
              <w:t>.</w:t>
            </w:r>
            <w:r w:rsidR="00A246BA">
              <w:rPr>
                <w:rFonts w:ascii="Calibri" w:hAnsi="Calibri" w:cs="Calibri"/>
                <w:sz w:val="16"/>
                <w:szCs w:val="16"/>
              </w:rPr>
              <w:t>33</w:t>
            </w:r>
            <w:r w:rsidRPr="002C2C75">
              <w:rPr>
                <w:rFonts w:ascii="Calibri" w:hAnsi="Calibri" w:cs="Calibri"/>
                <w:sz w:val="16"/>
                <w:szCs w:val="16"/>
              </w:rPr>
              <w:t>M.</w:t>
            </w:r>
            <w:r w:rsidR="00DA0A16" w:rsidRPr="002C2C75">
              <w:rPr>
                <w:rFonts w:ascii="Calibri" w:hAnsi="Calibri" w:cs="Calibri"/>
                <w:sz w:val="16"/>
                <w:szCs w:val="16"/>
              </w:rPr>
              <w:t xml:space="preserve">  </w:t>
            </w:r>
          </w:p>
        </w:tc>
      </w:tr>
      <w:tr w:rsidR="00FA3D98" w:rsidRPr="002C2C75" w14:paraId="5D83196B" w14:textId="77777777" w:rsidTr="00FA3D98">
        <w:trPr>
          <w:trHeight w:val="238"/>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60A1DF" w14:textId="77777777" w:rsidR="0075301C" w:rsidRPr="002C2C75" w:rsidRDefault="0075301C" w:rsidP="00FA3D98">
            <w:pPr>
              <w:spacing w:after="0" w:line="240" w:lineRule="auto"/>
              <w:rPr>
                <w:rFonts w:ascii="Calibri" w:hAnsi="Calibri" w:cs="Calibri"/>
                <w:sz w:val="16"/>
                <w:szCs w:val="16"/>
              </w:rPr>
            </w:pPr>
            <w:r w:rsidRPr="002C2C75">
              <w:rPr>
                <w:rFonts w:ascii="Calibri" w:hAnsi="Calibri" w:cs="Calibri"/>
                <w:sz w:val="16"/>
                <w:szCs w:val="16"/>
              </w:rPr>
              <w:t>Inclusion of plans to pilot or scale up evidence-based, high-impact interventions based on country context, epidemiological profile and lessons learned. (relates to CHW)</w:t>
            </w:r>
          </w:p>
        </w:tc>
        <w:tc>
          <w:tcPr>
            <w:tcW w:w="630" w:type="dxa"/>
            <w:tcBorders>
              <w:top w:val="nil"/>
              <w:left w:val="nil"/>
              <w:bottom w:val="single" w:sz="8" w:space="0" w:color="auto"/>
              <w:right w:val="single" w:sz="8" w:space="0" w:color="auto"/>
            </w:tcBorders>
            <w:tcMar>
              <w:top w:w="0" w:type="dxa"/>
              <w:left w:w="108" w:type="dxa"/>
              <w:bottom w:w="0" w:type="dxa"/>
              <w:right w:w="108" w:type="dxa"/>
            </w:tcMar>
            <w:hideMark/>
          </w:tcPr>
          <w:p w14:paraId="022EC873" w14:textId="77777777" w:rsidR="0075301C" w:rsidRPr="002C2C75" w:rsidRDefault="0075301C" w:rsidP="00FA3D98">
            <w:pPr>
              <w:spacing w:after="0" w:line="240" w:lineRule="auto"/>
              <w:rPr>
                <w:rFonts w:ascii="Calibri" w:hAnsi="Calibri" w:cs="Calibri"/>
                <w:sz w:val="16"/>
                <w:szCs w:val="16"/>
              </w:rPr>
            </w:pPr>
            <w:r w:rsidRPr="002C2C75">
              <w:rPr>
                <w:rFonts w:ascii="Calibri" w:hAnsi="Calibri" w:cs="Calibri"/>
                <w:sz w:val="16"/>
                <w:szCs w:val="16"/>
              </w:rPr>
              <w:t>Met</w:t>
            </w:r>
          </w:p>
        </w:tc>
        <w:tc>
          <w:tcPr>
            <w:tcW w:w="5490" w:type="dxa"/>
            <w:tcBorders>
              <w:top w:val="nil"/>
              <w:left w:val="nil"/>
              <w:bottom w:val="single" w:sz="8" w:space="0" w:color="auto"/>
              <w:right w:val="single" w:sz="8" w:space="0" w:color="auto"/>
            </w:tcBorders>
            <w:tcMar>
              <w:top w:w="0" w:type="dxa"/>
              <w:left w:w="108" w:type="dxa"/>
              <w:bottom w:w="0" w:type="dxa"/>
              <w:right w:w="108" w:type="dxa"/>
            </w:tcMar>
            <w:hideMark/>
          </w:tcPr>
          <w:p w14:paraId="57CC8E7C" w14:textId="30F749B9" w:rsidR="0075301C" w:rsidRPr="002C2C75" w:rsidRDefault="0075301C" w:rsidP="00FA3D98">
            <w:pPr>
              <w:spacing w:after="0" w:line="240" w:lineRule="auto"/>
              <w:rPr>
                <w:rFonts w:ascii="Calibri" w:hAnsi="Calibri" w:cs="Calibri"/>
                <w:sz w:val="16"/>
                <w:szCs w:val="16"/>
              </w:rPr>
            </w:pPr>
            <w:r w:rsidRPr="002C2C75">
              <w:rPr>
                <w:rFonts w:ascii="Calibri" w:hAnsi="Calibri" w:cs="Calibri"/>
                <w:sz w:val="16"/>
                <w:szCs w:val="16"/>
              </w:rPr>
              <w:t>Module 10 includes strengthening</w:t>
            </w:r>
            <w:r w:rsidR="00FA3D98" w:rsidRPr="002C2C75">
              <w:rPr>
                <w:rFonts w:ascii="Calibri" w:hAnsi="Calibri" w:cs="Calibri"/>
                <w:sz w:val="16"/>
                <w:szCs w:val="16"/>
              </w:rPr>
              <w:t xml:space="preserve"> and </w:t>
            </w:r>
            <w:r w:rsidRPr="002C2C75">
              <w:rPr>
                <w:rFonts w:ascii="Calibri" w:hAnsi="Calibri" w:cs="Calibri"/>
                <w:sz w:val="16"/>
                <w:szCs w:val="16"/>
              </w:rPr>
              <w:t xml:space="preserve">scaling of community workforce at </w:t>
            </w:r>
            <w:r w:rsidRPr="002C2C75">
              <w:rPr>
                <w:rFonts w:ascii="Calibri" w:hAnsi="Calibri" w:cs="Calibri"/>
                <w:b/>
                <w:bCs/>
                <w:sz w:val="16"/>
                <w:szCs w:val="16"/>
              </w:rPr>
              <w:t>total of $</w:t>
            </w:r>
            <w:r w:rsidR="00A246BA">
              <w:rPr>
                <w:rFonts w:ascii="Calibri" w:hAnsi="Calibri" w:cs="Calibri"/>
                <w:b/>
                <w:bCs/>
                <w:sz w:val="16"/>
                <w:szCs w:val="16"/>
              </w:rPr>
              <w:t>9</w:t>
            </w:r>
            <w:r w:rsidRPr="002C2C75">
              <w:rPr>
                <w:rFonts w:ascii="Calibri" w:hAnsi="Calibri" w:cs="Calibri"/>
                <w:b/>
                <w:bCs/>
                <w:sz w:val="16"/>
                <w:szCs w:val="16"/>
              </w:rPr>
              <w:t>.</w:t>
            </w:r>
            <w:r w:rsidR="00A246BA">
              <w:rPr>
                <w:rFonts w:ascii="Calibri" w:hAnsi="Calibri" w:cs="Calibri"/>
                <w:b/>
                <w:bCs/>
                <w:sz w:val="16"/>
                <w:szCs w:val="16"/>
              </w:rPr>
              <w:t>48</w:t>
            </w:r>
            <w:r w:rsidRPr="002C2C75">
              <w:rPr>
                <w:rFonts w:ascii="Calibri" w:hAnsi="Calibri" w:cs="Calibri"/>
                <w:b/>
                <w:bCs/>
                <w:sz w:val="16"/>
                <w:szCs w:val="16"/>
              </w:rPr>
              <w:t xml:space="preserve">M </w:t>
            </w:r>
            <w:r w:rsidRPr="002C2C75">
              <w:rPr>
                <w:rFonts w:ascii="Calibri" w:hAnsi="Calibri" w:cs="Calibri"/>
                <w:sz w:val="16"/>
                <w:szCs w:val="16"/>
              </w:rPr>
              <w:t xml:space="preserve">– including HRH planning, management and governance, pre-service training of 660 CHWs, hiring/renumeration of 963 additional CHW, </w:t>
            </w:r>
            <w:r w:rsidR="00FA3D98" w:rsidRPr="002C2C75">
              <w:rPr>
                <w:rFonts w:ascii="Calibri" w:hAnsi="Calibri" w:cs="Calibri"/>
                <w:sz w:val="16"/>
                <w:szCs w:val="16"/>
              </w:rPr>
              <w:t>CHW</w:t>
            </w:r>
            <w:r w:rsidRPr="002C2C75">
              <w:rPr>
                <w:rFonts w:ascii="Calibri" w:hAnsi="Calibri" w:cs="Calibri"/>
                <w:sz w:val="16"/>
                <w:szCs w:val="16"/>
              </w:rPr>
              <w:t xml:space="preserve"> supervision</w:t>
            </w:r>
            <w:r w:rsidR="00A246BA">
              <w:rPr>
                <w:rFonts w:ascii="Calibri" w:hAnsi="Calibri" w:cs="Calibri"/>
                <w:sz w:val="16"/>
                <w:szCs w:val="16"/>
              </w:rPr>
              <w:t>.</w:t>
            </w:r>
            <w:r w:rsidR="00DA0A16" w:rsidRPr="002C2C75">
              <w:rPr>
                <w:rFonts w:ascii="Calibri" w:hAnsi="Calibri" w:cs="Calibri"/>
                <w:sz w:val="16"/>
                <w:szCs w:val="16"/>
              </w:rPr>
              <w:t xml:space="preserve"> </w:t>
            </w:r>
          </w:p>
        </w:tc>
      </w:tr>
      <w:tr w:rsidR="00FA3D98" w:rsidRPr="002C2C75" w14:paraId="315B2560" w14:textId="77777777" w:rsidTr="00DA0A16">
        <w:trPr>
          <w:trHeight w:val="425"/>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72FDB5" w14:textId="77777777" w:rsidR="0075301C" w:rsidRPr="002C2C75" w:rsidRDefault="0075301C" w:rsidP="00FA3D98">
            <w:pPr>
              <w:spacing w:after="0" w:line="240" w:lineRule="auto"/>
              <w:rPr>
                <w:rFonts w:ascii="Calibri" w:hAnsi="Calibri" w:cs="Calibri"/>
                <w:sz w:val="16"/>
                <w:szCs w:val="16"/>
              </w:rPr>
            </w:pPr>
            <w:r w:rsidRPr="002C2C75">
              <w:rPr>
                <w:rFonts w:ascii="Calibri" w:hAnsi="Calibri" w:cs="Calibri"/>
                <w:sz w:val="16"/>
                <w:szCs w:val="16"/>
              </w:rPr>
              <w:t>Alignment of investments with the RSSH “Critical Approaches” outlined in the Global Fund’s RSSH Information Note.</w:t>
            </w:r>
          </w:p>
        </w:tc>
        <w:tc>
          <w:tcPr>
            <w:tcW w:w="630" w:type="dxa"/>
            <w:tcBorders>
              <w:top w:val="nil"/>
              <w:left w:val="nil"/>
              <w:bottom w:val="single" w:sz="8" w:space="0" w:color="auto"/>
              <w:right w:val="single" w:sz="8" w:space="0" w:color="auto"/>
            </w:tcBorders>
            <w:tcMar>
              <w:top w:w="0" w:type="dxa"/>
              <w:left w:w="108" w:type="dxa"/>
              <w:bottom w:w="0" w:type="dxa"/>
              <w:right w:w="108" w:type="dxa"/>
            </w:tcMar>
            <w:hideMark/>
          </w:tcPr>
          <w:p w14:paraId="1B7BC872" w14:textId="77777777" w:rsidR="0075301C" w:rsidRPr="002C2C75" w:rsidRDefault="0075301C" w:rsidP="00FA3D98">
            <w:pPr>
              <w:spacing w:after="0" w:line="240" w:lineRule="auto"/>
              <w:rPr>
                <w:rFonts w:ascii="Calibri" w:hAnsi="Calibri" w:cs="Calibri"/>
                <w:sz w:val="16"/>
                <w:szCs w:val="16"/>
              </w:rPr>
            </w:pPr>
            <w:r w:rsidRPr="002C2C75">
              <w:rPr>
                <w:rFonts w:ascii="Calibri" w:hAnsi="Calibri" w:cs="Calibri"/>
                <w:sz w:val="16"/>
                <w:szCs w:val="16"/>
              </w:rPr>
              <w:t>Met</w:t>
            </w:r>
          </w:p>
        </w:tc>
        <w:tc>
          <w:tcPr>
            <w:tcW w:w="5490" w:type="dxa"/>
            <w:tcBorders>
              <w:top w:val="nil"/>
              <w:left w:val="nil"/>
              <w:bottom w:val="single" w:sz="8" w:space="0" w:color="auto"/>
              <w:right w:val="single" w:sz="8" w:space="0" w:color="auto"/>
            </w:tcBorders>
            <w:tcMar>
              <w:top w:w="0" w:type="dxa"/>
              <w:left w:w="108" w:type="dxa"/>
              <w:bottom w:w="0" w:type="dxa"/>
              <w:right w:w="108" w:type="dxa"/>
            </w:tcMar>
            <w:hideMark/>
          </w:tcPr>
          <w:p w14:paraId="76C58006" w14:textId="24216E6B" w:rsidR="0075301C" w:rsidRPr="002C2C75" w:rsidRDefault="0075301C" w:rsidP="00DA0A16">
            <w:pPr>
              <w:spacing w:after="0" w:line="240" w:lineRule="auto"/>
              <w:rPr>
                <w:rFonts w:ascii="Calibri" w:hAnsi="Calibri" w:cs="Calibri"/>
                <w:sz w:val="16"/>
                <w:szCs w:val="16"/>
              </w:rPr>
            </w:pPr>
            <w:r w:rsidRPr="002C2C75">
              <w:rPr>
                <w:rFonts w:ascii="Calibri" w:hAnsi="Calibri" w:cs="Calibri"/>
                <w:sz w:val="16"/>
                <w:szCs w:val="16"/>
              </w:rPr>
              <w:t>All 3 critical approaches for investing in HRH have some investment planned:</w:t>
            </w:r>
          </w:p>
          <w:p w14:paraId="11CD5261" w14:textId="7A1CCD05" w:rsidR="0075301C" w:rsidRPr="002C2C75" w:rsidRDefault="0075301C" w:rsidP="00DA0A16">
            <w:pPr>
              <w:pStyle w:val="m-1546250433784318022msolistparagraph"/>
              <w:numPr>
                <w:ilvl w:val="0"/>
                <w:numId w:val="84"/>
              </w:numPr>
              <w:spacing w:before="0" w:beforeAutospacing="0" w:after="0" w:afterAutospacing="0"/>
              <w:rPr>
                <w:rFonts w:eastAsia="Times New Roman"/>
                <w:sz w:val="16"/>
                <w:szCs w:val="16"/>
              </w:rPr>
            </w:pPr>
            <w:r w:rsidRPr="002C2C75">
              <w:rPr>
                <w:rFonts w:eastAsia="Times New Roman"/>
                <w:b/>
                <w:bCs/>
                <w:sz w:val="16"/>
                <w:szCs w:val="16"/>
              </w:rPr>
              <w:t>A package of more effective interventions to improve HRH performance</w:t>
            </w:r>
            <w:r w:rsidRPr="002C2C75">
              <w:rPr>
                <w:rFonts w:eastAsia="Times New Roman"/>
                <w:sz w:val="16"/>
                <w:szCs w:val="16"/>
              </w:rPr>
              <w:t xml:space="preserve"> – more and better supervision, including for CHWs; improved training, including through institutionalized pre-service training</w:t>
            </w:r>
            <w:r w:rsidR="00DA0A16" w:rsidRPr="002C2C75">
              <w:rPr>
                <w:rFonts w:eastAsia="Times New Roman"/>
                <w:sz w:val="16"/>
                <w:szCs w:val="16"/>
              </w:rPr>
              <w:t>; and equipment/kits</w:t>
            </w:r>
          </w:p>
          <w:p w14:paraId="0CDE11CF" w14:textId="77777777" w:rsidR="0075301C" w:rsidRPr="002C2C75" w:rsidRDefault="0075301C" w:rsidP="00DA0A16">
            <w:pPr>
              <w:pStyle w:val="m-1546250433784318022msolistparagraph"/>
              <w:numPr>
                <w:ilvl w:val="0"/>
                <w:numId w:val="84"/>
              </w:numPr>
              <w:spacing w:before="0" w:beforeAutospacing="0" w:after="0" w:afterAutospacing="0"/>
              <w:rPr>
                <w:rFonts w:eastAsia="Times New Roman"/>
                <w:sz w:val="16"/>
                <w:szCs w:val="16"/>
              </w:rPr>
            </w:pPr>
            <w:r w:rsidRPr="002C2C75">
              <w:rPr>
                <w:rFonts w:eastAsia="Times New Roman"/>
                <w:b/>
                <w:bCs/>
                <w:sz w:val="16"/>
                <w:szCs w:val="16"/>
              </w:rPr>
              <w:t xml:space="preserve">Catalytic support for integrated HRH strategic planning </w:t>
            </w:r>
            <w:r w:rsidRPr="002C2C75">
              <w:rPr>
                <w:rFonts w:eastAsia="Times New Roman"/>
                <w:sz w:val="16"/>
                <w:szCs w:val="16"/>
              </w:rPr>
              <w:t>– HRH strategy review and development is planned</w:t>
            </w:r>
          </w:p>
          <w:p w14:paraId="3E5DD903" w14:textId="77777777" w:rsidR="0075301C" w:rsidRPr="002C2C75" w:rsidRDefault="0075301C" w:rsidP="00DA0A16">
            <w:pPr>
              <w:pStyle w:val="m-1546250433784318022msolistparagraph"/>
              <w:numPr>
                <w:ilvl w:val="0"/>
                <w:numId w:val="84"/>
              </w:numPr>
              <w:spacing w:before="0" w:beforeAutospacing="0" w:after="0" w:afterAutospacing="0"/>
              <w:rPr>
                <w:rFonts w:eastAsia="Times New Roman"/>
                <w:sz w:val="16"/>
                <w:szCs w:val="16"/>
              </w:rPr>
            </w:pPr>
            <w:r w:rsidRPr="002C2C75">
              <w:rPr>
                <w:rFonts w:eastAsia="Times New Roman"/>
                <w:b/>
                <w:bCs/>
                <w:sz w:val="16"/>
                <w:szCs w:val="16"/>
              </w:rPr>
              <w:t xml:space="preserve">Enhance system readiness to scale CHWs aligned with WHO guidance </w:t>
            </w:r>
            <w:r w:rsidRPr="002C2C75">
              <w:rPr>
                <w:rFonts w:eastAsia="Times New Roman"/>
                <w:sz w:val="16"/>
                <w:szCs w:val="16"/>
              </w:rPr>
              <w:t>– support to the integrated APS cadre, even while primary support remains through World Bank; evaluation of implementation to inform improvements</w:t>
            </w:r>
          </w:p>
        </w:tc>
      </w:tr>
      <w:tr w:rsidR="00FA3D98" w:rsidRPr="002C2C75" w14:paraId="4C0876FA" w14:textId="77777777" w:rsidTr="00FA3D98">
        <w:trPr>
          <w:trHeight w:val="117"/>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B5B330" w14:textId="77777777" w:rsidR="0075301C" w:rsidRPr="002C2C75" w:rsidRDefault="0075301C" w:rsidP="00FA3D98">
            <w:pPr>
              <w:spacing w:after="0" w:line="240" w:lineRule="auto"/>
              <w:rPr>
                <w:rFonts w:ascii="Calibri" w:hAnsi="Calibri" w:cs="Calibri"/>
                <w:sz w:val="16"/>
                <w:szCs w:val="16"/>
              </w:rPr>
            </w:pPr>
            <w:r w:rsidRPr="002C2C75">
              <w:rPr>
                <w:rFonts w:ascii="Calibri" w:hAnsi="Calibri" w:cs="Calibri"/>
                <w:sz w:val="16"/>
                <w:szCs w:val="16"/>
              </w:rPr>
              <w:t>Completion of the funding request’s RSSH Gaps and Priorities Annex and alignment with national strategies/plans</w:t>
            </w:r>
          </w:p>
        </w:tc>
        <w:tc>
          <w:tcPr>
            <w:tcW w:w="630" w:type="dxa"/>
            <w:tcBorders>
              <w:top w:val="nil"/>
              <w:left w:val="nil"/>
              <w:bottom w:val="single" w:sz="8" w:space="0" w:color="auto"/>
              <w:right w:val="single" w:sz="8" w:space="0" w:color="auto"/>
            </w:tcBorders>
            <w:tcMar>
              <w:top w:w="0" w:type="dxa"/>
              <w:left w:w="108" w:type="dxa"/>
              <w:bottom w:w="0" w:type="dxa"/>
              <w:right w:w="108" w:type="dxa"/>
            </w:tcMar>
            <w:hideMark/>
          </w:tcPr>
          <w:p w14:paraId="25A7EDB7" w14:textId="77777777" w:rsidR="0075301C" w:rsidRPr="002C2C75" w:rsidRDefault="0075301C" w:rsidP="00FA3D98">
            <w:pPr>
              <w:spacing w:after="0" w:line="240" w:lineRule="auto"/>
              <w:rPr>
                <w:rFonts w:ascii="Calibri" w:hAnsi="Calibri" w:cs="Calibri"/>
                <w:sz w:val="16"/>
                <w:szCs w:val="16"/>
              </w:rPr>
            </w:pPr>
            <w:r w:rsidRPr="002C2C75">
              <w:rPr>
                <w:rFonts w:ascii="Calibri" w:hAnsi="Calibri" w:cs="Calibri"/>
                <w:sz w:val="16"/>
                <w:szCs w:val="16"/>
              </w:rPr>
              <w:t>Met</w:t>
            </w:r>
          </w:p>
        </w:tc>
        <w:tc>
          <w:tcPr>
            <w:tcW w:w="5490" w:type="dxa"/>
            <w:tcBorders>
              <w:top w:val="nil"/>
              <w:left w:val="nil"/>
              <w:bottom w:val="single" w:sz="8" w:space="0" w:color="auto"/>
              <w:right w:val="single" w:sz="8" w:space="0" w:color="auto"/>
            </w:tcBorders>
            <w:tcMar>
              <w:top w:w="0" w:type="dxa"/>
              <w:left w:w="108" w:type="dxa"/>
              <w:bottom w:w="0" w:type="dxa"/>
              <w:right w:w="108" w:type="dxa"/>
            </w:tcMar>
            <w:hideMark/>
          </w:tcPr>
          <w:p w14:paraId="36573E94" w14:textId="18DB7B58" w:rsidR="0075301C" w:rsidRPr="002C2C75" w:rsidRDefault="0075301C" w:rsidP="00FA3D98">
            <w:pPr>
              <w:spacing w:after="0" w:line="240" w:lineRule="auto"/>
              <w:rPr>
                <w:rFonts w:ascii="Calibri" w:hAnsi="Calibri" w:cs="Calibri"/>
                <w:sz w:val="16"/>
                <w:szCs w:val="16"/>
              </w:rPr>
            </w:pPr>
            <w:r w:rsidRPr="002C2C75">
              <w:rPr>
                <w:rFonts w:ascii="Calibri" w:hAnsi="Calibri" w:cs="Calibri"/>
                <w:sz w:val="16"/>
                <w:szCs w:val="16"/>
              </w:rPr>
              <w:t>RSSH Annex included</w:t>
            </w:r>
          </w:p>
        </w:tc>
      </w:tr>
      <w:tr w:rsidR="00FA3D98" w:rsidRPr="002C2C75" w14:paraId="5B6E15C0" w14:textId="77777777" w:rsidTr="00FA3D98">
        <w:trPr>
          <w:trHeight w:val="238"/>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C92C09" w14:textId="77777777" w:rsidR="0075301C" w:rsidRPr="002C2C75" w:rsidRDefault="0075301C" w:rsidP="00FA3D98">
            <w:pPr>
              <w:spacing w:after="0" w:line="240" w:lineRule="auto"/>
              <w:rPr>
                <w:rFonts w:ascii="Calibri" w:hAnsi="Calibri" w:cs="Calibri"/>
                <w:sz w:val="16"/>
                <w:szCs w:val="16"/>
              </w:rPr>
            </w:pPr>
            <w:r w:rsidRPr="002C2C75">
              <w:rPr>
                <w:rFonts w:ascii="Calibri" w:hAnsi="Calibri" w:cs="Calibri"/>
                <w:sz w:val="16"/>
                <w:szCs w:val="16"/>
              </w:rPr>
              <w:t>Demonstrated meaningful engagement of Ministry of Health (MoH) community health units, CHWs/CHW associations, and community-led organizations (CLO)/ community based organizations (CBO) employing CHW in funding request development and grant making.</w:t>
            </w:r>
          </w:p>
        </w:tc>
        <w:tc>
          <w:tcPr>
            <w:tcW w:w="630" w:type="dxa"/>
            <w:tcBorders>
              <w:top w:val="nil"/>
              <w:left w:val="nil"/>
              <w:bottom w:val="single" w:sz="8" w:space="0" w:color="auto"/>
              <w:right w:val="single" w:sz="8" w:space="0" w:color="auto"/>
            </w:tcBorders>
            <w:tcMar>
              <w:top w:w="0" w:type="dxa"/>
              <w:left w:w="108" w:type="dxa"/>
              <w:bottom w:w="0" w:type="dxa"/>
              <w:right w:w="108" w:type="dxa"/>
            </w:tcMar>
            <w:hideMark/>
          </w:tcPr>
          <w:p w14:paraId="6FAB3F97" w14:textId="77777777" w:rsidR="0075301C" w:rsidRPr="002C2C75" w:rsidRDefault="0075301C" w:rsidP="00FA3D98">
            <w:pPr>
              <w:spacing w:after="0" w:line="240" w:lineRule="auto"/>
              <w:rPr>
                <w:rFonts w:ascii="Calibri" w:hAnsi="Calibri" w:cs="Calibri"/>
                <w:sz w:val="16"/>
                <w:szCs w:val="16"/>
              </w:rPr>
            </w:pPr>
            <w:r w:rsidRPr="002C2C75">
              <w:rPr>
                <w:rFonts w:ascii="Calibri" w:hAnsi="Calibri" w:cs="Calibri"/>
                <w:sz w:val="16"/>
                <w:szCs w:val="16"/>
              </w:rPr>
              <w:t>Met</w:t>
            </w:r>
          </w:p>
        </w:tc>
        <w:tc>
          <w:tcPr>
            <w:tcW w:w="5490" w:type="dxa"/>
            <w:tcBorders>
              <w:top w:val="nil"/>
              <w:left w:val="nil"/>
              <w:bottom w:val="single" w:sz="8" w:space="0" w:color="auto"/>
              <w:right w:val="single" w:sz="8" w:space="0" w:color="auto"/>
            </w:tcBorders>
            <w:tcMar>
              <w:top w:w="0" w:type="dxa"/>
              <w:left w:w="108" w:type="dxa"/>
              <w:bottom w:w="0" w:type="dxa"/>
              <w:right w:w="108" w:type="dxa"/>
            </w:tcMar>
            <w:hideMark/>
          </w:tcPr>
          <w:p w14:paraId="17B37A78" w14:textId="1486B1D9" w:rsidR="0075301C" w:rsidRPr="002C2C75" w:rsidRDefault="0075301C" w:rsidP="00FA3D98">
            <w:pPr>
              <w:spacing w:after="0" w:line="240" w:lineRule="auto"/>
              <w:rPr>
                <w:rFonts w:ascii="Calibri" w:hAnsi="Calibri" w:cs="Calibri"/>
                <w:sz w:val="16"/>
                <w:szCs w:val="16"/>
              </w:rPr>
            </w:pPr>
            <w:r w:rsidRPr="002C2C75">
              <w:rPr>
                <w:rFonts w:ascii="Calibri" w:hAnsi="Calibri" w:cs="Calibri"/>
                <w:sz w:val="16"/>
                <w:szCs w:val="16"/>
              </w:rPr>
              <w:t>RSSH Annex included</w:t>
            </w:r>
          </w:p>
        </w:tc>
      </w:tr>
      <w:tr w:rsidR="00FA3D98" w:rsidRPr="002C2C75" w14:paraId="25784CD9" w14:textId="77777777" w:rsidTr="00FA3D98">
        <w:trPr>
          <w:trHeight w:val="299"/>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453D85" w14:textId="77777777" w:rsidR="0075301C" w:rsidRPr="002C2C75" w:rsidRDefault="0075301C" w:rsidP="00FA3D98">
            <w:pPr>
              <w:spacing w:after="0" w:line="240" w:lineRule="auto"/>
              <w:rPr>
                <w:rFonts w:ascii="Calibri" w:hAnsi="Calibri" w:cs="Calibri"/>
                <w:sz w:val="16"/>
                <w:szCs w:val="16"/>
              </w:rPr>
            </w:pPr>
            <w:r w:rsidRPr="002C2C75">
              <w:rPr>
                <w:rFonts w:ascii="Calibri" w:hAnsi="Calibri" w:cs="Calibri"/>
                <w:sz w:val="16"/>
                <w:szCs w:val="16"/>
              </w:rPr>
              <w:t>Inclusion of investments that are aligned with the guidance on CHW and CSS outlined in the Global Fund’s RSSH Information Note, including the eligible interventions outlined in the investment focus (which will be included in the Global Fund’s Matching Funds Guidelines 2023-2025, on the Global Fund’s website in 2023).</w:t>
            </w:r>
          </w:p>
        </w:tc>
        <w:tc>
          <w:tcPr>
            <w:tcW w:w="630" w:type="dxa"/>
            <w:tcBorders>
              <w:top w:val="nil"/>
              <w:left w:val="nil"/>
              <w:bottom w:val="single" w:sz="8" w:space="0" w:color="auto"/>
              <w:right w:val="single" w:sz="8" w:space="0" w:color="auto"/>
            </w:tcBorders>
            <w:tcMar>
              <w:top w:w="0" w:type="dxa"/>
              <w:left w:w="108" w:type="dxa"/>
              <w:bottom w:w="0" w:type="dxa"/>
              <w:right w:w="108" w:type="dxa"/>
            </w:tcMar>
            <w:hideMark/>
          </w:tcPr>
          <w:p w14:paraId="6055D7D4" w14:textId="77777777" w:rsidR="0075301C" w:rsidRPr="002C2C75" w:rsidRDefault="0075301C" w:rsidP="00FA3D98">
            <w:pPr>
              <w:spacing w:after="0" w:line="240" w:lineRule="auto"/>
              <w:rPr>
                <w:rFonts w:ascii="Calibri" w:hAnsi="Calibri" w:cs="Calibri"/>
                <w:sz w:val="16"/>
                <w:szCs w:val="16"/>
              </w:rPr>
            </w:pPr>
            <w:r w:rsidRPr="002C2C75">
              <w:rPr>
                <w:rFonts w:ascii="Calibri" w:hAnsi="Calibri" w:cs="Calibri"/>
                <w:sz w:val="16"/>
                <w:szCs w:val="16"/>
              </w:rPr>
              <w:t>Met</w:t>
            </w:r>
          </w:p>
        </w:tc>
        <w:tc>
          <w:tcPr>
            <w:tcW w:w="5490" w:type="dxa"/>
            <w:tcBorders>
              <w:top w:val="nil"/>
              <w:left w:val="nil"/>
              <w:bottom w:val="single" w:sz="8" w:space="0" w:color="auto"/>
              <w:right w:val="single" w:sz="8" w:space="0" w:color="auto"/>
            </w:tcBorders>
            <w:tcMar>
              <w:top w:w="0" w:type="dxa"/>
              <w:left w:w="108" w:type="dxa"/>
              <w:bottom w:w="0" w:type="dxa"/>
              <w:right w:w="108" w:type="dxa"/>
            </w:tcMar>
            <w:hideMark/>
          </w:tcPr>
          <w:p w14:paraId="08399E3D" w14:textId="4E17489D" w:rsidR="0075301C" w:rsidRPr="002C2C75" w:rsidRDefault="0075301C" w:rsidP="00FA3D98">
            <w:pPr>
              <w:spacing w:after="0" w:line="240" w:lineRule="auto"/>
              <w:rPr>
                <w:rFonts w:ascii="Calibri" w:hAnsi="Calibri" w:cs="Calibri"/>
                <w:sz w:val="16"/>
                <w:szCs w:val="16"/>
              </w:rPr>
            </w:pPr>
            <w:r w:rsidRPr="002C2C75">
              <w:rPr>
                <w:rFonts w:ascii="Calibri" w:hAnsi="Calibri" w:cs="Calibri"/>
                <w:sz w:val="16"/>
                <w:szCs w:val="16"/>
              </w:rPr>
              <w:t>All investments are aligned to this guidance. The funding request includes a description of investments in CSS priority areas of community-led monitoring, community-led research and advocacy, social mobilization, building community linkages and coordination, and institutional capacity strengthening and leadership development (pages 18-20 of the RSSH information note), also described in the "</w:t>
            </w:r>
            <w:hyperlink r:id="rId52" w:history="1">
              <w:r w:rsidRPr="002C2C75">
                <w:rPr>
                  <w:rStyle w:val="Hyperlink"/>
                  <w:rFonts w:ascii="Calibri" w:hAnsi="Calibri" w:cs="Calibri"/>
                  <w:sz w:val="16"/>
                  <w:szCs w:val="16"/>
                </w:rPr>
                <w:t>Decision-making Guide for Community Systems Strengthening Interventions in Global Fund Grants</w:t>
              </w:r>
            </w:hyperlink>
            <w:r w:rsidRPr="002C2C75">
              <w:rPr>
                <w:rFonts w:ascii="Calibri" w:hAnsi="Calibri" w:cs="Calibri"/>
                <w:sz w:val="16"/>
                <w:szCs w:val="16"/>
              </w:rPr>
              <w:t xml:space="preserve">", following critical questions described in pages 6-21. Civil Society Organizations defined these priority interventions and associated activities, themselves, within their congregating platform (PLASOC-M), costed those activites and interventions and ensured that those were included in the Funding Request as decided in their General Assembly and other internal coordination mechanisms. </w:t>
            </w:r>
          </w:p>
        </w:tc>
      </w:tr>
      <w:tr w:rsidR="00FA3D98" w:rsidRPr="002C2C75" w14:paraId="27B5FDAE" w14:textId="77777777" w:rsidTr="00FA3D98">
        <w:trPr>
          <w:trHeight w:val="121"/>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28EDA3" w14:textId="77777777" w:rsidR="0075301C" w:rsidRPr="002C2C75" w:rsidRDefault="0075301C" w:rsidP="00FA3D98">
            <w:pPr>
              <w:spacing w:after="0" w:line="240" w:lineRule="auto"/>
              <w:rPr>
                <w:rFonts w:ascii="Calibri" w:hAnsi="Calibri" w:cs="Calibri"/>
                <w:sz w:val="16"/>
                <w:szCs w:val="16"/>
              </w:rPr>
            </w:pPr>
            <w:r w:rsidRPr="002C2C75">
              <w:rPr>
                <w:rFonts w:ascii="Calibri" w:hAnsi="Calibri" w:cs="Calibri"/>
                <w:sz w:val="16"/>
                <w:szCs w:val="16"/>
              </w:rPr>
              <w:t>Submission of a completed CHW Programmatic Gap Table, aligned with national strategies and plans.</w:t>
            </w:r>
          </w:p>
        </w:tc>
        <w:tc>
          <w:tcPr>
            <w:tcW w:w="630" w:type="dxa"/>
            <w:tcBorders>
              <w:top w:val="nil"/>
              <w:left w:val="nil"/>
              <w:bottom w:val="single" w:sz="8" w:space="0" w:color="auto"/>
              <w:right w:val="single" w:sz="8" w:space="0" w:color="auto"/>
            </w:tcBorders>
            <w:tcMar>
              <w:top w:w="0" w:type="dxa"/>
              <w:left w:w="108" w:type="dxa"/>
              <w:bottom w:w="0" w:type="dxa"/>
              <w:right w:w="108" w:type="dxa"/>
            </w:tcMar>
            <w:hideMark/>
          </w:tcPr>
          <w:p w14:paraId="243140A9" w14:textId="77777777" w:rsidR="0075301C" w:rsidRPr="002C2C75" w:rsidRDefault="0075301C" w:rsidP="00FA3D98">
            <w:pPr>
              <w:spacing w:after="0" w:line="240" w:lineRule="auto"/>
              <w:rPr>
                <w:rFonts w:ascii="Calibri" w:hAnsi="Calibri" w:cs="Calibri"/>
                <w:sz w:val="16"/>
                <w:szCs w:val="16"/>
              </w:rPr>
            </w:pPr>
            <w:r w:rsidRPr="002C2C75">
              <w:rPr>
                <w:rFonts w:ascii="Calibri" w:hAnsi="Calibri" w:cs="Calibri"/>
                <w:sz w:val="16"/>
                <w:szCs w:val="16"/>
              </w:rPr>
              <w:t>Met</w:t>
            </w:r>
          </w:p>
        </w:tc>
        <w:tc>
          <w:tcPr>
            <w:tcW w:w="5490" w:type="dxa"/>
            <w:tcBorders>
              <w:top w:val="nil"/>
              <w:left w:val="nil"/>
              <w:bottom w:val="single" w:sz="8" w:space="0" w:color="auto"/>
              <w:right w:val="single" w:sz="8" w:space="0" w:color="auto"/>
            </w:tcBorders>
            <w:tcMar>
              <w:top w:w="0" w:type="dxa"/>
              <w:left w:w="108" w:type="dxa"/>
              <w:bottom w:w="0" w:type="dxa"/>
              <w:right w:w="108" w:type="dxa"/>
            </w:tcMar>
            <w:hideMark/>
          </w:tcPr>
          <w:p w14:paraId="108A60F3" w14:textId="6727DFE8" w:rsidR="0075301C" w:rsidRPr="002C2C75" w:rsidRDefault="0075301C" w:rsidP="00FA3D98">
            <w:pPr>
              <w:spacing w:after="0" w:line="240" w:lineRule="auto"/>
              <w:rPr>
                <w:rFonts w:ascii="Calibri" w:hAnsi="Calibri" w:cs="Calibri"/>
                <w:sz w:val="16"/>
                <w:szCs w:val="16"/>
              </w:rPr>
            </w:pPr>
            <w:r w:rsidRPr="002C2C75">
              <w:rPr>
                <w:rFonts w:ascii="Calibri" w:hAnsi="Calibri" w:cs="Calibri"/>
                <w:sz w:val="16"/>
                <w:szCs w:val="16"/>
              </w:rPr>
              <w:t>CHW Programmatic Gap Table</w:t>
            </w:r>
            <w:r w:rsidR="00FA3D98" w:rsidRPr="002C2C75">
              <w:rPr>
                <w:rFonts w:ascii="Calibri" w:hAnsi="Calibri" w:cs="Calibri"/>
                <w:sz w:val="16"/>
                <w:szCs w:val="16"/>
              </w:rPr>
              <w:t xml:space="preserve"> included</w:t>
            </w:r>
          </w:p>
        </w:tc>
      </w:tr>
      <w:tr w:rsidR="00FA3D98" w:rsidRPr="002C2C75" w14:paraId="6F0048E5" w14:textId="77777777" w:rsidTr="00FA3D98">
        <w:trPr>
          <w:trHeight w:val="178"/>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D1C6EB" w14:textId="77777777" w:rsidR="0075301C" w:rsidRPr="002C2C75" w:rsidRDefault="0075301C" w:rsidP="00FA3D98">
            <w:pPr>
              <w:spacing w:after="0" w:line="240" w:lineRule="auto"/>
              <w:rPr>
                <w:rFonts w:ascii="Calibri" w:hAnsi="Calibri" w:cs="Calibri"/>
                <w:sz w:val="16"/>
                <w:szCs w:val="16"/>
              </w:rPr>
            </w:pPr>
            <w:r w:rsidRPr="002C2C75">
              <w:rPr>
                <w:rFonts w:ascii="Calibri" w:hAnsi="Calibri" w:cs="Calibri"/>
                <w:sz w:val="16"/>
                <w:szCs w:val="16"/>
              </w:rPr>
              <w:t>Inclusion of a Community Health Strategy (or plan to develop one) that integrates CHW, community-led and community-based services, and a costed operational plan.</w:t>
            </w:r>
          </w:p>
        </w:tc>
        <w:tc>
          <w:tcPr>
            <w:tcW w:w="630" w:type="dxa"/>
            <w:tcBorders>
              <w:top w:val="nil"/>
              <w:left w:val="nil"/>
              <w:bottom w:val="single" w:sz="8" w:space="0" w:color="auto"/>
              <w:right w:val="single" w:sz="8" w:space="0" w:color="auto"/>
            </w:tcBorders>
            <w:tcMar>
              <w:top w:w="0" w:type="dxa"/>
              <w:left w:w="108" w:type="dxa"/>
              <w:bottom w:w="0" w:type="dxa"/>
              <w:right w:w="108" w:type="dxa"/>
            </w:tcMar>
            <w:hideMark/>
          </w:tcPr>
          <w:p w14:paraId="09C8DC86" w14:textId="7C19B0FB" w:rsidR="0075301C" w:rsidRPr="002C2C75" w:rsidRDefault="00FA3D98" w:rsidP="00FA3D98">
            <w:pPr>
              <w:spacing w:after="0" w:line="240" w:lineRule="auto"/>
              <w:rPr>
                <w:rFonts w:ascii="Calibri" w:hAnsi="Calibri" w:cs="Calibri"/>
                <w:sz w:val="16"/>
                <w:szCs w:val="16"/>
              </w:rPr>
            </w:pPr>
            <w:r w:rsidRPr="002C2C75">
              <w:rPr>
                <w:rFonts w:ascii="Calibri" w:hAnsi="Calibri" w:cs="Calibri"/>
                <w:sz w:val="16"/>
                <w:szCs w:val="16"/>
              </w:rPr>
              <w:t>Met</w:t>
            </w:r>
          </w:p>
        </w:tc>
        <w:tc>
          <w:tcPr>
            <w:tcW w:w="5490" w:type="dxa"/>
            <w:tcBorders>
              <w:top w:val="nil"/>
              <w:left w:val="nil"/>
              <w:bottom w:val="single" w:sz="8" w:space="0" w:color="auto"/>
              <w:right w:val="single" w:sz="8" w:space="0" w:color="auto"/>
            </w:tcBorders>
            <w:tcMar>
              <w:top w:w="0" w:type="dxa"/>
              <w:left w:w="108" w:type="dxa"/>
              <w:bottom w:w="0" w:type="dxa"/>
              <w:right w:w="108" w:type="dxa"/>
            </w:tcMar>
            <w:hideMark/>
          </w:tcPr>
          <w:p w14:paraId="79C0A82A" w14:textId="00CD1E4C" w:rsidR="0075301C" w:rsidRPr="002C2C75" w:rsidRDefault="0075301C" w:rsidP="00FA3D98">
            <w:pPr>
              <w:spacing w:after="0" w:line="240" w:lineRule="auto"/>
              <w:rPr>
                <w:rFonts w:ascii="Calibri" w:hAnsi="Calibri" w:cs="Calibri"/>
                <w:sz w:val="16"/>
                <w:szCs w:val="16"/>
              </w:rPr>
            </w:pPr>
            <w:r w:rsidRPr="002C2C75">
              <w:rPr>
                <w:rFonts w:ascii="Calibri" w:hAnsi="Calibri" w:cs="Calibri"/>
                <w:sz w:val="16"/>
                <w:szCs w:val="16"/>
              </w:rPr>
              <w:t>Community Subsystem Strategy</w:t>
            </w:r>
            <w:r w:rsidR="00FA3D98" w:rsidRPr="002C2C75">
              <w:rPr>
                <w:rFonts w:ascii="Calibri" w:hAnsi="Calibri" w:cs="Calibri"/>
                <w:sz w:val="16"/>
                <w:szCs w:val="16"/>
              </w:rPr>
              <w:t xml:space="preserve"> attached</w:t>
            </w:r>
            <w:r w:rsidR="00EE2EC5" w:rsidRPr="002C2C75">
              <w:rPr>
                <w:rFonts w:ascii="Calibri" w:hAnsi="Calibri" w:cs="Calibri"/>
                <w:sz w:val="16"/>
                <w:szCs w:val="16"/>
              </w:rPr>
              <w:t xml:space="preserve"> as reference</w:t>
            </w:r>
            <w:r w:rsidRPr="002C2C75">
              <w:rPr>
                <w:rFonts w:ascii="Calibri" w:hAnsi="Calibri" w:cs="Calibri"/>
                <w:sz w:val="16"/>
                <w:szCs w:val="16"/>
              </w:rPr>
              <w:t>, which has been finalized and costed (a summary of the costs is provided in pages 33-34 of the strategy). The</w:t>
            </w:r>
            <w:r w:rsidR="00FA3D98" w:rsidRPr="002C2C75">
              <w:rPr>
                <w:rFonts w:ascii="Calibri" w:hAnsi="Calibri" w:cs="Calibri"/>
                <w:sz w:val="16"/>
                <w:szCs w:val="16"/>
              </w:rPr>
              <w:t xml:space="preserve"> detailed, costed</w:t>
            </w:r>
            <w:r w:rsidRPr="002C2C75">
              <w:rPr>
                <w:rFonts w:ascii="Calibri" w:hAnsi="Calibri" w:cs="Calibri"/>
                <w:sz w:val="16"/>
                <w:szCs w:val="16"/>
              </w:rPr>
              <w:t xml:space="preserve"> operational plan is being finalized this year. </w:t>
            </w:r>
          </w:p>
        </w:tc>
      </w:tr>
      <w:tr w:rsidR="00FA3D98" w:rsidRPr="002C2C75" w14:paraId="2CA97046" w14:textId="77777777" w:rsidTr="00FA3D98">
        <w:trPr>
          <w:trHeight w:val="416"/>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FB9FC2" w14:textId="66AF2D67" w:rsidR="0075301C" w:rsidRPr="002C2C75" w:rsidRDefault="0075301C" w:rsidP="00FA3D98">
            <w:pPr>
              <w:spacing w:after="0" w:line="240" w:lineRule="auto"/>
              <w:rPr>
                <w:rFonts w:ascii="Calibri" w:hAnsi="Calibri" w:cs="Calibri"/>
                <w:sz w:val="16"/>
                <w:szCs w:val="16"/>
              </w:rPr>
            </w:pPr>
            <w:r w:rsidRPr="002C2C75">
              <w:rPr>
                <w:rFonts w:ascii="Calibri" w:hAnsi="Calibri" w:cs="Calibri"/>
                <w:sz w:val="16"/>
                <w:szCs w:val="16"/>
              </w:rPr>
              <w:t>Inclusion of an analysis or assessment and plans for strengthening systems components needed for effective CHW and CLO/CBO service delivery, including leadership and governance, workforce (including planning, training, remuneration and supervision),</w:t>
            </w:r>
            <w:r w:rsidR="00FA3D98" w:rsidRPr="002C2C75">
              <w:rPr>
                <w:rFonts w:ascii="Calibri" w:hAnsi="Calibri" w:cs="Calibri"/>
                <w:sz w:val="16"/>
                <w:szCs w:val="16"/>
              </w:rPr>
              <w:t xml:space="preserve"> </w:t>
            </w:r>
            <w:r w:rsidRPr="002C2C75">
              <w:rPr>
                <w:rFonts w:ascii="Calibri" w:hAnsi="Calibri" w:cs="Calibri"/>
                <w:sz w:val="16"/>
                <w:szCs w:val="16"/>
              </w:rPr>
              <w:t>sustainable financing, digital tools and systems, supply chain, referral systems, and community-led monitoring, as well as the capacity of the MoH and of CLO/CBO in service delivery.</w:t>
            </w:r>
          </w:p>
        </w:tc>
        <w:tc>
          <w:tcPr>
            <w:tcW w:w="630" w:type="dxa"/>
            <w:tcBorders>
              <w:top w:val="nil"/>
              <w:left w:val="nil"/>
              <w:bottom w:val="single" w:sz="8" w:space="0" w:color="auto"/>
              <w:right w:val="single" w:sz="8" w:space="0" w:color="auto"/>
            </w:tcBorders>
            <w:tcMar>
              <w:top w:w="0" w:type="dxa"/>
              <w:left w:w="108" w:type="dxa"/>
              <w:bottom w:w="0" w:type="dxa"/>
              <w:right w:w="108" w:type="dxa"/>
            </w:tcMar>
            <w:hideMark/>
          </w:tcPr>
          <w:p w14:paraId="202C940B" w14:textId="77777777" w:rsidR="0075301C" w:rsidRPr="002C2C75" w:rsidRDefault="0075301C" w:rsidP="00FA3D98">
            <w:pPr>
              <w:spacing w:after="0" w:line="240" w:lineRule="auto"/>
              <w:rPr>
                <w:rFonts w:ascii="Calibri" w:hAnsi="Calibri" w:cs="Calibri"/>
                <w:sz w:val="16"/>
                <w:szCs w:val="16"/>
              </w:rPr>
            </w:pPr>
            <w:r w:rsidRPr="002C2C75">
              <w:rPr>
                <w:rFonts w:ascii="Calibri" w:hAnsi="Calibri" w:cs="Calibri"/>
                <w:sz w:val="16"/>
                <w:szCs w:val="16"/>
              </w:rPr>
              <w:t>Met</w:t>
            </w:r>
          </w:p>
        </w:tc>
        <w:tc>
          <w:tcPr>
            <w:tcW w:w="5490" w:type="dxa"/>
            <w:tcBorders>
              <w:top w:val="nil"/>
              <w:left w:val="nil"/>
              <w:bottom w:val="single" w:sz="8" w:space="0" w:color="auto"/>
              <w:right w:val="single" w:sz="8" w:space="0" w:color="auto"/>
            </w:tcBorders>
            <w:tcMar>
              <w:top w:w="0" w:type="dxa"/>
              <w:left w:w="108" w:type="dxa"/>
              <w:bottom w:w="0" w:type="dxa"/>
              <w:right w:w="108" w:type="dxa"/>
            </w:tcMar>
            <w:hideMark/>
          </w:tcPr>
          <w:p w14:paraId="6938372C" w14:textId="13C04960" w:rsidR="0075301C" w:rsidRPr="002C2C75" w:rsidRDefault="0075301C" w:rsidP="00FA3D98">
            <w:pPr>
              <w:spacing w:after="0" w:line="240" w:lineRule="auto"/>
              <w:rPr>
                <w:rFonts w:ascii="Calibri" w:hAnsi="Calibri" w:cs="Calibri"/>
                <w:sz w:val="16"/>
                <w:szCs w:val="16"/>
              </w:rPr>
            </w:pPr>
            <w:r w:rsidRPr="002C2C75">
              <w:rPr>
                <w:rFonts w:ascii="Calibri" w:hAnsi="Calibri" w:cs="Calibri"/>
                <w:sz w:val="16"/>
                <w:szCs w:val="16"/>
              </w:rPr>
              <w:t xml:space="preserve">Module 12 - $1.45M </w:t>
            </w:r>
            <w:r w:rsidR="00FA3D98" w:rsidRPr="002C2C75">
              <w:rPr>
                <w:rFonts w:ascii="Calibri" w:hAnsi="Calibri" w:cs="Calibri"/>
                <w:sz w:val="16"/>
                <w:szCs w:val="16"/>
              </w:rPr>
              <w:t xml:space="preserve">included </w:t>
            </w:r>
            <w:r w:rsidRPr="002C2C75">
              <w:rPr>
                <w:rFonts w:ascii="Calibri" w:hAnsi="Calibri" w:cs="Calibri"/>
                <w:sz w:val="16"/>
                <w:szCs w:val="16"/>
              </w:rPr>
              <w:t>for evaluation of implementation of the community health system</w:t>
            </w:r>
          </w:p>
        </w:tc>
      </w:tr>
    </w:tbl>
    <w:p w14:paraId="74B51512" w14:textId="77777777" w:rsidR="00FA3D98" w:rsidRPr="002C2C75" w:rsidRDefault="00FA3D98" w:rsidP="005E25BF">
      <w:pPr>
        <w:pStyle w:val="BodyText"/>
        <w:jc w:val="both"/>
        <w:rPr>
          <w:sz w:val="22"/>
          <w:szCs w:val="20"/>
          <w:lang w:val="en-US"/>
        </w:rPr>
      </w:pPr>
    </w:p>
    <w:p w14:paraId="6CF512D3" w14:textId="310952AB" w:rsidR="005E25BF" w:rsidRPr="002C2C75" w:rsidRDefault="00EE2EC5" w:rsidP="005E25BF">
      <w:pPr>
        <w:pStyle w:val="BodyText"/>
        <w:jc w:val="both"/>
        <w:rPr>
          <w:sz w:val="22"/>
          <w:szCs w:val="20"/>
          <w:lang w:val="en-US"/>
        </w:rPr>
      </w:pPr>
      <w:r w:rsidRPr="002C2C75">
        <w:rPr>
          <w:sz w:val="22"/>
          <w:szCs w:val="20"/>
          <w:lang w:val="en-US"/>
        </w:rPr>
        <w:t>Given these conditions are considered met, an additional $7,000,000 was budgeted in addition to the RSSH priorities. In addition to the $65,496,112 RSSH allocation budget brings the total request to $72,496,112.</w:t>
      </w:r>
    </w:p>
    <w:p w14:paraId="19869598" w14:textId="113134BE" w:rsidR="008F27DC" w:rsidRPr="002C2C75" w:rsidRDefault="005E25BF" w:rsidP="005E25BF">
      <w:pPr>
        <w:pStyle w:val="BodyText"/>
        <w:jc w:val="both"/>
        <w:rPr>
          <w:sz w:val="22"/>
          <w:szCs w:val="20"/>
          <w:lang w:val="en-US"/>
        </w:rPr>
      </w:pPr>
      <w:r w:rsidRPr="002C2C75">
        <w:rPr>
          <w:sz w:val="22"/>
          <w:szCs w:val="20"/>
          <w:lang w:val="en-US"/>
        </w:rPr>
        <w:t xml:space="preserve">The completed CHW Programmatic Gap Table and Community Subsystem Strategy </w:t>
      </w:r>
      <w:r w:rsidR="00EE2EC5" w:rsidRPr="002C2C75">
        <w:rPr>
          <w:sz w:val="22"/>
          <w:szCs w:val="20"/>
          <w:lang w:val="en-US"/>
        </w:rPr>
        <w:t xml:space="preserve">are included as </w:t>
      </w:r>
      <w:r w:rsidRPr="002C2C75">
        <w:rPr>
          <w:sz w:val="22"/>
          <w:szCs w:val="20"/>
          <w:lang w:val="en-US"/>
        </w:rPr>
        <w:t>attachments to the FR. Plans to conduct operational research, analysis and evaluation of community health system implementation to inform the expansion process and the revision of the Community Health Subsystem strategy is anticipated in coming years.</w:t>
      </w:r>
    </w:p>
    <w:p w14:paraId="4C935E2B" w14:textId="173D2F3B" w:rsidR="00F92EBF" w:rsidRPr="002C2C75" w:rsidRDefault="00DD6580">
      <w:pPr>
        <w:pStyle w:val="Heading1"/>
      </w:pPr>
      <w:r w:rsidRPr="002C2C75">
        <w:t xml:space="preserve">Maximizing </w:t>
      </w:r>
      <w:r w:rsidR="000D6F58" w:rsidRPr="002C2C75">
        <w:t xml:space="preserve">Impact </w:t>
      </w:r>
    </w:p>
    <w:p w14:paraId="7A8C2404" w14:textId="526F2941" w:rsidR="00EA1735" w:rsidRPr="002C2C75" w:rsidRDefault="00000000" w:rsidP="00EA1735">
      <w:pPr>
        <w:pStyle w:val="BodyText"/>
        <w:rPr>
          <w:lang w:val="en-US"/>
        </w:rPr>
      </w:pPr>
      <w:hyperlink r:id="rId53" w:history="1">
        <w:r w:rsidR="006C1CBC" w:rsidRPr="002C2C75">
          <w:rPr>
            <w:rStyle w:val="Hyperlink"/>
            <w:lang w:val="en-US"/>
          </w:rPr>
          <w:t xml:space="preserve">The </w:t>
        </w:r>
        <w:r w:rsidR="00BC78C4" w:rsidRPr="002C2C75">
          <w:rPr>
            <w:rStyle w:val="Hyperlink"/>
            <w:lang w:val="en-US"/>
          </w:rPr>
          <w:t xml:space="preserve">2023-2028 </w:t>
        </w:r>
        <w:r w:rsidR="006C1CBC" w:rsidRPr="002C2C75">
          <w:rPr>
            <w:rStyle w:val="Hyperlink"/>
            <w:lang w:val="en-US"/>
          </w:rPr>
          <w:t>Global Fund Strategy</w:t>
        </w:r>
        <w:r w:rsidR="00A87DE1" w:rsidRPr="002C2C75">
          <w:rPr>
            <w:rStyle w:val="FootnoteReference"/>
            <w:lang w:val="en-US"/>
          </w:rPr>
          <w:footnoteReference w:id="16"/>
        </w:r>
        <w:r w:rsidR="006C1CBC" w:rsidRPr="002C2C75">
          <w:rPr>
            <w:rStyle w:val="Hyperlink"/>
            <w:color w:val="auto"/>
            <w:u w:val="none"/>
            <w:lang w:val="en-US"/>
          </w:rPr>
          <w:t xml:space="preserve"> </w:t>
        </w:r>
      </w:hyperlink>
      <w:r w:rsidR="006567EE" w:rsidRPr="002C2C75">
        <w:rPr>
          <w:lang w:val="en-US"/>
        </w:rPr>
        <w:t xml:space="preserve">describes clear </w:t>
      </w:r>
      <w:r w:rsidR="00013503" w:rsidRPr="002C2C75">
        <w:rPr>
          <w:lang w:val="en-US"/>
        </w:rPr>
        <w:t xml:space="preserve">pathways </w:t>
      </w:r>
      <w:r w:rsidR="005D7B1E" w:rsidRPr="002C2C75">
        <w:rPr>
          <w:lang w:val="en-US"/>
        </w:rPr>
        <w:t>for control and elimination of the three diseases at a global level</w:t>
      </w:r>
      <w:r w:rsidR="00EF0E7E" w:rsidRPr="002C2C75">
        <w:rPr>
          <w:lang w:val="en-US"/>
        </w:rPr>
        <w:t>.</w:t>
      </w:r>
      <w:r w:rsidR="00EA1735" w:rsidRPr="002C2C75">
        <w:rPr>
          <w:lang w:val="en-US"/>
        </w:rPr>
        <w:t xml:space="preserve"> The </w:t>
      </w:r>
      <w:hyperlink r:id="rId54" w:anchor="page=15" w:history="1">
        <w:r w:rsidR="00EA1735" w:rsidRPr="002C2C75">
          <w:rPr>
            <w:rStyle w:val="Hyperlink"/>
            <w:lang w:val="en-US"/>
          </w:rPr>
          <w:t>Review Criteria of the Technical Review Panel</w:t>
        </w:r>
      </w:hyperlink>
      <w:r w:rsidR="00837A0C" w:rsidRPr="002C2C75">
        <w:rPr>
          <w:rStyle w:val="Hyperlink"/>
          <w:rFonts w:ascii="ZWAdobeF" w:hAnsi="ZWAdobeF" w:cs="ZWAdobeF"/>
          <w:color w:val="auto"/>
          <w:sz w:val="2"/>
          <w:szCs w:val="2"/>
          <w:u w:val="none"/>
          <w:lang w:val="en-US"/>
        </w:rPr>
        <w:t>1F</w:t>
      </w:r>
      <w:r w:rsidR="0020165E" w:rsidRPr="002C2C75">
        <w:rPr>
          <w:rStyle w:val="Hyperlink"/>
          <w:rFonts w:ascii="ZWAdobeF" w:hAnsi="ZWAdobeF" w:cs="ZWAdobeF"/>
          <w:color w:val="auto"/>
          <w:sz w:val="2"/>
          <w:szCs w:val="2"/>
          <w:u w:val="none"/>
          <w:lang w:val="en-US"/>
        </w:rPr>
        <w:t>1F</w:t>
      </w:r>
      <w:r w:rsidR="00A87DE1" w:rsidRPr="002C2C75">
        <w:rPr>
          <w:rStyle w:val="FootnoteReference"/>
          <w:lang w:val="en-US"/>
        </w:rPr>
        <w:footnoteReference w:id="17"/>
      </w:r>
      <w:r w:rsidR="00EA1735" w:rsidRPr="002C2C75">
        <w:rPr>
          <w:lang w:val="en-US"/>
        </w:rPr>
        <w:t xml:space="preserve"> will be used to </w:t>
      </w:r>
      <w:r w:rsidR="005D7B1E" w:rsidRPr="002C2C75">
        <w:rPr>
          <w:lang w:val="en-US"/>
        </w:rPr>
        <w:t>h</w:t>
      </w:r>
      <w:r w:rsidR="00C0164F" w:rsidRPr="002C2C75">
        <w:rPr>
          <w:lang w:val="en-US"/>
        </w:rPr>
        <w:t xml:space="preserve">elp </w:t>
      </w:r>
      <w:r w:rsidR="00AD2846" w:rsidRPr="002C2C75">
        <w:rPr>
          <w:lang w:val="en-US"/>
        </w:rPr>
        <w:t xml:space="preserve">evaluate </w:t>
      </w:r>
      <w:r w:rsidR="00687419" w:rsidRPr="002C2C75">
        <w:rPr>
          <w:lang w:val="en-US"/>
        </w:rPr>
        <w:t xml:space="preserve">optimal </w:t>
      </w:r>
      <w:r w:rsidR="00AD2846" w:rsidRPr="002C2C75">
        <w:rPr>
          <w:lang w:val="en-US"/>
        </w:rPr>
        <w:t>program</w:t>
      </w:r>
      <w:r w:rsidR="00AD2846" w:rsidRPr="002C2C75" w:rsidDel="00687419">
        <w:rPr>
          <w:lang w:val="en-US"/>
        </w:rPr>
        <w:t xml:space="preserve"> </w:t>
      </w:r>
      <w:r w:rsidR="00222505" w:rsidRPr="002C2C75">
        <w:rPr>
          <w:lang w:val="en-US"/>
        </w:rPr>
        <w:t>design</w:t>
      </w:r>
      <w:r w:rsidR="00687419" w:rsidRPr="002C2C75">
        <w:rPr>
          <w:lang w:val="en-US"/>
        </w:rPr>
        <w:t>.</w:t>
      </w:r>
    </w:p>
    <w:p w14:paraId="6FE227AD" w14:textId="07B0729B" w:rsidR="00CD6813" w:rsidRPr="002C2C75" w:rsidRDefault="00D956AC">
      <w:pPr>
        <w:pStyle w:val="Heading2"/>
        <w:numPr>
          <w:ilvl w:val="1"/>
          <w:numId w:val="17"/>
        </w:numPr>
      </w:pPr>
      <w:r w:rsidRPr="002C2C75">
        <w:t>Ending AIDS, TB and Malaria</w:t>
      </w:r>
    </w:p>
    <w:p w14:paraId="4833E68F" w14:textId="2F8470D9" w:rsidR="00D956AC" w:rsidRPr="002C2C75" w:rsidRDefault="000050E1">
      <w:pPr>
        <w:pStyle w:val="BodyText"/>
        <w:numPr>
          <w:ilvl w:val="2"/>
          <w:numId w:val="20"/>
        </w:numPr>
        <w:ind w:left="990" w:hanging="450"/>
        <w:rPr>
          <w:lang w:val="en-US"/>
        </w:rPr>
      </w:pPr>
      <w:bookmarkStart w:id="4" w:name="_Hlk100063745"/>
      <w:r w:rsidRPr="002C2C75">
        <w:rPr>
          <w:lang w:val="en-US"/>
        </w:rPr>
        <w:t>D</w:t>
      </w:r>
      <w:r w:rsidR="00D956AC" w:rsidRPr="002C2C75">
        <w:rPr>
          <w:lang w:val="en-US"/>
        </w:rPr>
        <w:t xml:space="preserve">escribe how the </w:t>
      </w:r>
      <w:r w:rsidR="008E706D" w:rsidRPr="002C2C75">
        <w:rPr>
          <w:lang w:val="en-US"/>
        </w:rPr>
        <w:t>Global Fund-supported program</w:t>
      </w:r>
      <w:r w:rsidR="00935D1A" w:rsidRPr="002C2C75">
        <w:rPr>
          <w:lang w:val="en-US"/>
        </w:rPr>
        <w:t>(s)</w:t>
      </w:r>
      <w:r w:rsidR="00780080" w:rsidRPr="002C2C75">
        <w:rPr>
          <w:lang w:val="en-US"/>
        </w:rPr>
        <w:t xml:space="preserve"> advance </w:t>
      </w:r>
      <w:r w:rsidR="00842447" w:rsidRPr="002C2C75">
        <w:rPr>
          <w:lang w:val="en-US"/>
        </w:rPr>
        <w:t>the</w:t>
      </w:r>
      <w:r w:rsidR="00780080" w:rsidRPr="002C2C75">
        <w:rPr>
          <w:lang w:val="en-US"/>
        </w:rPr>
        <w:t xml:space="preserve"> primary goal of ending AIDS, TB and </w:t>
      </w:r>
      <w:r w:rsidR="00B963EB" w:rsidRPr="002C2C75">
        <w:rPr>
          <w:lang w:val="en-US"/>
        </w:rPr>
        <w:t>m</w:t>
      </w:r>
      <w:r w:rsidR="00780080" w:rsidRPr="002C2C75">
        <w:rPr>
          <w:lang w:val="en-US"/>
        </w:rPr>
        <w:t>alaria</w:t>
      </w:r>
      <w:r w:rsidR="00A44D7C" w:rsidRPr="002C2C75">
        <w:rPr>
          <w:lang w:val="en-US"/>
        </w:rPr>
        <w:t>.</w:t>
      </w:r>
    </w:p>
    <w:p w14:paraId="06E9FF3D" w14:textId="7BAAE456" w:rsidR="0048669D" w:rsidRPr="002C2C75" w:rsidRDefault="0048669D" w:rsidP="00B65245">
      <w:pPr>
        <w:pStyle w:val="BodyText"/>
        <w:jc w:val="both"/>
        <w:rPr>
          <w:sz w:val="22"/>
          <w:lang w:val="en-US"/>
        </w:rPr>
      </w:pPr>
      <w:r w:rsidRPr="002C2C75">
        <w:rPr>
          <w:sz w:val="22"/>
          <w:lang w:val="en-US"/>
        </w:rPr>
        <w:t xml:space="preserve">The Global Fund is the largest malaria donor in Mozambique, and as such provides a large amount of the funding required to achieve priority activities of the country’s National Malaria Strategic Plan – a plan which is designed to achieve the goal of reducing morbidity and mortality by 45% by the year 2030. </w:t>
      </w:r>
    </w:p>
    <w:p w14:paraId="6606A22A" w14:textId="33AB7AD1" w:rsidR="0048669D" w:rsidRPr="002C2C75" w:rsidRDefault="0048669D" w:rsidP="00B65245">
      <w:pPr>
        <w:pStyle w:val="BodyText"/>
        <w:jc w:val="both"/>
        <w:rPr>
          <w:sz w:val="22"/>
          <w:lang w:val="en-US"/>
        </w:rPr>
      </w:pPr>
      <w:r w:rsidRPr="002C2C75">
        <w:rPr>
          <w:sz w:val="22"/>
          <w:lang w:val="en-US"/>
        </w:rPr>
        <w:t>Specifically, Global Fund-supported programming provides critical funding to:</w:t>
      </w:r>
    </w:p>
    <w:p w14:paraId="54936317" w14:textId="092EC7E4" w:rsidR="0048669D" w:rsidRPr="002C2C75" w:rsidRDefault="0048669D">
      <w:pPr>
        <w:pStyle w:val="BodyText"/>
        <w:numPr>
          <w:ilvl w:val="0"/>
          <w:numId w:val="57"/>
        </w:numPr>
        <w:jc w:val="both"/>
        <w:rPr>
          <w:sz w:val="22"/>
          <w:lang w:val="en-US"/>
        </w:rPr>
      </w:pPr>
      <w:r w:rsidRPr="002C2C75">
        <w:rPr>
          <w:sz w:val="22"/>
          <w:lang w:val="en-US"/>
        </w:rPr>
        <w:t>Increase access to quality diagnosis and treatment – through provision of key commodities and supportive interventions to improve the quality of care.</w:t>
      </w:r>
    </w:p>
    <w:p w14:paraId="62B7258E" w14:textId="7A84449B" w:rsidR="0048669D" w:rsidRPr="002C2C75" w:rsidRDefault="0048669D">
      <w:pPr>
        <w:pStyle w:val="BodyText"/>
        <w:numPr>
          <w:ilvl w:val="0"/>
          <w:numId w:val="57"/>
        </w:numPr>
        <w:jc w:val="both"/>
        <w:rPr>
          <w:sz w:val="22"/>
          <w:lang w:val="en-US"/>
        </w:rPr>
      </w:pPr>
      <w:r w:rsidRPr="002C2C75">
        <w:rPr>
          <w:sz w:val="22"/>
          <w:lang w:val="en-US"/>
        </w:rPr>
        <w:t>Scale up access and usage of effective prevention methods – through the distribution of ITNs, and targeted IRS, which prevent transmission and thus reduce morbidity and mortality</w:t>
      </w:r>
    </w:p>
    <w:p w14:paraId="1B27CCE9" w14:textId="684413C1" w:rsidR="0048669D" w:rsidRPr="002C2C75" w:rsidRDefault="0048669D">
      <w:pPr>
        <w:pStyle w:val="BodyText"/>
        <w:numPr>
          <w:ilvl w:val="0"/>
          <w:numId w:val="57"/>
        </w:numPr>
        <w:jc w:val="both"/>
        <w:rPr>
          <w:sz w:val="22"/>
          <w:lang w:val="en-US"/>
        </w:rPr>
      </w:pPr>
      <w:r w:rsidRPr="002C2C75">
        <w:rPr>
          <w:sz w:val="22"/>
          <w:lang w:val="en-US"/>
        </w:rPr>
        <w:t>Engaging communities – through SBCC activities that improve usage of key interventions and provide communities with the knowledge required to protect themselves</w:t>
      </w:r>
    </w:p>
    <w:p w14:paraId="16B6BC77" w14:textId="5222B0DE" w:rsidR="0048669D" w:rsidRPr="002C2C75" w:rsidRDefault="0048669D">
      <w:pPr>
        <w:pStyle w:val="BodyText"/>
        <w:numPr>
          <w:ilvl w:val="0"/>
          <w:numId w:val="57"/>
        </w:numPr>
        <w:jc w:val="both"/>
        <w:rPr>
          <w:sz w:val="22"/>
          <w:lang w:val="en-US"/>
        </w:rPr>
      </w:pPr>
      <w:r w:rsidRPr="002C2C75">
        <w:rPr>
          <w:sz w:val="22"/>
          <w:lang w:val="en-US"/>
        </w:rPr>
        <w:t>Strengthening capacity of the health workforce – through trainings, supervisions, and other activities which provide the right skills to frontline workers</w:t>
      </w:r>
    </w:p>
    <w:p w14:paraId="14C231F7" w14:textId="126927C3" w:rsidR="0048669D" w:rsidRPr="002C2C75" w:rsidRDefault="0048669D">
      <w:pPr>
        <w:pStyle w:val="BodyText"/>
        <w:numPr>
          <w:ilvl w:val="0"/>
          <w:numId w:val="57"/>
        </w:numPr>
        <w:jc w:val="both"/>
        <w:rPr>
          <w:sz w:val="22"/>
          <w:lang w:val="en-US"/>
        </w:rPr>
      </w:pPr>
      <w:r w:rsidRPr="002C2C75">
        <w:rPr>
          <w:sz w:val="22"/>
          <w:lang w:val="en-US"/>
        </w:rPr>
        <w:t>Building strong and resilient health systems – including for malaria through investment in support to key surveillance activities which improve epidemiological, entomological, and intervention intelligence that guide programmatic strategy and thus</w:t>
      </w:r>
      <w:r w:rsidR="00E61D85" w:rsidRPr="002C2C75">
        <w:rPr>
          <w:sz w:val="22"/>
          <w:lang w:val="en-US"/>
        </w:rPr>
        <w:t xml:space="preserve"> greater impact.</w:t>
      </w:r>
    </w:p>
    <w:p w14:paraId="67272AB8" w14:textId="2F70840D" w:rsidR="00E61D85" w:rsidRPr="002C2C75" w:rsidRDefault="00E61D85" w:rsidP="00E61D85">
      <w:pPr>
        <w:pStyle w:val="BodyText"/>
        <w:rPr>
          <w:lang w:val="en-US"/>
        </w:rPr>
      </w:pPr>
      <w:r w:rsidRPr="002C2C75">
        <w:rPr>
          <w:lang w:val="en-US"/>
        </w:rPr>
        <w:t>A strong emphasis on value-for-money was taken in the stratification, as described in Section 1.2, with priority given to the most cost-effective interventions when making prioritization decisions.</w:t>
      </w:r>
    </w:p>
    <w:p w14:paraId="20ED3FAE" w14:textId="651786D4" w:rsidR="00E856E0" w:rsidRPr="002C2C75" w:rsidRDefault="000050E1">
      <w:pPr>
        <w:pStyle w:val="BodyText"/>
        <w:numPr>
          <w:ilvl w:val="2"/>
          <w:numId w:val="20"/>
        </w:numPr>
        <w:ind w:left="990" w:hanging="450"/>
        <w:rPr>
          <w:lang w:val="en-US"/>
        </w:rPr>
      </w:pPr>
      <w:r w:rsidRPr="002C2C75">
        <w:rPr>
          <w:lang w:val="en-US"/>
        </w:rPr>
        <w:t>I</w:t>
      </w:r>
      <w:r w:rsidR="00055EC8" w:rsidRPr="002C2C75">
        <w:rPr>
          <w:lang w:val="en-US"/>
        </w:rPr>
        <w:t xml:space="preserve">ndicate </w:t>
      </w:r>
      <w:r w:rsidR="00DD0769" w:rsidRPr="002C2C75">
        <w:rPr>
          <w:lang w:val="en-US"/>
        </w:rPr>
        <w:t>if any</w:t>
      </w:r>
      <w:r w:rsidR="00055EC8" w:rsidRPr="002C2C75">
        <w:rPr>
          <w:lang w:val="en-US"/>
        </w:rPr>
        <w:t xml:space="preserve"> of the Program Essentials are currently not fulfilled, explain why, and describ</w:t>
      </w:r>
      <w:r w:rsidR="003E1346" w:rsidRPr="002C2C75">
        <w:rPr>
          <w:lang w:val="en-US"/>
        </w:rPr>
        <w:t>e</w:t>
      </w:r>
      <w:r w:rsidR="00055EC8" w:rsidRPr="002C2C75">
        <w:rPr>
          <w:lang w:val="en-US"/>
        </w:rPr>
        <w:t xml:space="preserve"> the proposed pathway to reach them in </w:t>
      </w:r>
      <w:r w:rsidR="001B7212" w:rsidRPr="002C2C75">
        <w:rPr>
          <w:lang w:val="en-US"/>
        </w:rPr>
        <w:t xml:space="preserve">coming </w:t>
      </w:r>
      <w:r w:rsidR="00055EC8" w:rsidRPr="002C2C75">
        <w:rPr>
          <w:lang w:val="en-US"/>
        </w:rPr>
        <w:t>years.</w:t>
      </w:r>
    </w:p>
    <w:p w14:paraId="529C52D9" w14:textId="27204713" w:rsidR="005C1314" w:rsidRPr="002C2C75" w:rsidRDefault="005C1314" w:rsidP="005C1314">
      <w:pPr>
        <w:pStyle w:val="BodyText"/>
        <w:rPr>
          <w:sz w:val="22"/>
          <w:lang w:val="en-US"/>
        </w:rPr>
      </w:pPr>
      <w:r w:rsidRPr="002C2C75">
        <w:rPr>
          <w:sz w:val="22"/>
          <w:lang w:val="en-US"/>
        </w:rPr>
        <w:t xml:space="preserve">To the extent that budget allows, all program essentials have been fulfilled. </w:t>
      </w:r>
    </w:p>
    <w:p w14:paraId="0635ECF8" w14:textId="2AC4C477" w:rsidR="005C1314" w:rsidRPr="002C2C75" w:rsidRDefault="005C1314" w:rsidP="005C1314">
      <w:pPr>
        <w:pStyle w:val="BodyText"/>
        <w:rPr>
          <w:sz w:val="22"/>
          <w:lang w:val="en-US"/>
        </w:rPr>
      </w:pPr>
      <w:r w:rsidRPr="002C2C75">
        <w:rPr>
          <w:sz w:val="22"/>
          <w:lang w:val="en-US"/>
        </w:rPr>
        <w:t>Two areas of incomplete fulfillment are:</w:t>
      </w:r>
    </w:p>
    <w:p w14:paraId="59B1DFB2" w14:textId="781EA0D5" w:rsidR="005C1314" w:rsidRPr="002C2C75" w:rsidRDefault="005C1314">
      <w:pPr>
        <w:pStyle w:val="BodyText"/>
        <w:numPr>
          <w:ilvl w:val="0"/>
          <w:numId w:val="58"/>
        </w:numPr>
        <w:rPr>
          <w:b/>
          <w:bCs/>
          <w:sz w:val="22"/>
          <w:lang w:val="en-US"/>
        </w:rPr>
      </w:pPr>
      <w:r w:rsidRPr="002C2C75">
        <w:rPr>
          <w:b/>
          <w:bCs/>
          <w:sz w:val="22"/>
          <w:lang w:val="en-US"/>
        </w:rPr>
        <w:t>Ensuring optimal vector control coverage</w:t>
      </w:r>
      <w:r w:rsidRPr="002C2C75">
        <w:rPr>
          <w:sz w:val="22"/>
          <w:lang w:val="en-US"/>
        </w:rPr>
        <w:t xml:space="preserve"> – through stratification ITNs have been targeted and prioritized according to risk, however due to increasing population and increasing price of effective ITNs, there are budget gaps to cover some high risk populations. These are included as the top PAAR request, and will also be the subject of intensive resource mobilization from other donors. If the gap is unfilled before the 2025/26 mass distribution, the lowest risk populations would be excluded to maximize impact with available resources.</w:t>
      </w:r>
    </w:p>
    <w:p w14:paraId="1CDE244F" w14:textId="3E63D212" w:rsidR="005C1314" w:rsidRPr="002C2C75" w:rsidRDefault="005C1314">
      <w:pPr>
        <w:pStyle w:val="BodyText"/>
        <w:numPr>
          <w:ilvl w:val="0"/>
          <w:numId w:val="58"/>
        </w:numPr>
        <w:rPr>
          <w:b/>
          <w:bCs/>
          <w:sz w:val="22"/>
          <w:lang w:val="en-US"/>
        </w:rPr>
      </w:pPr>
      <w:r w:rsidRPr="002C2C75">
        <w:rPr>
          <w:b/>
          <w:bCs/>
          <w:sz w:val="22"/>
          <w:lang w:val="en-US"/>
        </w:rPr>
        <w:t xml:space="preserve">Optimize chemoprevention – </w:t>
      </w:r>
      <w:r w:rsidRPr="002C2C75">
        <w:rPr>
          <w:sz w:val="22"/>
          <w:lang w:val="en-US"/>
        </w:rPr>
        <w:t xml:space="preserve">Mozambique is working to expand SMC and PMC </w:t>
      </w:r>
      <w:r w:rsidR="00205252" w:rsidRPr="002C2C75">
        <w:rPr>
          <w:sz w:val="22"/>
          <w:lang w:val="en-US"/>
        </w:rPr>
        <w:t>as highly cost-effective interventions targeted at high risk populations in the country. The highest priority geographies are being funded through other donors (See Section 1.1) however as part of the NMCP’s approach to prioritizing the stratification to maximize value-for-money, with the full expansion of the stratification included in PAAR.</w:t>
      </w:r>
    </w:p>
    <w:p w14:paraId="6AC86AA4" w14:textId="2E1B2939" w:rsidR="00780080" w:rsidRPr="002C2C75" w:rsidRDefault="007862BC">
      <w:pPr>
        <w:pStyle w:val="Heading2"/>
        <w:numPr>
          <w:ilvl w:val="1"/>
          <w:numId w:val="17"/>
        </w:numPr>
      </w:pPr>
      <w:r w:rsidRPr="002C2C75">
        <w:t>Resilient and Sustainable Systems for Health</w:t>
      </w:r>
    </w:p>
    <w:p w14:paraId="25AFFA95" w14:textId="59970A7F" w:rsidR="00780080" w:rsidRPr="002C2C75" w:rsidRDefault="000050E1" w:rsidP="007B07AB">
      <w:pPr>
        <w:pStyle w:val="BodyText"/>
        <w:rPr>
          <w:lang w:val="en-US"/>
        </w:rPr>
      </w:pPr>
      <w:r w:rsidRPr="002C2C75">
        <w:rPr>
          <w:lang w:val="en-US"/>
        </w:rPr>
        <w:t>D</w:t>
      </w:r>
      <w:r w:rsidR="00A7730A" w:rsidRPr="002C2C75">
        <w:rPr>
          <w:lang w:val="en-US"/>
        </w:rPr>
        <w:t>escribe how the Global Fund-supported program will maximize</w:t>
      </w:r>
      <w:r w:rsidR="00DA687C" w:rsidRPr="002C2C75">
        <w:rPr>
          <w:lang w:val="en-US"/>
        </w:rPr>
        <w:t xml:space="preserve"> people-centered,</w:t>
      </w:r>
      <w:r w:rsidR="00A7730A" w:rsidRPr="002C2C75">
        <w:rPr>
          <w:lang w:val="en-US"/>
        </w:rPr>
        <w:t xml:space="preserve"> integrated, systems for health to deliver impact, resilience and sustainability</w:t>
      </w:r>
      <w:r w:rsidR="00D06F82" w:rsidRPr="002C2C75">
        <w:rPr>
          <w:lang w:val="en-US"/>
        </w:rPr>
        <w:t>.</w:t>
      </w:r>
    </w:p>
    <w:p w14:paraId="127A8853" w14:textId="363A6DCA" w:rsidR="00B65245" w:rsidRPr="002C2C75" w:rsidRDefault="00B65245" w:rsidP="00B65245">
      <w:pPr>
        <w:pStyle w:val="BodyText"/>
        <w:jc w:val="both"/>
        <w:rPr>
          <w:sz w:val="22"/>
          <w:lang w:val="en-US"/>
        </w:rPr>
      </w:pPr>
      <w:r w:rsidRPr="002C2C75">
        <w:rPr>
          <w:sz w:val="22"/>
          <w:lang w:val="en-US"/>
        </w:rPr>
        <w:t xml:space="preserve">Mozambique’s malaria response, particularly in the areas of case management and surveillance, is built on the foundations of a strengthening primary healthcare system – both at health facility and community level. Through this integrated system access to care, diagnostic uptake, and rational use of treatments have improved greatly – and have improved somewhat through malaria-specific supportive interventions like training and supervision. As described in Sections 1.2 and 1.3, there is still substantial room for improvement in quality, but by targeting these improvements onto the foundation of a strong integrated system we feel they will be built to last on Mozambique’s journey to end malaria. </w:t>
      </w:r>
    </w:p>
    <w:p w14:paraId="7A92BC57" w14:textId="04C5875B" w:rsidR="00B65245" w:rsidRPr="002C2C75" w:rsidRDefault="00B65245" w:rsidP="00B65245">
      <w:pPr>
        <w:pStyle w:val="BodyText"/>
        <w:jc w:val="both"/>
        <w:rPr>
          <w:sz w:val="22"/>
          <w:lang w:val="en-US"/>
        </w:rPr>
      </w:pPr>
      <w:r w:rsidRPr="002C2C75">
        <w:rPr>
          <w:sz w:val="22"/>
          <w:lang w:val="en-US"/>
        </w:rPr>
        <w:t xml:space="preserve">Prevention methods for malaria, as in most countries, are conducted in a way that is standalone and often through campaigns – given the need to ensure the most equitable, highest possible coverage. When conducting these vertical malaria campaigns, however, efforts are taken to ensure the services are delivered in a people-centered way – including hiring campaign workers from local communities to ensure ownership of these methods of prevention as well as build capacity for future delivery. Additionally the NMCP is taking extra effort in recent years to build data systems that are integrated into the national health information architecture, to improve the way the data is owned and housed at MOH. </w:t>
      </w:r>
    </w:p>
    <w:p w14:paraId="660AC60C" w14:textId="083E9C96" w:rsidR="00371E85" w:rsidRPr="002C2C75" w:rsidRDefault="00371E85" w:rsidP="00B65245">
      <w:pPr>
        <w:pStyle w:val="BodyText"/>
        <w:jc w:val="both"/>
        <w:rPr>
          <w:sz w:val="22"/>
          <w:lang w:val="en-US"/>
        </w:rPr>
      </w:pPr>
      <w:r w:rsidRPr="002C2C75">
        <w:rPr>
          <w:sz w:val="22"/>
          <w:lang w:val="en-US"/>
        </w:rPr>
        <w:t>The malaria vaccine introduction, financed through Gavi, is additionally being coordinated through the routine EPI program at MOH – to ensure that its introduction is done in an integrated manner, and with modalities that can accommodate future more effective vaccines that may come on the market.</w:t>
      </w:r>
    </w:p>
    <w:p w14:paraId="6509CBCE" w14:textId="2F84985C" w:rsidR="005E25BF" w:rsidRPr="002C2C75" w:rsidRDefault="005E25BF" w:rsidP="00B65245">
      <w:pPr>
        <w:pStyle w:val="BodyText"/>
        <w:jc w:val="both"/>
        <w:rPr>
          <w:sz w:val="22"/>
          <w:lang w:val="en-US"/>
        </w:rPr>
      </w:pPr>
      <w:r w:rsidRPr="002C2C75">
        <w:rPr>
          <w:sz w:val="22"/>
          <w:lang w:val="en-US"/>
        </w:rPr>
        <w:t>The revision of CHW scope of work and training package to integrate HIV/TB services will maximize people-centered, integrated, systems for health to deliver impact, resilience and sustainability. Competence-based methodologies to pre-service training and new approaches to in-service training and quality improvement initiatives will also contribute to this end. Successful implementation and expansion of NCD related drugs integration in multi-month drug dispensing models to people living with HIV and TB will improve provision of integrated, quality services.</w:t>
      </w:r>
    </w:p>
    <w:p w14:paraId="3CA3EE2F" w14:textId="694690D9" w:rsidR="002A76EC" w:rsidRPr="002C2C75" w:rsidRDefault="002A76EC">
      <w:pPr>
        <w:pStyle w:val="Heading2"/>
        <w:numPr>
          <w:ilvl w:val="1"/>
          <w:numId w:val="17"/>
        </w:numPr>
      </w:pPr>
      <w:r w:rsidRPr="002C2C75">
        <w:t>Engagement and Leadership of Most Affected Communities</w:t>
      </w:r>
    </w:p>
    <w:p w14:paraId="77F54D59" w14:textId="65D0D5AD" w:rsidR="002A76EC" w:rsidRPr="002C2C75" w:rsidRDefault="000050E1" w:rsidP="002A76EC">
      <w:pPr>
        <w:pStyle w:val="BodyText"/>
        <w:rPr>
          <w:lang w:val="en-US"/>
        </w:rPr>
      </w:pPr>
      <w:r w:rsidRPr="002C2C75">
        <w:rPr>
          <w:lang w:val="en-US"/>
        </w:rPr>
        <w:t>D</w:t>
      </w:r>
      <w:r w:rsidR="002A76EC" w:rsidRPr="002C2C75">
        <w:rPr>
          <w:lang w:val="en-US"/>
        </w:rPr>
        <w:t xml:space="preserve">escribe how the </w:t>
      </w:r>
      <w:r w:rsidR="00DF0332" w:rsidRPr="002C2C75">
        <w:rPr>
          <w:lang w:val="en-US"/>
        </w:rPr>
        <w:t>design for the Glob</w:t>
      </w:r>
      <w:r w:rsidR="00842447" w:rsidRPr="002C2C75">
        <w:rPr>
          <w:lang w:val="en-US"/>
        </w:rPr>
        <w:t>al</w:t>
      </w:r>
      <w:r w:rsidR="00DF0332" w:rsidRPr="002C2C75">
        <w:rPr>
          <w:lang w:val="en-US"/>
        </w:rPr>
        <w:t xml:space="preserve"> Fund-supported </w:t>
      </w:r>
      <w:r w:rsidR="002A76EC" w:rsidRPr="002C2C75">
        <w:rPr>
          <w:lang w:val="en-US"/>
        </w:rPr>
        <w:t>program</w:t>
      </w:r>
      <w:r w:rsidR="00935D1A" w:rsidRPr="002C2C75">
        <w:rPr>
          <w:lang w:val="en-US"/>
        </w:rPr>
        <w:t>(s)</w:t>
      </w:r>
      <w:r w:rsidR="002A76EC" w:rsidRPr="002C2C75">
        <w:rPr>
          <w:lang w:val="en-US"/>
        </w:rPr>
        <w:t xml:space="preserve"> will </w:t>
      </w:r>
      <w:r w:rsidR="00D06F82" w:rsidRPr="002C2C75">
        <w:rPr>
          <w:lang w:val="en-US"/>
        </w:rPr>
        <w:t>maximize the engagement and leadership of most affected communities.</w:t>
      </w:r>
    </w:p>
    <w:p w14:paraId="026A4977" w14:textId="253BD2BF" w:rsidR="00371E85" w:rsidRPr="002C2C75" w:rsidRDefault="00371E85" w:rsidP="009E673F">
      <w:pPr>
        <w:pStyle w:val="BodyText"/>
        <w:jc w:val="both"/>
        <w:rPr>
          <w:sz w:val="22"/>
          <w:lang w:val="en-US"/>
        </w:rPr>
      </w:pPr>
      <w:r w:rsidRPr="002C2C75">
        <w:rPr>
          <w:sz w:val="22"/>
          <w:lang w:val="en-US"/>
        </w:rPr>
        <w:t>The selection and prioritization of interventions and activities for this funding request commenced with provincial-level and central level dialogues convened by the Country Coordination Mechanism (CCM) – where inputs on HIV, TB, and malaria were gathered to inform decisions for this funding request. Additionally, a thorough review of the 2017-2022 Malaria Strategic Plan was conducted in 2022 to inform the new strategic plan – which provided valuable lessons and recommendations for improving malaria programming.</w:t>
      </w:r>
    </w:p>
    <w:p w14:paraId="17A23793" w14:textId="1EB43537" w:rsidR="009E673F" w:rsidRPr="002C2C75" w:rsidRDefault="009E673F" w:rsidP="009E673F">
      <w:pPr>
        <w:pStyle w:val="BodyText"/>
        <w:jc w:val="both"/>
        <w:rPr>
          <w:sz w:val="22"/>
          <w:lang w:val="en-US"/>
        </w:rPr>
      </w:pPr>
      <w:r w:rsidRPr="002C2C75">
        <w:rPr>
          <w:sz w:val="22"/>
          <w:lang w:val="en-US"/>
        </w:rPr>
        <w:t xml:space="preserve">In line with the national policy toward health program decentralization, the Global Fund-supported malaria programs have devolved decision making and execution to structures that are increasingly at the local levels of the health system. This includes the local government level, but also civil society and community level structures. Over the past years, structures for the inclusion of provincial representation from government and civil society in planning and coordination discussions have been greatly improved – including since 2020, with the wide-scale adoption of remote meeting as an option, through virtual forums that allow for cost-efficient participation from a variety of actors. </w:t>
      </w:r>
    </w:p>
    <w:p w14:paraId="0EEED71B" w14:textId="52F27C6B" w:rsidR="009E673F" w:rsidRPr="002C2C75" w:rsidRDefault="009E673F" w:rsidP="009E673F">
      <w:pPr>
        <w:pStyle w:val="BodyText"/>
        <w:jc w:val="both"/>
        <w:rPr>
          <w:sz w:val="22"/>
          <w:lang w:val="en-US"/>
        </w:rPr>
      </w:pPr>
      <w:r w:rsidRPr="002C2C75">
        <w:rPr>
          <w:sz w:val="22"/>
          <w:lang w:val="en-US"/>
        </w:rPr>
        <w:t>The approaches taken toward community case management</w:t>
      </w:r>
      <w:r w:rsidR="00CF0BB8" w:rsidRPr="002C2C75">
        <w:rPr>
          <w:sz w:val="22"/>
          <w:lang w:val="en-US"/>
        </w:rPr>
        <w:t xml:space="preserve"> (via the APS program)</w:t>
      </w:r>
      <w:r w:rsidRPr="002C2C75">
        <w:rPr>
          <w:sz w:val="22"/>
          <w:lang w:val="en-US"/>
        </w:rPr>
        <w:t>, as well as SBCC approaches that involve local community leaders</w:t>
      </w:r>
      <w:r w:rsidR="00CF223A" w:rsidRPr="002C2C75">
        <w:rPr>
          <w:sz w:val="22"/>
          <w:lang w:val="en-US"/>
        </w:rPr>
        <w:t xml:space="preserve"> together with civil society</w:t>
      </w:r>
      <w:r w:rsidRPr="002C2C75">
        <w:rPr>
          <w:sz w:val="22"/>
          <w:lang w:val="en-US"/>
        </w:rPr>
        <w:t>, are also critical components of</w:t>
      </w:r>
      <w:r w:rsidR="00CF0BB8" w:rsidRPr="002C2C75">
        <w:rPr>
          <w:sz w:val="22"/>
          <w:lang w:val="en-US"/>
        </w:rPr>
        <w:t xml:space="preserve"> ensuring that programming maximizes the engagement and leadership of communities most affected by malaria. </w:t>
      </w:r>
      <w:r w:rsidR="00A95985" w:rsidRPr="002C2C75">
        <w:rPr>
          <w:sz w:val="22"/>
          <w:lang w:val="en-US"/>
        </w:rPr>
        <w:t xml:space="preserve">While not primarily supported by government, </w:t>
      </w:r>
      <w:r w:rsidR="00371E85" w:rsidRPr="002C2C75">
        <w:rPr>
          <w:sz w:val="22"/>
          <w:lang w:val="en-US"/>
        </w:rPr>
        <w:t xml:space="preserve">once fully implemented </w:t>
      </w:r>
      <w:r w:rsidR="00A95985" w:rsidRPr="002C2C75">
        <w:rPr>
          <w:sz w:val="22"/>
          <w:lang w:val="en-US"/>
        </w:rPr>
        <w:t>the newly adopted Community Health Sub-system will also serve as a critical mechanism to support malaria programming in the country.</w:t>
      </w:r>
    </w:p>
    <w:p w14:paraId="6842A984" w14:textId="3204E1AC" w:rsidR="002A76EC" w:rsidRPr="002C2C75" w:rsidRDefault="002A76EC">
      <w:pPr>
        <w:pStyle w:val="Heading2"/>
        <w:numPr>
          <w:ilvl w:val="1"/>
          <w:numId w:val="17"/>
        </w:numPr>
      </w:pPr>
      <w:r w:rsidRPr="002C2C75">
        <w:t>Health Equity, Gender Equality and Human Rights</w:t>
      </w:r>
    </w:p>
    <w:p w14:paraId="3452D266" w14:textId="764E851C" w:rsidR="00AC301B" w:rsidRPr="002C2C75" w:rsidRDefault="000050E1" w:rsidP="002A76EC">
      <w:pPr>
        <w:pStyle w:val="BodyText"/>
        <w:rPr>
          <w:lang w:val="en-US"/>
        </w:rPr>
      </w:pPr>
      <w:r w:rsidRPr="002C2C75">
        <w:rPr>
          <w:lang w:val="en-US"/>
        </w:rPr>
        <w:t>D</w:t>
      </w:r>
      <w:r w:rsidR="002A76EC" w:rsidRPr="002C2C75">
        <w:rPr>
          <w:lang w:val="en-US"/>
        </w:rPr>
        <w:t xml:space="preserve">escribe how the </w:t>
      </w:r>
      <w:r w:rsidR="00644215" w:rsidRPr="002C2C75">
        <w:rPr>
          <w:lang w:val="en-US"/>
        </w:rPr>
        <w:t>Global Fund-supported program</w:t>
      </w:r>
      <w:r w:rsidR="00935D1A" w:rsidRPr="002C2C75">
        <w:rPr>
          <w:lang w:val="en-US"/>
        </w:rPr>
        <w:t>(s)</w:t>
      </w:r>
      <w:r w:rsidR="002A76EC" w:rsidRPr="002C2C75">
        <w:rPr>
          <w:lang w:val="en-US"/>
        </w:rPr>
        <w:t xml:space="preserve"> will</w:t>
      </w:r>
      <w:r w:rsidR="00D06F82" w:rsidRPr="002C2C75">
        <w:rPr>
          <w:lang w:val="en-US"/>
        </w:rPr>
        <w:t xml:space="preserve"> maximize:</w:t>
      </w:r>
    </w:p>
    <w:p w14:paraId="6A6D6AFC" w14:textId="6565A2EA" w:rsidR="00AC301B" w:rsidRPr="002C2C75" w:rsidRDefault="00AC301B">
      <w:pPr>
        <w:pStyle w:val="BodyText"/>
        <w:numPr>
          <w:ilvl w:val="0"/>
          <w:numId w:val="12"/>
        </w:numPr>
        <w:tabs>
          <w:tab w:val="left" w:pos="900"/>
        </w:tabs>
        <w:ind w:left="900"/>
        <w:rPr>
          <w:lang w:val="en-US"/>
        </w:rPr>
      </w:pPr>
      <w:r w:rsidRPr="002C2C75">
        <w:rPr>
          <w:lang w:val="en-US"/>
        </w:rPr>
        <w:t>Health Equity</w:t>
      </w:r>
      <w:r w:rsidR="004C7CB1" w:rsidRPr="002C2C75">
        <w:rPr>
          <w:lang w:val="en-US"/>
        </w:rPr>
        <w:t>.</w:t>
      </w:r>
    </w:p>
    <w:p w14:paraId="797632F4" w14:textId="40682746" w:rsidR="00AC301B" w:rsidRPr="002C2C75" w:rsidRDefault="00AC301B">
      <w:pPr>
        <w:pStyle w:val="BodyText"/>
        <w:numPr>
          <w:ilvl w:val="0"/>
          <w:numId w:val="12"/>
        </w:numPr>
        <w:tabs>
          <w:tab w:val="left" w:pos="900"/>
        </w:tabs>
        <w:ind w:left="900"/>
        <w:rPr>
          <w:lang w:val="en-US"/>
        </w:rPr>
      </w:pPr>
      <w:r w:rsidRPr="002C2C75">
        <w:rPr>
          <w:lang w:val="en-US"/>
        </w:rPr>
        <w:t>Gender Equality</w:t>
      </w:r>
      <w:r w:rsidR="004C7CB1" w:rsidRPr="002C2C75">
        <w:rPr>
          <w:lang w:val="en-US"/>
        </w:rPr>
        <w:t>.</w:t>
      </w:r>
    </w:p>
    <w:p w14:paraId="0F7EE637" w14:textId="02E05066" w:rsidR="00AC301B" w:rsidRPr="002C2C75" w:rsidRDefault="00AC301B">
      <w:pPr>
        <w:pStyle w:val="BodyText"/>
        <w:numPr>
          <w:ilvl w:val="0"/>
          <w:numId w:val="12"/>
        </w:numPr>
        <w:tabs>
          <w:tab w:val="left" w:pos="900"/>
        </w:tabs>
        <w:ind w:left="900"/>
        <w:rPr>
          <w:lang w:val="en-US"/>
        </w:rPr>
      </w:pPr>
      <w:r w:rsidRPr="002C2C75">
        <w:rPr>
          <w:lang w:val="en-US"/>
        </w:rPr>
        <w:t>Human Rights</w:t>
      </w:r>
      <w:r w:rsidR="004C7CB1" w:rsidRPr="002C2C75">
        <w:rPr>
          <w:lang w:val="en-US"/>
        </w:rPr>
        <w:t>.</w:t>
      </w:r>
    </w:p>
    <w:p w14:paraId="4214BC5C" w14:textId="1048D88C" w:rsidR="002C7D7C" w:rsidRPr="002C2C75" w:rsidRDefault="002C7D7C" w:rsidP="002C7D7C">
      <w:pPr>
        <w:pStyle w:val="BodyText"/>
        <w:tabs>
          <w:tab w:val="left" w:pos="900"/>
        </w:tabs>
        <w:jc w:val="both"/>
        <w:rPr>
          <w:sz w:val="22"/>
          <w:lang w:val="en-US"/>
        </w:rPr>
      </w:pPr>
      <w:r w:rsidRPr="002C2C75">
        <w:rPr>
          <w:sz w:val="22"/>
          <w:lang w:val="en-US"/>
        </w:rPr>
        <w:t xml:space="preserve">Mozambique has a favorable legal framework in place for health and equity. The Constitution of the Republic defines Mozambique as a State of social justice. The protection and promotion of human rights are key fundamental objectives of the State. The National Health Strategic Plan guarantees the protection of special groups such as children, physically disabled people, the elderly; establishes the principle of gender equality, assures all citizens the right to medical and sanitary assistance and promotes equality in their access (PESS, p 11). </w:t>
      </w:r>
      <w:r w:rsidR="001A4865" w:rsidRPr="002C2C75">
        <w:rPr>
          <w:sz w:val="22"/>
          <w:lang w:val="en-US"/>
        </w:rPr>
        <w:t>In 2022, with the support of a partner, a malaria-related Gender and Social Inclusion Analysis was conducted. This analysis highlighted several recommendations to improve malaria programming by including a gender lens in intervention design and implementation. These included recommendations at legislative, health-specific organizational, community, interpersonal, and individual levels. While the analysis was specifically conducted for the purpose of PMC planning, the opportunities identified there are being considered by MOH and its implementing partners in other areas to improve implementation.</w:t>
      </w:r>
      <w:r w:rsidR="001A4865" w:rsidRPr="002C2C75">
        <w:rPr>
          <w:rStyle w:val="FootnoteReference"/>
          <w:sz w:val="22"/>
          <w:lang w:val="en-US"/>
        </w:rPr>
        <w:footnoteReference w:id="18"/>
      </w:r>
      <w:r w:rsidR="00CC0674" w:rsidRPr="002C2C75">
        <w:rPr>
          <w:sz w:val="22"/>
          <w:lang w:val="en-US"/>
        </w:rPr>
        <w:t xml:space="preserve">  In addition to this referenced study, the NMCP and partners await the results of the 2022/23 household survey which includes relevant gender, age, and other demographic disaggregation of key impact and outcome indicators. These will be closely analyzed, including at subnational level where powered to do so, to identify risk factors which can be targeted for greater impact. </w:t>
      </w:r>
    </w:p>
    <w:p w14:paraId="40A43D72" w14:textId="77D612DB" w:rsidR="00CC0674" w:rsidRPr="002C2C75" w:rsidRDefault="002C7D7C" w:rsidP="002C7D7C">
      <w:pPr>
        <w:pStyle w:val="BodyText"/>
        <w:tabs>
          <w:tab w:val="left" w:pos="900"/>
        </w:tabs>
        <w:jc w:val="both"/>
        <w:rPr>
          <w:sz w:val="22"/>
          <w:lang w:val="en-US"/>
        </w:rPr>
      </w:pPr>
      <w:r w:rsidRPr="002C2C75">
        <w:rPr>
          <w:sz w:val="22"/>
          <w:lang w:val="en-US"/>
        </w:rPr>
        <w:t xml:space="preserve">The 2017-2022 MSP (MSP p. 27), as well as the new 2023-2030 MSP (Objective 6), recognize the potential barriers to accessing health services resulting from cultural practices and social norms such as lack of equal access to resources by women, high female illiteracy and male decision-making households. A review of gender-disaggregated data of key malaria indicators in the last malaria indicator survey (IIM, p. 47, 61) do not show significant difference between male and female children in prevalence of disease, or in care seeking and utilization of LLINs. Evidence however demonstrates significant disparity between rural and urban settings and among different wealth quintiles in the coverage and use of malaria prevention and treatment services. While data shows </w:t>
      </w:r>
      <w:r w:rsidR="00350155" w:rsidRPr="002C2C75">
        <w:rPr>
          <w:sz w:val="22"/>
          <w:lang w:val="en-US"/>
        </w:rPr>
        <w:t xml:space="preserve">no significant </w:t>
      </w:r>
      <w:r w:rsidRPr="002C2C75">
        <w:rPr>
          <w:sz w:val="22"/>
          <w:lang w:val="en-US"/>
        </w:rPr>
        <w:t xml:space="preserve">gender </w:t>
      </w:r>
      <w:r w:rsidR="00350155" w:rsidRPr="002C2C75">
        <w:rPr>
          <w:sz w:val="22"/>
          <w:lang w:val="en-US"/>
        </w:rPr>
        <w:t xml:space="preserve">differences in prevalence nor </w:t>
      </w:r>
      <w:r w:rsidRPr="002C2C75">
        <w:rPr>
          <w:sz w:val="22"/>
          <w:lang w:val="en-US"/>
        </w:rPr>
        <w:t>intervention coverage, the NMCP will continue to analyze data for changes in this situation while also zooming that analysis to more granular administrative units to identify any localized disparities, as well as prioritize the delivery of services in the rural areas through the AP</w:t>
      </w:r>
      <w:r w:rsidR="0063108A" w:rsidRPr="002C2C75">
        <w:rPr>
          <w:sz w:val="22"/>
          <w:lang w:val="en-US"/>
        </w:rPr>
        <w:t>S</w:t>
      </w:r>
      <w:r w:rsidRPr="002C2C75">
        <w:rPr>
          <w:sz w:val="22"/>
          <w:lang w:val="en-US"/>
        </w:rPr>
        <w:t>s to tackle rural/urban disparities.</w:t>
      </w:r>
    </w:p>
    <w:p w14:paraId="2572782E" w14:textId="6A9E5098" w:rsidR="00A95985" w:rsidRPr="002C2C75" w:rsidRDefault="00A95985" w:rsidP="00A95985">
      <w:pPr>
        <w:pStyle w:val="BodyText"/>
        <w:tabs>
          <w:tab w:val="left" w:pos="900"/>
        </w:tabs>
        <w:jc w:val="both"/>
        <w:rPr>
          <w:sz w:val="22"/>
          <w:lang w:val="en-US"/>
        </w:rPr>
      </w:pPr>
      <w:r w:rsidRPr="002C2C75">
        <w:rPr>
          <w:sz w:val="22"/>
          <w:lang w:val="en-US"/>
        </w:rPr>
        <w:t xml:space="preserve">In line with the previous funding request, this funding request works to maximize value-for-money by improving the approach to stratification and learning lessons from the current implementation, as well as aligning all donor/partner efforts under the banner of a government-owned National Malaria Strategic Plan. </w:t>
      </w:r>
      <w:r w:rsidR="00563D6A" w:rsidRPr="002C2C75">
        <w:rPr>
          <w:sz w:val="22"/>
          <w:lang w:val="en-US"/>
        </w:rPr>
        <w:t xml:space="preserve">Health equity, gender equality, and human rights all are necessary components to consider in our programming, in that the lack of each is a barrier to achieving maximum impact. </w:t>
      </w:r>
    </w:p>
    <w:p w14:paraId="72790BB4" w14:textId="47088F43" w:rsidR="00A95985" w:rsidRPr="002C2C75" w:rsidRDefault="00A95985" w:rsidP="00A95985">
      <w:pPr>
        <w:pStyle w:val="BodyText"/>
        <w:tabs>
          <w:tab w:val="left" w:pos="900"/>
        </w:tabs>
        <w:jc w:val="both"/>
        <w:rPr>
          <w:sz w:val="22"/>
          <w:lang w:val="en-US"/>
        </w:rPr>
      </w:pPr>
      <w:r w:rsidRPr="002C2C75">
        <w:rPr>
          <w:sz w:val="22"/>
          <w:lang w:val="en-US"/>
        </w:rPr>
        <w:t>In particular we feel that because our interventions maximize impact for available resources, these objectives are intrinsically targeted; however there are several specific ways in which the programs maximize these objectives:</w:t>
      </w:r>
    </w:p>
    <w:p w14:paraId="2E6CE8DD" w14:textId="4F9F68EB" w:rsidR="00A95985" w:rsidRPr="002C2C75" w:rsidRDefault="00A95985" w:rsidP="00A95985">
      <w:pPr>
        <w:pStyle w:val="BodyText"/>
        <w:tabs>
          <w:tab w:val="left" w:pos="900"/>
        </w:tabs>
        <w:jc w:val="both"/>
        <w:rPr>
          <w:rFonts w:cstheme="minorHAnsi"/>
          <w:sz w:val="22"/>
          <w:lang w:val="en-US"/>
        </w:rPr>
      </w:pPr>
      <w:r w:rsidRPr="002C2C75">
        <w:rPr>
          <w:b/>
          <w:bCs/>
          <w:sz w:val="22"/>
          <w:lang w:val="en-US"/>
        </w:rPr>
        <w:t>Stratification and modeling to optimize prevention (</w:t>
      </w:r>
      <w:r w:rsidRPr="002C2C75">
        <w:rPr>
          <w:b/>
          <w:bCs/>
          <w:i/>
          <w:iCs/>
          <w:sz w:val="22"/>
          <w:lang w:val="en-US"/>
        </w:rPr>
        <w:t>health equity</w:t>
      </w:r>
      <w:r w:rsidR="00C568BD" w:rsidRPr="002C2C75">
        <w:rPr>
          <w:b/>
          <w:bCs/>
          <w:i/>
          <w:iCs/>
          <w:sz w:val="22"/>
          <w:lang w:val="en-US"/>
        </w:rPr>
        <w:t>, gender equality,</w:t>
      </w:r>
      <w:r w:rsidRPr="002C2C75">
        <w:rPr>
          <w:b/>
          <w:bCs/>
          <w:i/>
          <w:iCs/>
          <w:sz w:val="22"/>
          <w:lang w:val="en-US"/>
        </w:rPr>
        <w:t xml:space="preserve"> and human rights):</w:t>
      </w:r>
      <w:r w:rsidRPr="002C2C75">
        <w:rPr>
          <w:rFonts w:cstheme="minorHAnsi"/>
          <w:b/>
          <w:bCs/>
          <w:i/>
          <w:iCs/>
          <w:sz w:val="22"/>
          <w:lang w:val="en-US"/>
        </w:rPr>
        <w:t xml:space="preserve"> </w:t>
      </w:r>
      <w:r w:rsidR="00C568BD" w:rsidRPr="002C2C75">
        <w:rPr>
          <w:rFonts w:cstheme="minorHAnsi"/>
          <w:sz w:val="22"/>
          <w:lang w:val="en-US"/>
        </w:rPr>
        <w:t>the stratification conducted was informed by in-depth retrospective data analysis (including gender-disaggregated data where available) and mathematical modeling, conducted in collaboration with the country’s technical partners, to maximize effectiveness and efficiency of the intervention mix. The NMCP collaborated with the Swiss Tropical and Public Health Institute (STPH) and CHAI to conduct a modeling analysis in support of optimizing the intervention mix to maximize impact as efficiently as possible. Different stratification scenarios were modeled for impact, and then combined with robust costing data and additional local empirical evidence, to choose the prioritized packages of interventions. By prioritizing resource allocation to areas of greatest need, including displaced populations and other vulnerable groups, this maximizes the allocation of resources to advance health equity, gender equality, and human rights.</w:t>
      </w:r>
    </w:p>
    <w:p w14:paraId="5A516EA5" w14:textId="2F67C10C" w:rsidR="00C568BD" w:rsidRPr="002C2C75" w:rsidRDefault="00C568BD" w:rsidP="00A95985">
      <w:pPr>
        <w:pStyle w:val="BodyText"/>
        <w:tabs>
          <w:tab w:val="left" w:pos="900"/>
        </w:tabs>
        <w:jc w:val="both"/>
        <w:rPr>
          <w:rFonts w:cstheme="minorHAnsi"/>
          <w:sz w:val="22"/>
          <w:lang w:val="en-US"/>
        </w:rPr>
      </w:pPr>
      <w:r w:rsidRPr="002C2C75">
        <w:rPr>
          <w:rFonts w:cstheme="minorHAnsi"/>
          <w:b/>
          <w:bCs/>
          <w:sz w:val="22"/>
          <w:lang w:val="en-US"/>
        </w:rPr>
        <w:t xml:space="preserve">Collaboration with humanitarian partners to address malaria needs of IDPs </w:t>
      </w:r>
      <w:r w:rsidRPr="002C2C75">
        <w:rPr>
          <w:rFonts w:cstheme="minorHAnsi"/>
          <w:b/>
          <w:bCs/>
          <w:i/>
          <w:iCs/>
          <w:sz w:val="22"/>
          <w:lang w:val="en-US"/>
        </w:rPr>
        <w:t>(health equity, gender equality, and human rights)</w:t>
      </w:r>
      <w:r w:rsidRPr="002C2C75">
        <w:rPr>
          <w:rFonts w:cstheme="minorHAnsi"/>
          <w:b/>
          <w:bCs/>
          <w:sz w:val="22"/>
          <w:lang w:val="en-US"/>
        </w:rPr>
        <w:t xml:space="preserve">: </w:t>
      </w:r>
      <w:r w:rsidRPr="002C2C75">
        <w:rPr>
          <w:rFonts w:cstheme="minorHAnsi"/>
          <w:sz w:val="22"/>
          <w:lang w:val="en-US"/>
        </w:rPr>
        <w:t xml:space="preserve">During current implementation, extra effort has been paid to displaced populations affected by large-scale displacement in the ongoing conflict, including through support from the GF Emergency Fund. In the new Malaria Strategic Plan (2023-2030) a special objective has been created to improve the strategies and responsiveness to such crises when they occur – and for each service planned in this funding request consideration has been given to such emergencies to ensure needs are considered. </w:t>
      </w:r>
    </w:p>
    <w:p w14:paraId="3A65C5E5" w14:textId="6EBD6C1E" w:rsidR="00563D6A" w:rsidRPr="002C2C75" w:rsidRDefault="00563D6A" w:rsidP="00A95985">
      <w:pPr>
        <w:pStyle w:val="BodyText"/>
        <w:tabs>
          <w:tab w:val="left" w:pos="900"/>
        </w:tabs>
        <w:jc w:val="both"/>
        <w:rPr>
          <w:rFonts w:cstheme="minorHAnsi"/>
          <w:sz w:val="22"/>
          <w:lang w:val="en-US"/>
        </w:rPr>
      </w:pPr>
      <w:r w:rsidRPr="002C2C75">
        <w:rPr>
          <w:rFonts w:cstheme="minorHAnsi"/>
          <w:b/>
          <w:bCs/>
          <w:sz w:val="22"/>
          <w:lang w:val="en-US"/>
        </w:rPr>
        <w:t xml:space="preserve">Data-driven integrated supervision </w:t>
      </w:r>
      <w:r w:rsidRPr="002C2C75">
        <w:rPr>
          <w:rFonts w:cstheme="minorHAnsi"/>
          <w:b/>
          <w:bCs/>
          <w:i/>
          <w:iCs/>
          <w:sz w:val="22"/>
          <w:lang w:val="en-US"/>
        </w:rPr>
        <w:t xml:space="preserve">(health equity, gender equality, and human rights): </w:t>
      </w:r>
      <w:r w:rsidRPr="002C2C75">
        <w:rPr>
          <w:rFonts w:cstheme="minorHAnsi"/>
          <w:sz w:val="22"/>
          <w:lang w:val="en-US"/>
        </w:rPr>
        <w:t xml:space="preserve">Intensified case management and data quality are the foundations on which Mozambique is working to build a sustainable and strong malaria program, in large part because these elements of the program can be built on an existing integrated primary health system – which continues to improve its accessibility for the population. Using a digital tool, which will be strengthened with lessons from the first 2 years of implementation, will allow for a more data-driven and targeted approach to supervision that pinpoints low-performing facilities for improvement. Such use of data provides major improvements in health equity, gender equality, and human rights by </w:t>
      </w:r>
      <w:r w:rsidRPr="002C2C75">
        <w:rPr>
          <w:rFonts w:cstheme="minorHAnsi"/>
          <w:sz w:val="22"/>
          <w:u w:val="single"/>
          <w:lang w:val="en-US"/>
        </w:rPr>
        <w:t>targeting</w:t>
      </w:r>
      <w:r w:rsidRPr="002C2C75">
        <w:rPr>
          <w:rFonts w:cstheme="minorHAnsi"/>
          <w:sz w:val="22"/>
          <w:lang w:val="en-US"/>
        </w:rPr>
        <w:t xml:space="preserve"> improvements to low performers rather than the daunting task of blanket implementation to all of the country’s &gt;1,700 health facilities or nearly 8,000 APSs.</w:t>
      </w:r>
    </w:p>
    <w:p w14:paraId="2F55BA5F" w14:textId="43EE7E15" w:rsidR="00C568BD" w:rsidRPr="002C2C75" w:rsidRDefault="00C568BD" w:rsidP="00A95985">
      <w:pPr>
        <w:pStyle w:val="BodyText"/>
        <w:tabs>
          <w:tab w:val="left" w:pos="900"/>
        </w:tabs>
        <w:jc w:val="both"/>
        <w:rPr>
          <w:rFonts w:cstheme="minorHAnsi"/>
          <w:sz w:val="22"/>
          <w:lang w:val="en-US"/>
        </w:rPr>
      </w:pPr>
      <w:r w:rsidRPr="002C2C75">
        <w:rPr>
          <w:rFonts w:cstheme="minorHAnsi"/>
          <w:b/>
          <w:bCs/>
          <w:sz w:val="22"/>
          <w:lang w:val="en-US"/>
        </w:rPr>
        <w:t xml:space="preserve">Digitization of campaigns to maximize coverage in hard-to-reach places </w:t>
      </w:r>
      <w:r w:rsidRPr="002C2C75">
        <w:rPr>
          <w:rFonts w:cstheme="minorHAnsi"/>
          <w:b/>
          <w:bCs/>
          <w:i/>
          <w:iCs/>
          <w:sz w:val="22"/>
          <w:lang w:val="en-US"/>
        </w:rPr>
        <w:t>(health equity, human rights)</w:t>
      </w:r>
      <w:r w:rsidRPr="002C2C75">
        <w:rPr>
          <w:rFonts w:cstheme="minorHAnsi"/>
          <w:b/>
          <w:bCs/>
          <w:sz w:val="22"/>
          <w:lang w:val="en-US"/>
        </w:rPr>
        <w:t xml:space="preserve">: </w:t>
      </w:r>
      <w:r w:rsidRPr="002C2C75">
        <w:rPr>
          <w:rFonts w:cstheme="minorHAnsi"/>
          <w:sz w:val="22"/>
          <w:lang w:val="en-US"/>
        </w:rPr>
        <w:t xml:space="preserve">Improved availability of real-time, geolocated data for MDA and ITN campaigns has allowed managers at all levels of campaigns to maximize coverage in every area – with priority given to those most in need. Use of digitized data from the 2021 MDA campaign to refine campaign strategies clearly improved coverage from 51% in round 1 to 79% in round 3, improving coverage in hard-to-reach populations in an equitable way and saving lives. </w:t>
      </w:r>
    </w:p>
    <w:p w14:paraId="359A395D" w14:textId="47D72E10" w:rsidR="00563D6A" w:rsidRPr="002C2C75" w:rsidRDefault="00563D6A" w:rsidP="00563D6A">
      <w:pPr>
        <w:pStyle w:val="Default"/>
        <w:jc w:val="both"/>
        <w:rPr>
          <w:sz w:val="22"/>
          <w:szCs w:val="22"/>
        </w:rPr>
      </w:pPr>
      <w:r w:rsidRPr="002C2C75">
        <w:rPr>
          <w:b/>
          <w:bCs/>
          <w:sz w:val="22"/>
          <w:szCs w:val="22"/>
        </w:rPr>
        <w:t xml:space="preserve">Donor and partner alignment to support a common strategic plan </w:t>
      </w:r>
      <w:r w:rsidRPr="002C2C75">
        <w:rPr>
          <w:b/>
          <w:bCs/>
          <w:i/>
          <w:iCs/>
          <w:sz w:val="22"/>
          <w:szCs w:val="22"/>
        </w:rPr>
        <w:t>(health equity, gender equality, ad human rights)</w:t>
      </w:r>
      <w:r w:rsidRPr="002C2C75">
        <w:rPr>
          <w:b/>
          <w:bCs/>
          <w:sz w:val="22"/>
          <w:szCs w:val="22"/>
        </w:rPr>
        <w:t xml:space="preserve">: </w:t>
      </w:r>
      <w:r w:rsidRPr="002C2C75">
        <w:rPr>
          <w:sz w:val="22"/>
          <w:szCs w:val="22"/>
        </w:rPr>
        <w:t xml:space="preserve">With the objective of improving allocative efficiency and minimizing duplication of efforts, during the course of the past two grants the program has worked intensively with its donors and partners to ensure that all work in the country is aligned with the national priorities. By generating data-driven plans collaboratively with its partners and creating decision-making structures in the form of inclusive national thematic TWGs who meet regularly, the NMCP has successfully navigated this complex environment and greatly improved alignment. The new Malaria Strategic has prioritized service provision to vulnerable groups (including those affected by human rights barriers and gender vulnerability) in a special objective, and alignment across all partners in this regard will allow us to maximize achievement of these objectives as we work to achieve the goals of malaria morbidity and mortality reduction. </w:t>
      </w:r>
    </w:p>
    <w:p w14:paraId="4D830A0E" w14:textId="0B4AA279" w:rsidR="00494C0B" w:rsidRPr="002C2C75" w:rsidRDefault="000101DC">
      <w:pPr>
        <w:pStyle w:val="Heading2"/>
        <w:numPr>
          <w:ilvl w:val="1"/>
          <w:numId w:val="17"/>
        </w:numPr>
      </w:pPr>
      <w:r w:rsidRPr="002C2C75">
        <w:t>Sustainability, Domestic Financing and Resource Mobilization</w:t>
      </w:r>
    </w:p>
    <w:p w14:paraId="65A294E0" w14:textId="4459397D" w:rsidR="00B357D5" w:rsidRPr="002C2C75" w:rsidRDefault="000050E1" w:rsidP="00687704">
      <w:pPr>
        <w:pStyle w:val="BodyText"/>
        <w:numPr>
          <w:ilvl w:val="0"/>
          <w:numId w:val="9"/>
        </w:numPr>
        <w:tabs>
          <w:tab w:val="left" w:pos="900"/>
        </w:tabs>
        <w:ind w:left="900"/>
        <w:rPr>
          <w:lang w:val="en-US"/>
        </w:rPr>
      </w:pPr>
      <w:r w:rsidRPr="002C2C75">
        <w:rPr>
          <w:lang w:val="en-US"/>
        </w:rPr>
        <w:t>D</w:t>
      </w:r>
      <w:r w:rsidR="00B357D5" w:rsidRPr="002C2C75">
        <w:rPr>
          <w:lang w:val="en-US"/>
        </w:rPr>
        <w:t xml:space="preserve">escribe </w:t>
      </w:r>
      <w:r w:rsidR="00D278BB" w:rsidRPr="002C2C75">
        <w:rPr>
          <w:lang w:val="en-US"/>
        </w:rPr>
        <w:t xml:space="preserve">the major challenges to the sustainability of the national response and efforts to address </w:t>
      </w:r>
      <w:r w:rsidR="00AD2A69" w:rsidRPr="002C2C75">
        <w:rPr>
          <w:lang w:val="en-US"/>
        </w:rPr>
        <w:t>these challenges</w:t>
      </w:r>
      <w:r w:rsidR="00B357D5" w:rsidRPr="002C2C75">
        <w:rPr>
          <w:lang w:val="en-US"/>
        </w:rPr>
        <w:t>.</w:t>
      </w:r>
    </w:p>
    <w:p w14:paraId="1505F83D" w14:textId="77777777" w:rsidR="001C6B18" w:rsidRPr="002C2C75" w:rsidRDefault="00E222E8" w:rsidP="001C6B18">
      <w:pPr>
        <w:pStyle w:val="BodyText"/>
        <w:tabs>
          <w:tab w:val="left" w:pos="900"/>
        </w:tabs>
        <w:jc w:val="both"/>
        <w:rPr>
          <w:sz w:val="22"/>
          <w:lang w:val="en-US"/>
        </w:rPr>
      </w:pPr>
      <w:r w:rsidRPr="002C2C75">
        <w:rPr>
          <w:sz w:val="22"/>
          <w:lang w:val="en-US"/>
        </w:rPr>
        <w:t xml:space="preserve">Mozambique’s health response is highly dependent on external funding. According to the previous Health Sector Strategic Plan (the next being currently under development), about one third (36% of health resources come from the Government of Mozambique, and two thirds (64%) come from development partners (PESS, p. 118). The Global Fund and PMI are the primary funders of the malaria program, however new donors have increased investment – most notably Givewell (via MC) in Seasonal Malaria Chemoprevention (SMC). Additionally, while Government financing for malaria-specific interventions continues to be challenging, it has begun to increase investment in the integrated primary care system and some malaria-specific areas. </w:t>
      </w:r>
      <w:r w:rsidR="001C6B18" w:rsidRPr="002C2C75">
        <w:rPr>
          <w:sz w:val="22"/>
          <w:lang w:val="en-US"/>
        </w:rPr>
        <w:t xml:space="preserve">For example, Government has successfully absorbed 10 of 11 provincial M&amp;E foca points  and funds IRS operations in Nampula (though shortfalls have been experienced in 2 of the last 3 years, which is concerning). In the short-term, sustaining the current interventions and expanding as described in the MSP 2023-2030 is likely to continue to depend on external financing. </w:t>
      </w:r>
    </w:p>
    <w:p w14:paraId="60675CEB" w14:textId="57245DF1" w:rsidR="001C6B18" w:rsidRPr="002C2C75" w:rsidRDefault="001C6B18" w:rsidP="001C6B18">
      <w:pPr>
        <w:pStyle w:val="BodyText"/>
        <w:tabs>
          <w:tab w:val="left" w:pos="900"/>
        </w:tabs>
        <w:jc w:val="both"/>
        <w:rPr>
          <w:sz w:val="22"/>
          <w:lang w:val="en-US"/>
        </w:rPr>
      </w:pPr>
      <w:r w:rsidRPr="002C2C75">
        <w:rPr>
          <w:sz w:val="22"/>
          <w:lang w:val="en-US"/>
        </w:rPr>
        <w:t>Capitalizing on the Government’s prioritization of malaria as a public health priority, and with the support of ALMA and the Roll Back Malaria Partnership, Mozambique has created a malaria investors’ forum under the leadership of the President. Leveraging this high-level advocacy, the country aims to increase investment in malaria from both the public and private sector to fund key strategies.</w:t>
      </w:r>
    </w:p>
    <w:p w14:paraId="0553F0F9" w14:textId="1C42A5CD" w:rsidR="001C6B18" w:rsidRPr="002C2C75" w:rsidRDefault="001C6B18" w:rsidP="001C6B18">
      <w:pPr>
        <w:pStyle w:val="BodyText"/>
        <w:tabs>
          <w:tab w:val="left" w:pos="900"/>
        </w:tabs>
        <w:jc w:val="both"/>
        <w:rPr>
          <w:sz w:val="22"/>
          <w:lang w:val="en-US"/>
        </w:rPr>
      </w:pPr>
      <w:r w:rsidRPr="002C2C75">
        <w:rPr>
          <w:sz w:val="22"/>
          <w:lang w:val="en-US"/>
        </w:rPr>
        <w:t>In addition to these initiatives to grow the funding base, the malaria program and its partners have undertaken painstaking effort to maximize efficiency and eliminate duplicative efforts. Key to these efforts have been the creation of unifying strategic documents, including the National Malaria Strategic Plan (2023-2030). By developing these documents based on evidence, and in a participatory way with all partners, the program has cultivated buy-in for all partners to align under a common strategic vision. This improved efficiency is evident in the increased alignment between the national Global Fund grant and regional MOSASWA grant. In the past, the funding of insecticide for Maputo Province in the national Global Fund de facto removed these resources from higher burden priorities in the north and central regions of the country. By creating aligned strategies that clearly articulated (and differentiated) the objectives of the country, the MOSASWA regional grant’s design was improved to ensure regional priorities were fully financed by regional funding (those regional priorities being districts that have been identified as key sources of importation in neighboring countries, and therefore targeted for regional elimination). This design ensures these regional priorities do not siphon resources away from national priorities.</w:t>
      </w:r>
    </w:p>
    <w:p w14:paraId="3AE52F21" w14:textId="1F0C0199" w:rsidR="001C6B18" w:rsidRPr="002C2C75" w:rsidRDefault="001C6B18" w:rsidP="001C6B18">
      <w:pPr>
        <w:pStyle w:val="BodyText"/>
        <w:tabs>
          <w:tab w:val="left" w:pos="900"/>
        </w:tabs>
        <w:jc w:val="both"/>
        <w:rPr>
          <w:sz w:val="22"/>
          <w:lang w:val="en-US"/>
        </w:rPr>
      </w:pPr>
      <w:r w:rsidRPr="002C2C75">
        <w:rPr>
          <w:sz w:val="22"/>
          <w:lang w:val="en-US"/>
        </w:rPr>
        <w:t>In terms of governance, the MoH has committed to shifting its mindset from an inputs-driven approach to one that emphasizes results, public accountability, and alignment of all activities under strengthened national malaria strategic plans. This has started centrally, with thematic TWGs co-chaired by NMCP and partners allowing the program and partners to continuously update each other on execution, troubleshoot challenges together, and ensure collaborative efforts are maintained.</w:t>
      </w:r>
    </w:p>
    <w:p w14:paraId="426F219B" w14:textId="1D63B49D" w:rsidR="00B357D5" w:rsidRPr="002C2C75" w:rsidRDefault="000050E1" w:rsidP="00687704">
      <w:pPr>
        <w:pStyle w:val="BodyText"/>
        <w:numPr>
          <w:ilvl w:val="0"/>
          <w:numId w:val="9"/>
        </w:numPr>
        <w:tabs>
          <w:tab w:val="left" w:pos="900"/>
        </w:tabs>
        <w:ind w:left="900"/>
        <w:rPr>
          <w:lang w:val="en-US"/>
        </w:rPr>
      </w:pPr>
      <w:r w:rsidRPr="002C2C75">
        <w:rPr>
          <w:lang w:val="en-US"/>
        </w:rPr>
        <w:t>D</w:t>
      </w:r>
      <w:r w:rsidR="001951F4" w:rsidRPr="002C2C75">
        <w:rPr>
          <w:lang w:val="en-US"/>
        </w:rPr>
        <w:t>escribe how</w:t>
      </w:r>
      <w:r w:rsidR="00B357D5" w:rsidRPr="002C2C75">
        <w:rPr>
          <w:lang w:val="en-US"/>
        </w:rPr>
        <w:t xml:space="preserve"> co-financing commitments for the 2020-2022 allocation period have been realized.</w:t>
      </w:r>
    </w:p>
    <w:p w14:paraId="15479E56" w14:textId="77777777" w:rsidR="000754C3" w:rsidRPr="002C2C75" w:rsidRDefault="000754C3" w:rsidP="000754C3">
      <w:pPr>
        <w:pStyle w:val="BodyText"/>
        <w:tabs>
          <w:tab w:val="left" w:pos="900"/>
        </w:tabs>
        <w:jc w:val="both"/>
        <w:rPr>
          <w:sz w:val="22"/>
          <w:lang w:val="en-US"/>
        </w:rPr>
      </w:pPr>
      <w:r w:rsidRPr="002C2C75">
        <w:rPr>
          <w:sz w:val="22"/>
          <w:lang w:val="en-US"/>
        </w:rPr>
        <w:t>The Government of Mozambique is very committed to meeting its co-funding commitments for programs on HIV, Tuberculosis, Malaria and on resilient and sustainable health systems, to access the full allocation of the Global Fund and ensure the sustainability of investments in health. During the allocation period (2020-2022), the Government of Mozambique contributed a total amount of USD 1,275.6 million) in domestic resources to the health sector as shown in Table 10 below, which represents an amount above the commitment made to the Global Fund to invest $112.65 million in domestic resources in the health sector.</w:t>
      </w:r>
    </w:p>
    <w:p w14:paraId="437F7D3D" w14:textId="20BC6953" w:rsidR="000754C3" w:rsidRPr="002C2C75" w:rsidRDefault="000754C3" w:rsidP="000754C3">
      <w:pPr>
        <w:spacing w:line="242" w:lineRule="atLeast"/>
        <w:rPr>
          <w:rFonts w:ascii="Arial" w:hAnsi="Arial" w:cs="Arial"/>
          <w:b/>
          <w:bCs/>
        </w:rPr>
      </w:pPr>
      <w:r w:rsidRPr="002C2C75">
        <w:rPr>
          <w:rFonts w:ascii="Arial" w:hAnsi="Arial" w:cs="Arial"/>
        </w:rPr>
        <w:t>Table 11. Domestic contribution to health sector budgets – budgeted and executed, 2020-2022</w:t>
      </w:r>
    </w:p>
    <w:p w14:paraId="0CF45DF0" w14:textId="77777777" w:rsidR="000754C3" w:rsidRPr="002C2C75" w:rsidRDefault="000754C3" w:rsidP="000754C3">
      <w:pPr>
        <w:spacing w:line="242" w:lineRule="atLeast"/>
        <w:rPr>
          <w:rFonts w:ascii="Arial" w:hAnsi="Arial" w:cs="Arial"/>
          <w:b/>
          <w:bCs/>
          <w:lang w:val="pt"/>
        </w:rPr>
      </w:pPr>
      <w:r w:rsidRPr="002C2C75">
        <w:rPr>
          <w:noProof/>
        </w:rPr>
        <w:drawing>
          <wp:inline distT="0" distB="0" distL="0" distR="0" wp14:anchorId="2B7C5F1B" wp14:editId="5D595610">
            <wp:extent cx="6411685" cy="135255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08876" cy="1373053"/>
                    </a:xfrm>
                    <a:prstGeom prst="rect">
                      <a:avLst/>
                    </a:prstGeom>
                    <a:noFill/>
                    <a:ln>
                      <a:noFill/>
                    </a:ln>
                  </pic:spPr>
                </pic:pic>
              </a:graphicData>
            </a:graphic>
          </wp:inline>
        </w:drawing>
      </w:r>
    </w:p>
    <w:p w14:paraId="1514B67E" w14:textId="29011D6E" w:rsidR="001C6B18" w:rsidRPr="002C2C75" w:rsidRDefault="000754C3" w:rsidP="000754C3">
      <w:pPr>
        <w:pStyle w:val="BodyText"/>
        <w:tabs>
          <w:tab w:val="left" w:pos="900"/>
        </w:tabs>
        <w:jc w:val="both"/>
        <w:rPr>
          <w:sz w:val="22"/>
          <w:lang w:val="en-US"/>
        </w:rPr>
      </w:pPr>
      <w:r w:rsidRPr="002C2C75">
        <w:rPr>
          <w:sz w:val="22"/>
          <w:lang w:val="en-US"/>
        </w:rPr>
        <w:t>It should be noted that from 2020 to 2022, the Government of Mozambique increased the internal financing of the Health Sector from USD 351.7 million to MT 513.8 million in 2022, an increase above what it committed to make available until 2023. This fact demonstrates the Country's dedication to a sustainable response and an approach to the Government's priorities in the Health Sector.</w:t>
      </w:r>
    </w:p>
    <w:p w14:paraId="3C691425" w14:textId="27AFFFE1" w:rsidR="00B357D5" w:rsidRPr="002C2C75" w:rsidRDefault="000050E1" w:rsidP="00687704">
      <w:pPr>
        <w:pStyle w:val="BodyText"/>
        <w:numPr>
          <w:ilvl w:val="0"/>
          <w:numId w:val="9"/>
        </w:numPr>
        <w:tabs>
          <w:tab w:val="left" w:pos="900"/>
        </w:tabs>
        <w:ind w:left="900"/>
        <w:rPr>
          <w:lang w:val="en-US"/>
        </w:rPr>
      </w:pPr>
      <w:r w:rsidRPr="002C2C75">
        <w:rPr>
          <w:lang w:val="en-US"/>
        </w:rPr>
        <w:t>D</w:t>
      </w:r>
      <w:r w:rsidR="00B357D5" w:rsidRPr="002C2C75">
        <w:rPr>
          <w:lang w:val="en-US"/>
        </w:rPr>
        <w:t xml:space="preserve">escribe </w:t>
      </w:r>
      <w:r w:rsidR="00D813B7" w:rsidRPr="002C2C75">
        <w:rPr>
          <w:lang w:val="en-US"/>
        </w:rPr>
        <w:t xml:space="preserve">how co-financing will increase over the </w:t>
      </w:r>
      <w:r w:rsidR="00426F3B" w:rsidRPr="002C2C75">
        <w:rPr>
          <w:lang w:val="en-US"/>
        </w:rPr>
        <w:t>2023-2025 allocation period</w:t>
      </w:r>
      <w:r w:rsidR="005970C5" w:rsidRPr="002C2C75">
        <w:rPr>
          <w:lang w:val="en-US"/>
        </w:rPr>
        <w:t>,</w:t>
      </w:r>
      <w:r w:rsidR="006F5C81" w:rsidRPr="002C2C75">
        <w:rPr>
          <w:lang w:val="en-US"/>
        </w:rPr>
        <w:t xml:space="preserve"> how these </w:t>
      </w:r>
      <w:r w:rsidR="000101DC" w:rsidRPr="002C2C75">
        <w:rPr>
          <w:lang w:val="en-US"/>
        </w:rPr>
        <w:t xml:space="preserve">co-financing </w:t>
      </w:r>
      <w:r w:rsidR="006F5C81" w:rsidRPr="002C2C75">
        <w:rPr>
          <w:lang w:val="en-US"/>
        </w:rPr>
        <w:t>commitments will be tracked and reported</w:t>
      </w:r>
      <w:r w:rsidR="00A27823" w:rsidRPr="002C2C75">
        <w:rPr>
          <w:lang w:val="en-US"/>
        </w:rPr>
        <w:t>, and planned actions to address remaining funding gaps</w:t>
      </w:r>
      <w:r w:rsidR="00B357D5" w:rsidRPr="002C2C75">
        <w:rPr>
          <w:lang w:val="en-US"/>
        </w:rPr>
        <w:t>.</w:t>
      </w:r>
    </w:p>
    <w:p w14:paraId="2D5787B5" w14:textId="77777777" w:rsidR="000754C3" w:rsidRPr="002C2C75" w:rsidRDefault="000754C3" w:rsidP="000754C3">
      <w:pPr>
        <w:pStyle w:val="BodyText"/>
        <w:tabs>
          <w:tab w:val="left" w:pos="900"/>
        </w:tabs>
        <w:jc w:val="both"/>
        <w:rPr>
          <w:lang w:val="en-US"/>
        </w:rPr>
      </w:pPr>
      <w:r w:rsidRPr="002C2C75">
        <w:rPr>
          <w:sz w:val="22"/>
        </w:rPr>
        <w:t>As described in the documentation provided from the Ministry of Economy and Finance, during the allocation period 2023-2025, Mozambique intends to increase the State Budget for Health from USD 567.6 million in 2023 to USD 763.5 million by 2026, corresponding to a rate of increase of 34.5%. We expect health to represent 14.1% of total public expenditure, excluding General State Charges, in 2023 and 16.0% by 2026. With the support of ALMA and the Roll Back Malaria Partnership, and in line with the Zero Malaria Starts with Me campaign, Mozambique has re-doubled its efforts to increase domestic investment in malaria – including engaging the domestic private sector as a key partner in the fight. The Malaria Forum was launched with the support of the President during the current investment, and will be a key resource for addressing remaining funding gaps.</w:t>
      </w:r>
    </w:p>
    <w:p w14:paraId="11FDEA12" w14:textId="77777777" w:rsidR="000754C3" w:rsidRPr="002C2C75" w:rsidRDefault="000754C3" w:rsidP="000754C3">
      <w:pPr>
        <w:pStyle w:val="Default"/>
        <w:jc w:val="both"/>
        <w:rPr>
          <w:sz w:val="22"/>
          <w:szCs w:val="22"/>
        </w:rPr>
      </w:pPr>
      <w:r w:rsidRPr="002C2C75">
        <w:rPr>
          <w:sz w:val="22"/>
          <w:szCs w:val="22"/>
        </w:rPr>
        <w:t>Co-financing commitments are tracked and reported by the public financial system in Mozambique, and commits to providing the Global Fund with verifiable and reliable documentation on expenditures from national funds, or when not yet available, the latest budgeted amounts, from the following:</w:t>
      </w:r>
    </w:p>
    <w:p w14:paraId="55097AAC" w14:textId="77777777" w:rsidR="000754C3" w:rsidRPr="002C2C75" w:rsidRDefault="000754C3" w:rsidP="000754C3">
      <w:pPr>
        <w:pStyle w:val="Default"/>
        <w:numPr>
          <w:ilvl w:val="0"/>
          <w:numId w:val="83"/>
        </w:numPr>
        <w:jc w:val="both"/>
        <w:rPr>
          <w:sz w:val="22"/>
          <w:szCs w:val="22"/>
        </w:rPr>
      </w:pPr>
      <w:r w:rsidRPr="002C2C75">
        <w:rPr>
          <w:sz w:val="22"/>
          <w:szCs w:val="22"/>
        </w:rPr>
        <w:t xml:space="preserve">For past expenditures: </w:t>
      </w:r>
      <w:r w:rsidRPr="002C2C75">
        <w:rPr>
          <w:i/>
          <w:iCs/>
          <w:sz w:val="22"/>
          <w:szCs w:val="22"/>
        </w:rPr>
        <w:t>General State Account, presented annually in June for the previous year</w:t>
      </w:r>
    </w:p>
    <w:p w14:paraId="67B3F2EC" w14:textId="77777777" w:rsidR="000754C3" w:rsidRPr="002C2C75" w:rsidRDefault="000754C3" w:rsidP="000754C3">
      <w:pPr>
        <w:pStyle w:val="Default"/>
        <w:numPr>
          <w:ilvl w:val="0"/>
          <w:numId w:val="83"/>
        </w:numPr>
        <w:jc w:val="both"/>
        <w:rPr>
          <w:sz w:val="22"/>
          <w:szCs w:val="22"/>
        </w:rPr>
      </w:pPr>
      <w:r w:rsidRPr="002C2C75">
        <w:rPr>
          <w:sz w:val="22"/>
          <w:szCs w:val="22"/>
        </w:rPr>
        <w:t xml:space="preserve">For future planned expenses: </w:t>
      </w:r>
      <w:r w:rsidRPr="002C2C75">
        <w:rPr>
          <w:i/>
          <w:iCs/>
          <w:sz w:val="22"/>
          <w:szCs w:val="22"/>
        </w:rPr>
        <w:t>(i) Economic and Social Plan Law and State Budget, presented annually in December for the following year; (ii) Medium-Term Fiscal Scenario Projections, generally approved in May of each year</w:t>
      </w:r>
    </w:p>
    <w:p w14:paraId="7D7B2AC9" w14:textId="77777777" w:rsidR="000754C3" w:rsidRPr="002C2C75" w:rsidRDefault="000754C3" w:rsidP="000754C3">
      <w:pPr>
        <w:pStyle w:val="Default"/>
        <w:jc w:val="both"/>
        <w:rPr>
          <w:sz w:val="22"/>
          <w:szCs w:val="22"/>
        </w:rPr>
      </w:pPr>
    </w:p>
    <w:p w14:paraId="7925662A" w14:textId="77777777" w:rsidR="000754C3" w:rsidRPr="002C2C75" w:rsidRDefault="000754C3" w:rsidP="000754C3">
      <w:pPr>
        <w:pStyle w:val="Default"/>
        <w:jc w:val="both"/>
        <w:rPr>
          <w:sz w:val="22"/>
          <w:szCs w:val="22"/>
        </w:rPr>
      </w:pPr>
      <w:r w:rsidRPr="002C2C75">
        <w:rPr>
          <w:sz w:val="22"/>
          <w:szCs w:val="22"/>
        </w:rPr>
        <w:t>Each year, by August 15th, we will submit a co-funding report to the Global Fund, which covers the annual period beginning January 1st and ending December 31st of the previous year.</w:t>
      </w:r>
    </w:p>
    <w:p w14:paraId="2ACD50EB" w14:textId="77777777" w:rsidR="000754C3" w:rsidRPr="002C2C75" w:rsidRDefault="000754C3" w:rsidP="000754C3">
      <w:pPr>
        <w:pStyle w:val="Default"/>
        <w:jc w:val="both"/>
        <w:rPr>
          <w:sz w:val="22"/>
          <w:szCs w:val="22"/>
        </w:rPr>
      </w:pPr>
    </w:p>
    <w:p w14:paraId="21A6245C" w14:textId="11802CB7" w:rsidR="000754C3" w:rsidRPr="002C2C75" w:rsidRDefault="000754C3" w:rsidP="000754C3">
      <w:pPr>
        <w:pStyle w:val="Default"/>
        <w:jc w:val="both"/>
        <w:rPr>
          <w:sz w:val="22"/>
          <w:szCs w:val="22"/>
        </w:rPr>
      </w:pPr>
      <w:r w:rsidRPr="002C2C75">
        <w:rPr>
          <w:sz w:val="22"/>
          <w:szCs w:val="22"/>
        </w:rPr>
        <w:t>Table 12. Deadlines for co-financing reports</w:t>
      </w:r>
    </w:p>
    <w:tbl>
      <w:tblPr>
        <w:tblW w:w="90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2"/>
        <w:gridCol w:w="6428"/>
      </w:tblGrid>
      <w:tr w:rsidR="000754C3" w:rsidRPr="002C2C75" w14:paraId="3A653A3F" w14:textId="77777777" w:rsidTr="00021BDE">
        <w:trPr>
          <w:trHeight w:val="123"/>
        </w:trPr>
        <w:tc>
          <w:tcPr>
            <w:tcW w:w="2602"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7DCDA0DB" w14:textId="77777777" w:rsidR="000754C3" w:rsidRPr="002C2C75" w:rsidRDefault="000754C3" w:rsidP="00021BDE">
            <w:pPr>
              <w:spacing w:after="0" w:line="0" w:lineRule="atLeast"/>
              <w:rPr>
                <w:rFonts w:ascii="Arial" w:eastAsia="Calibri" w:hAnsi="Arial" w:cs="Arial"/>
                <w:b/>
                <w:bCs/>
                <w:sz w:val="18"/>
                <w:szCs w:val="18"/>
                <w:lang w:val="en-GB" w:eastAsia="en-GB"/>
              </w:rPr>
            </w:pPr>
            <w:bookmarkStart w:id="5" w:name="_Hlk136260598"/>
            <w:r w:rsidRPr="002C2C75">
              <w:rPr>
                <w:rFonts w:ascii="Arial" w:eastAsia="Calibri" w:hAnsi="Arial" w:cs="Arial"/>
                <w:b/>
                <w:bCs/>
                <w:sz w:val="18"/>
                <w:szCs w:val="18"/>
                <w:lang w:val="pt" w:eastAsia="en-GB"/>
              </w:rPr>
              <w:t>Date</w:t>
            </w:r>
          </w:p>
        </w:tc>
        <w:tc>
          <w:tcPr>
            <w:tcW w:w="6428"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54A0DDAE" w14:textId="77777777" w:rsidR="000754C3" w:rsidRPr="002C2C75" w:rsidRDefault="000754C3" w:rsidP="00021BDE">
            <w:pPr>
              <w:spacing w:after="0" w:line="0" w:lineRule="atLeast"/>
              <w:rPr>
                <w:rFonts w:ascii="Arial" w:eastAsia="Calibri" w:hAnsi="Arial" w:cs="Arial"/>
                <w:b/>
                <w:bCs/>
                <w:sz w:val="18"/>
                <w:szCs w:val="18"/>
                <w:lang w:val="en-GB" w:eastAsia="en-GB"/>
              </w:rPr>
            </w:pPr>
            <w:r w:rsidRPr="002C2C75">
              <w:rPr>
                <w:rFonts w:ascii="Arial" w:eastAsia="Calibri" w:hAnsi="Arial" w:cs="Arial"/>
                <w:b/>
                <w:bCs/>
                <w:sz w:val="18"/>
                <w:szCs w:val="18"/>
                <w:lang w:val="pt" w:eastAsia="en-GB"/>
              </w:rPr>
              <w:t>Due information (illustrative)</w:t>
            </w:r>
          </w:p>
        </w:tc>
      </w:tr>
      <w:tr w:rsidR="000754C3" w:rsidRPr="00C711A0" w14:paraId="6DC9FD35" w14:textId="77777777" w:rsidTr="00021BDE">
        <w:trPr>
          <w:trHeight w:val="123"/>
        </w:trPr>
        <w:tc>
          <w:tcPr>
            <w:tcW w:w="26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785B27" w14:textId="77777777" w:rsidR="000754C3" w:rsidRPr="002C2C75" w:rsidRDefault="000754C3" w:rsidP="00021BDE">
            <w:pPr>
              <w:spacing w:after="0" w:line="0" w:lineRule="atLeast"/>
              <w:rPr>
                <w:rFonts w:ascii="Arial" w:eastAsia="Calibri" w:hAnsi="Arial" w:cs="Arial"/>
                <w:sz w:val="18"/>
                <w:szCs w:val="18"/>
                <w:lang w:val="en-GB" w:eastAsia="en-GB"/>
              </w:rPr>
            </w:pPr>
            <w:r w:rsidRPr="002C2C75">
              <w:rPr>
                <w:rFonts w:ascii="Arial" w:eastAsia="Calibri" w:hAnsi="Arial" w:cs="Arial"/>
                <w:sz w:val="18"/>
                <w:szCs w:val="18"/>
                <w:lang w:val="pt" w:eastAsia="en-GB"/>
              </w:rPr>
              <w:t>15 Augusto 2024</w:t>
            </w:r>
          </w:p>
        </w:tc>
        <w:tc>
          <w:tcPr>
            <w:tcW w:w="64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4DBFF6" w14:textId="77777777" w:rsidR="000754C3" w:rsidRPr="002C2C75" w:rsidRDefault="000754C3" w:rsidP="00021BDE">
            <w:pPr>
              <w:spacing w:after="0" w:line="0" w:lineRule="atLeast"/>
              <w:rPr>
                <w:rFonts w:ascii="Arial" w:eastAsia="Calibri" w:hAnsi="Arial" w:cs="Arial"/>
                <w:sz w:val="18"/>
                <w:szCs w:val="18"/>
                <w:lang w:val="pt-BR" w:eastAsia="en-GB"/>
              </w:rPr>
            </w:pPr>
            <w:r w:rsidRPr="002C2C75">
              <w:rPr>
                <w:rFonts w:ascii="Arial" w:eastAsia="Calibri" w:hAnsi="Arial" w:cs="Arial"/>
                <w:sz w:val="18"/>
                <w:szCs w:val="18"/>
                <w:lang w:val="pt-BR" w:eastAsia="en-GB"/>
              </w:rPr>
              <w:t>Conta Geral do Estado 2023 (General State Account)</w:t>
            </w:r>
          </w:p>
        </w:tc>
      </w:tr>
      <w:tr w:rsidR="000754C3" w:rsidRPr="008967CF" w14:paraId="78EDC81B" w14:textId="77777777" w:rsidTr="00021BDE">
        <w:trPr>
          <w:trHeight w:val="123"/>
        </w:trPr>
        <w:tc>
          <w:tcPr>
            <w:tcW w:w="26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03C6F9" w14:textId="77777777" w:rsidR="000754C3" w:rsidRPr="002C2C75" w:rsidRDefault="000754C3" w:rsidP="00021BDE">
            <w:pPr>
              <w:spacing w:after="0" w:line="0" w:lineRule="atLeast"/>
              <w:rPr>
                <w:rFonts w:ascii="Arial" w:eastAsia="Calibri" w:hAnsi="Arial" w:cs="Arial"/>
                <w:sz w:val="18"/>
                <w:szCs w:val="18"/>
                <w:lang w:val="en-GB" w:eastAsia="en-GB"/>
              </w:rPr>
            </w:pPr>
            <w:r w:rsidRPr="002C2C75">
              <w:rPr>
                <w:rFonts w:ascii="Arial" w:eastAsia="Calibri" w:hAnsi="Arial" w:cs="Arial"/>
                <w:sz w:val="18"/>
                <w:szCs w:val="18"/>
                <w:lang w:val="pt" w:eastAsia="en-GB"/>
              </w:rPr>
              <w:t>15 Augusto 2025</w:t>
            </w:r>
          </w:p>
        </w:tc>
        <w:tc>
          <w:tcPr>
            <w:tcW w:w="64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F52DE1" w14:textId="77777777" w:rsidR="000754C3" w:rsidRPr="002C2C75" w:rsidRDefault="000754C3" w:rsidP="00021BDE">
            <w:pPr>
              <w:spacing w:after="0" w:line="0" w:lineRule="atLeast"/>
              <w:rPr>
                <w:rFonts w:ascii="Arial" w:eastAsia="Calibri" w:hAnsi="Arial" w:cs="Arial"/>
                <w:sz w:val="18"/>
                <w:szCs w:val="18"/>
                <w:lang w:val="pt-BR" w:eastAsia="en-GB"/>
              </w:rPr>
            </w:pPr>
            <w:r w:rsidRPr="002C2C75">
              <w:rPr>
                <w:rFonts w:ascii="Arial" w:eastAsia="Calibri" w:hAnsi="Arial" w:cs="Arial"/>
                <w:sz w:val="18"/>
                <w:szCs w:val="18"/>
                <w:lang w:val="pt-BR" w:eastAsia="en-GB"/>
              </w:rPr>
              <w:t>Conta Geral do Estado 2024 (General State Account)</w:t>
            </w:r>
          </w:p>
        </w:tc>
      </w:tr>
      <w:tr w:rsidR="000754C3" w:rsidRPr="008967CF" w14:paraId="6CF812F5" w14:textId="77777777" w:rsidTr="00021BDE">
        <w:trPr>
          <w:trHeight w:val="123"/>
        </w:trPr>
        <w:tc>
          <w:tcPr>
            <w:tcW w:w="26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22BCED" w14:textId="77777777" w:rsidR="000754C3" w:rsidRPr="002C2C75" w:rsidRDefault="000754C3" w:rsidP="00021BDE">
            <w:pPr>
              <w:spacing w:after="0" w:line="0" w:lineRule="atLeast"/>
              <w:rPr>
                <w:rFonts w:ascii="Arial" w:eastAsia="Calibri" w:hAnsi="Arial" w:cs="Arial"/>
                <w:sz w:val="18"/>
                <w:szCs w:val="18"/>
                <w:lang w:val="en-GB" w:eastAsia="en-GB"/>
              </w:rPr>
            </w:pPr>
            <w:r w:rsidRPr="002C2C75">
              <w:rPr>
                <w:rFonts w:ascii="Arial" w:eastAsia="Calibri" w:hAnsi="Arial" w:cs="Arial"/>
                <w:sz w:val="18"/>
                <w:szCs w:val="18"/>
                <w:lang w:val="pt" w:eastAsia="en-GB"/>
              </w:rPr>
              <w:t>15 Augusto 2026</w:t>
            </w:r>
          </w:p>
        </w:tc>
        <w:tc>
          <w:tcPr>
            <w:tcW w:w="64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B6B986" w14:textId="77777777" w:rsidR="000754C3" w:rsidRPr="002C2C75" w:rsidRDefault="000754C3" w:rsidP="00021BDE">
            <w:pPr>
              <w:spacing w:after="0" w:line="0" w:lineRule="atLeast"/>
              <w:rPr>
                <w:rFonts w:ascii="Arial" w:eastAsia="Calibri" w:hAnsi="Arial" w:cs="Arial"/>
                <w:sz w:val="18"/>
                <w:szCs w:val="18"/>
                <w:lang w:val="pt-BR" w:eastAsia="en-GB"/>
              </w:rPr>
            </w:pPr>
            <w:r w:rsidRPr="002C2C75">
              <w:rPr>
                <w:rFonts w:ascii="Arial" w:eastAsia="Calibri" w:hAnsi="Arial" w:cs="Arial"/>
                <w:sz w:val="18"/>
                <w:szCs w:val="18"/>
                <w:lang w:val="pt-BR" w:eastAsia="en-GB"/>
              </w:rPr>
              <w:t>Conta Geral do Estado 2025 (General State Account)</w:t>
            </w:r>
          </w:p>
        </w:tc>
      </w:tr>
      <w:tr w:rsidR="000754C3" w:rsidRPr="008967CF" w14:paraId="7C867841" w14:textId="77777777" w:rsidTr="00021BDE">
        <w:trPr>
          <w:trHeight w:val="123"/>
        </w:trPr>
        <w:tc>
          <w:tcPr>
            <w:tcW w:w="2602" w:type="dxa"/>
            <w:tcBorders>
              <w:top w:val="single" w:sz="6" w:space="0" w:color="auto"/>
              <w:left w:val="single" w:sz="6" w:space="0" w:color="auto"/>
              <w:bottom w:val="single" w:sz="6" w:space="0" w:color="auto"/>
              <w:right w:val="single" w:sz="6" w:space="0" w:color="auto"/>
            </w:tcBorders>
            <w:shd w:val="clear" w:color="auto" w:fill="auto"/>
            <w:vAlign w:val="center"/>
          </w:tcPr>
          <w:p w14:paraId="03FC3393" w14:textId="77777777" w:rsidR="000754C3" w:rsidRPr="002C2C75" w:rsidRDefault="000754C3" w:rsidP="00021BDE">
            <w:pPr>
              <w:spacing w:after="0" w:line="0" w:lineRule="atLeast"/>
              <w:rPr>
                <w:rFonts w:ascii="Arial" w:eastAsia="Calibri" w:hAnsi="Arial" w:cs="Arial"/>
                <w:sz w:val="18"/>
                <w:szCs w:val="18"/>
                <w:lang w:val="pt" w:eastAsia="en-GB"/>
              </w:rPr>
            </w:pPr>
            <w:r w:rsidRPr="002C2C75">
              <w:rPr>
                <w:rFonts w:ascii="Arial" w:eastAsia="Calibri" w:hAnsi="Arial" w:cs="Arial"/>
                <w:sz w:val="18"/>
                <w:szCs w:val="18"/>
                <w:lang w:val="pt" w:eastAsia="en-GB"/>
              </w:rPr>
              <w:t>15 Augusto 2027</w:t>
            </w:r>
          </w:p>
        </w:tc>
        <w:tc>
          <w:tcPr>
            <w:tcW w:w="6428" w:type="dxa"/>
            <w:tcBorders>
              <w:top w:val="single" w:sz="6" w:space="0" w:color="auto"/>
              <w:left w:val="single" w:sz="6" w:space="0" w:color="auto"/>
              <w:bottom w:val="single" w:sz="6" w:space="0" w:color="auto"/>
              <w:right w:val="single" w:sz="6" w:space="0" w:color="auto"/>
            </w:tcBorders>
            <w:shd w:val="clear" w:color="auto" w:fill="auto"/>
            <w:vAlign w:val="center"/>
          </w:tcPr>
          <w:p w14:paraId="7D533789" w14:textId="77777777" w:rsidR="000754C3" w:rsidRPr="002C2C75" w:rsidRDefault="000754C3" w:rsidP="00021BDE">
            <w:pPr>
              <w:spacing w:after="0" w:line="0" w:lineRule="atLeast"/>
              <w:rPr>
                <w:rFonts w:ascii="Arial" w:eastAsia="Calibri" w:hAnsi="Arial" w:cs="Arial"/>
                <w:sz w:val="18"/>
                <w:szCs w:val="18"/>
                <w:lang w:val="pt-BR" w:eastAsia="en-GB"/>
              </w:rPr>
            </w:pPr>
            <w:r w:rsidRPr="002C2C75">
              <w:rPr>
                <w:rFonts w:ascii="Arial" w:eastAsia="Calibri" w:hAnsi="Arial" w:cs="Arial"/>
                <w:sz w:val="18"/>
                <w:szCs w:val="18"/>
                <w:lang w:val="pt-BR" w:eastAsia="en-GB"/>
              </w:rPr>
              <w:t>Conta Geral do Estado 2026 (General State Account)</w:t>
            </w:r>
          </w:p>
        </w:tc>
      </w:tr>
      <w:bookmarkEnd w:id="5"/>
    </w:tbl>
    <w:p w14:paraId="58A4D100" w14:textId="77777777" w:rsidR="000754C3" w:rsidRPr="002C2C75" w:rsidRDefault="000754C3" w:rsidP="000754C3">
      <w:pPr>
        <w:pStyle w:val="BodyText"/>
        <w:tabs>
          <w:tab w:val="left" w:pos="900"/>
        </w:tabs>
        <w:ind w:left="900"/>
        <w:rPr>
          <w:rFonts w:ascii="Arial" w:eastAsia="Arial" w:hAnsi="Arial" w:cs="Arial"/>
          <w:color w:val="000000" w:themeColor="text1"/>
          <w:szCs w:val="24"/>
          <w:lang w:val="pt-BR"/>
        </w:rPr>
      </w:pPr>
    </w:p>
    <w:p w14:paraId="5DC73DC7" w14:textId="5F40EBD9" w:rsidR="00B357D5" w:rsidRPr="002C2C75" w:rsidRDefault="00EE5A42" w:rsidP="00687704">
      <w:pPr>
        <w:pStyle w:val="BodyText"/>
        <w:numPr>
          <w:ilvl w:val="0"/>
          <w:numId w:val="9"/>
        </w:numPr>
        <w:tabs>
          <w:tab w:val="left" w:pos="900"/>
        </w:tabs>
        <w:ind w:left="900"/>
        <w:rPr>
          <w:rFonts w:ascii="Arial" w:eastAsia="Arial" w:hAnsi="Arial" w:cs="Arial"/>
          <w:color w:val="000000" w:themeColor="text1"/>
          <w:szCs w:val="24"/>
          <w:lang w:val="en-US"/>
        </w:rPr>
      </w:pPr>
      <w:r w:rsidRPr="002C2C75">
        <w:rPr>
          <w:lang w:val="en-US"/>
        </w:rPr>
        <w:t xml:space="preserve">If applicable, </w:t>
      </w:r>
      <w:r w:rsidR="00B357D5" w:rsidRPr="002C2C75">
        <w:rPr>
          <w:lang w:val="en-US"/>
        </w:rPr>
        <w:t xml:space="preserve">describe specific arrangements and modalities related to innovative financing approaches linked to this </w:t>
      </w:r>
      <w:r w:rsidR="001B7212" w:rsidRPr="002C2C75">
        <w:rPr>
          <w:lang w:val="en-US"/>
        </w:rPr>
        <w:t>f</w:t>
      </w:r>
      <w:r w:rsidR="00B357D5" w:rsidRPr="002C2C75">
        <w:rPr>
          <w:lang w:val="en-US"/>
        </w:rPr>
        <w:t xml:space="preserve">unding </w:t>
      </w:r>
      <w:r w:rsidR="001B7212" w:rsidRPr="002C2C75">
        <w:rPr>
          <w:lang w:val="en-US"/>
        </w:rPr>
        <w:t>r</w:t>
      </w:r>
      <w:r w:rsidR="00B357D5" w:rsidRPr="002C2C75">
        <w:rPr>
          <w:lang w:val="en-US"/>
        </w:rPr>
        <w:t>equest and/or the national response</w:t>
      </w:r>
      <w:r w:rsidR="003804BD" w:rsidRPr="002C2C75">
        <w:rPr>
          <w:lang w:val="en-US"/>
        </w:rPr>
        <w:t>.</w:t>
      </w:r>
      <w:r w:rsidR="6AAC4F5A" w:rsidRPr="002C2C75">
        <w:rPr>
          <w:rFonts w:ascii="Arial" w:eastAsia="Arial" w:hAnsi="Arial" w:cs="Arial"/>
          <w:color w:val="000000" w:themeColor="text1"/>
          <w:szCs w:val="24"/>
        </w:rPr>
        <w:t xml:space="preserve"> </w:t>
      </w:r>
    </w:p>
    <w:p w14:paraId="33098F9B" w14:textId="1BEA9328" w:rsidR="003973CA" w:rsidRPr="002C2C75" w:rsidRDefault="003973CA" w:rsidP="003973CA">
      <w:pPr>
        <w:pStyle w:val="BodyText"/>
        <w:tabs>
          <w:tab w:val="left" w:pos="900"/>
        </w:tabs>
        <w:rPr>
          <w:rFonts w:ascii="Arial" w:eastAsia="Arial" w:hAnsi="Arial" w:cs="Arial"/>
          <w:color w:val="000000" w:themeColor="text1"/>
          <w:sz w:val="22"/>
          <w:lang w:val="en-US"/>
        </w:rPr>
      </w:pPr>
      <w:r w:rsidRPr="002C2C75">
        <w:rPr>
          <w:rFonts w:ascii="Arial" w:eastAsia="Arial" w:hAnsi="Arial" w:cs="Arial"/>
          <w:color w:val="000000" w:themeColor="text1"/>
          <w:sz w:val="22"/>
        </w:rPr>
        <w:t>No innovative financing approaches are currently planned for this funding request.</w:t>
      </w:r>
    </w:p>
    <w:p w14:paraId="22FEECE3" w14:textId="74A9CCE1" w:rsidR="0078317C" w:rsidRPr="002C2C75" w:rsidRDefault="0078317C">
      <w:pPr>
        <w:pStyle w:val="Heading2"/>
        <w:numPr>
          <w:ilvl w:val="1"/>
          <w:numId w:val="17"/>
        </w:numPr>
      </w:pPr>
      <w:r w:rsidRPr="002C2C75">
        <w:t xml:space="preserve">Pandemic Preparedness </w:t>
      </w:r>
    </w:p>
    <w:p w14:paraId="53E4B47D" w14:textId="3C0D96AC" w:rsidR="0078317C" w:rsidRPr="002C2C75" w:rsidRDefault="000050E1" w:rsidP="0078317C">
      <w:pPr>
        <w:pStyle w:val="BodyText"/>
        <w:rPr>
          <w:color w:val="000000" w:themeColor="text1"/>
          <w:lang w:val="en-US"/>
        </w:rPr>
      </w:pPr>
      <w:r w:rsidRPr="002C2C75">
        <w:rPr>
          <w:color w:val="000000" w:themeColor="text1"/>
          <w:lang w:val="en-US"/>
        </w:rPr>
        <w:t>D</w:t>
      </w:r>
      <w:r w:rsidR="007D2A84" w:rsidRPr="002C2C75">
        <w:rPr>
          <w:color w:val="000000" w:themeColor="text1"/>
          <w:lang w:val="en-US"/>
        </w:rPr>
        <w:t>escribe how</w:t>
      </w:r>
      <w:r w:rsidR="00935D1A" w:rsidRPr="002C2C75">
        <w:rPr>
          <w:color w:val="000000" w:themeColor="text1"/>
          <w:lang w:val="en-US"/>
        </w:rPr>
        <w:t xml:space="preserve"> the</w:t>
      </w:r>
      <w:r w:rsidR="007D2A84" w:rsidRPr="002C2C75">
        <w:rPr>
          <w:color w:val="000000" w:themeColor="text1"/>
          <w:lang w:val="en-US"/>
        </w:rPr>
        <w:t xml:space="preserve"> </w:t>
      </w:r>
      <w:r w:rsidR="00730E15" w:rsidRPr="002C2C75">
        <w:rPr>
          <w:color w:val="000000" w:themeColor="text1"/>
          <w:lang w:val="en-US"/>
        </w:rPr>
        <w:t>Global Fund-supported program</w:t>
      </w:r>
      <w:r w:rsidR="00935D1A" w:rsidRPr="002C2C75">
        <w:rPr>
          <w:color w:val="000000" w:themeColor="text1"/>
          <w:lang w:val="en-US"/>
        </w:rPr>
        <w:t>(s)</w:t>
      </w:r>
      <w:r w:rsidR="00730E15" w:rsidRPr="002C2C75">
        <w:rPr>
          <w:color w:val="000000" w:themeColor="text1"/>
          <w:lang w:val="en-US"/>
        </w:rPr>
        <w:t xml:space="preserve"> build</w:t>
      </w:r>
      <w:r w:rsidR="001A6209" w:rsidRPr="002C2C75">
        <w:rPr>
          <w:color w:val="000000" w:themeColor="text1"/>
          <w:lang w:val="en-US"/>
        </w:rPr>
        <w:t xml:space="preserve"> </w:t>
      </w:r>
      <w:r w:rsidR="007D2A84" w:rsidRPr="002C2C75">
        <w:rPr>
          <w:color w:val="000000" w:themeColor="text1"/>
          <w:lang w:val="en-US"/>
        </w:rPr>
        <w:t>capacities that are most critical to prevent, detect and respond to infectious disease outbreaks.</w:t>
      </w:r>
    </w:p>
    <w:p w14:paraId="705A1F5F" w14:textId="02CF73E6" w:rsidR="00F15A16" w:rsidRPr="002C2C75" w:rsidRDefault="00E222E8" w:rsidP="00E222E8">
      <w:pPr>
        <w:pStyle w:val="BodyText"/>
        <w:jc w:val="both"/>
        <w:rPr>
          <w:color w:val="000000" w:themeColor="text1"/>
          <w:sz w:val="22"/>
          <w:lang w:val="en-US"/>
        </w:rPr>
      </w:pPr>
      <w:r w:rsidRPr="002C2C75">
        <w:rPr>
          <w:color w:val="000000" w:themeColor="text1"/>
          <w:sz w:val="22"/>
          <w:lang w:val="en-US"/>
        </w:rPr>
        <w:t xml:space="preserve">The National Malaria Control Program, through GF support as well as the support of other partners, has taken substantial efforts to improve its data systems, including where possible leveraging malaria-specific funding to strengthen integrated epidemiological surveillance systems (e.g. increased febrile illness surveillance via SIS-MA and IDSR). Additionally, malaria-specific data systems have been strengthened to ensure that in the face of pandemics malaria services continue to be ensured. Specific investments in pandemic preparedness (e.g. laboratory systems and cross-cutting surveillance) are expected to be made through RSSH funding request, with due consideration for complementary investments from other sources. </w:t>
      </w:r>
    </w:p>
    <w:bookmarkEnd w:id="4"/>
    <w:p w14:paraId="262FA503" w14:textId="77777777" w:rsidR="00E222E8" w:rsidRPr="002C2C75" w:rsidRDefault="00E222E8">
      <w:pPr>
        <w:spacing w:after="200"/>
        <w:rPr>
          <w:rFonts w:asciiTheme="majorHAnsi" w:eastAsiaTheme="majorEastAsia" w:hAnsiTheme="majorHAnsi" w:cstheme="majorBidi"/>
          <w:color w:val="000000" w:themeColor="text1"/>
          <w:sz w:val="36"/>
          <w:szCs w:val="32"/>
          <w:lang w:val="en-GB"/>
        </w:rPr>
      </w:pPr>
      <w:r w:rsidRPr="002C2C75">
        <w:br w:type="page"/>
      </w:r>
    </w:p>
    <w:p w14:paraId="11495024" w14:textId="6B9DF793" w:rsidR="00B357D5" w:rsidRPr="002C2C75" w:rsidRDefault="0057128A">
      <w:pPr>
        <w:pStyle w:val="Heading1"/>
      </w:pPr>
      <w:r w:rsidRPr="002C2C75">
        <w:t>Implementation</w:t>
      </w:r>
    </w:p>
    <w:p w14:paraId="6364D79F" w14:textId="2896A453" w:rsidR="00B357D5" w:rsidRPr="002C2C75" w:rsidRDefault="00953510">
      <w:pPr>
        <w:pStyle w:val="Heading2"/>
        <w:numPr>
          <w:ilvl w:val="1"/>
          <w:numId w:val="17"/>
        </w:numPr>
      </w:pPr>
      <w:r w:rsidRPr="002C2C75">
        <w:t>Implementation Arrangements</w:t>
      </w:r>
    </w:p>
    <w:p w14:paraId="748D86AE" w14:textId="6DC849C1" w:rsidR="00953510" w:rsidRPr="002C2C75" w:rsidRDefault="000050E1" w:rsidP="00687704">
      <w:pPr>
        <w:pStyle w:val="BodyText"/>
        <w:numPr>
          <w:ilvl w:val="0"/>
          <w:numId w:val="10"/>
        </w:numPr>
        <w:ind w:left="990" w:hanging="450"/>
        <w:rPr>
          <w:lang w:val="en-US"/>
        </w:rPr>
      </w:pPr>
      <w:r w:rsidRPr="002C2C75">
        <w:rPr>
          <w:lang w:val="en-US"/>
        </w:rPr>
        <w:t>D</w:t>
      </w:r>
      <w:r w:rsidR="00953510" w:rsidRPr="002C2C75">
        <w:rPr>
          <w:lang w:val="en-US"/>
        </w:rPr>
        <w:t xml:space="preserve">escribe </w:t>
      </w:r>
      <w:r w:rsidR="00BF205A" w:rsidRPr="002C2C75">
        <w:rPr>
          <w:lang w:val="en-US"/>
        </w:rPr>
        <w:t xml:space="preserve">changes to implementation arrangements </w:t>
      </w:r>
      <w:r w:rsidR="00290B62" w:rsidRPr="002C2C75">
        <w:rPr>
          <w:lang w:val="en-US"/>
        </w:rPr>
        <w:t>which will maximize implementation effectiveness</w:t>
      </w:r>
      <w:r w:rsidR="00463AC8" w:rsidRPr="002C2C75">
        <w:rPr>
          <w:lang w:val="en-US"/>
        </w:rPr>
        <w:t xml:space="preserve"> and optimize efficiency</w:t>
      </w:r>
      <w:r w:rsidR="00290B62" w:rsidRPr="002C2C75">
        <w:rPr>
          <w:lang w:val="en-US"/>
        </w:rPr>
        <w:t>.</w:t>
      </w:r>
    </w:p>
    <w:p w14:paraId="37C25EF6" w14:textId="2DD924CC" w:rsidR="00485D42" w:rsidRPr="002C2C75" w:rsidRDefault="00485D42" w:rsidP="00485D42">
      <w:pPr>
        <w:pStyle w:val="BodyText"/>
        <w:jc w:val="both"/>
        <w:rPr>
          <w:sz w:val="22"/>
          <w:szCs w:val="20"/>
          <w:lang w:val="en-US"/>
        </w:rPr>
      </w:pPr>
      <w:r w:rsidRPr="002C2C75">
        <w:rPr>
          <w:sz w:val="22"/>
          <w:szCs w:val="20"/>
          <w:lang w:val="en-US"/>
        </w:rPr>
        <w:t>The proposed Implementation Arrangement Map is attached in the application packet.</w:t>
      </w:r>
    </w:p>
    <w:p w14:paraId="14CB8D5B" w14:textId="68BF30C5" w:rsidR="00485D42" w:rsidRPr="002C2C75" w:rsidRDefault="00485D42" w:rsidP="00485D42">
      <w:pPr>
        <w:pStyle w:val="BodyText"/>
        <w:jc w:val="both"/>
        <w:rPr>
          <w:sz w:val="22"/>
          <w:szCs w:val="20"/>
          <w:lang w:val="en-US"/>
        </w:rPr>
      </w:pPr>
      <w:r w:rsidRPr="002C2C75">
        <w:rPr>
          <w:sz w:val="22"/>
          <w:szCs w:val="20"/>
          <w:lang w:val="en-US"/>
        </w:rPr>
        <w:t xml:space="preserve">The proposed implementation arrangement remains </w:t>
      </w:r>
      <w:r w:rsidR="00DE3D7F" w:rsidRPr="002C2C75">
        <w:rPr>
          <w:sz w:val="22"/>
          <w:szCs w:val="20"/>
          <w:lang w:val="en-US"/>
        </w:rPr>
        <w:t>similar to</w:t>
      </w:r>
      <w:r w:rsidRPr="002C2C75">
        <w:rPr>
          <w:sz w:val="22"/>
          <w:szCs w:val="20"/>
          <w:lang w:val="en-US"/>
        </w:rPr>
        <w:t xml:space="preserve"> the current grant – MoH and </w:t>
      </w:r>
      <w:r w:rsidR="008472D8" w:rsidRPr="002C2C75">
        <w:rPr>
          <w:sz w:val="22"/>
          <w:szCs w:val="20"/>
          <w:lang w:val="en-US"/>
        </w:rPr>
        <w:t>World Vision International</w:t>
      </w:r>
      <w:r w:rsidRPr="002C2C75">
        <w:rPr>
          <w:sz w:val="22"/>
          <w:szCs w:val="20"/>
          <w:lang w:val="en-US"/>
        </w:rPr>
        <w:t xml:space="preserve"> serving as joint PRs, are proposed to continue with a focus on improving MoH capacity as a PR to drive the long-term efficiency and effectiveness of the government in managing its malaria control program. Funding flow to the MoH PR will continue to be managed by the Program Management Unit (PMU) that sits within the MoH, PMU will assist with planning, budgeting, prudent controls, cash flow, top down management structures, and reporting. Coordination on these matters at NMCP will be improved by the appointment of a focal point included in this funding request. Commodities will be procured through the Global Fund PPM in order to access the best available prices for critical commodities.</w:t>
      </w:r>
    </w:p>
    <w:p w14:paraId="5FFA9766" w14:textId="5E9DE788" w:rsidR="00485D42" w:rsidRPr="002C2C75" w:rsidRDefault="00485D42" w:rsidP="00485D42">
      <w:pPr>
        <w:pStyle w:val="BodyText"/>
        <w:jc w:val="both"/>
        <w:rPr>
          <w:sz w:val="22"/>
          <w:szCs w:val="20"/>
          <w:lang w:val="en-US"/>
        </w:rPr>
      </w:pPr>
      <w:r w:rsidRPr="002C2C75">
        <w:rPr>
          <w:sz w:val="22"/>
          <w:szCs w:val="20"/>
          <w:lang w:val="en-US"/>
        </w:rPr>
        <w:t xml:space="preserve">As in the current grant, a number of SRs will be contracted by </w:t>
      </w:r>
      <w:r w:rsidR="008472D8" w:rsidRPr="002C2C75">
        <w:rPr>
          <w:sz w:val="22"/>
          <w:szCs w:val="20"/>
          <w:lang w:val="en-US"/>
        </w:rPr>
        <w:t>World Vision</w:t>
      </w:r>
      <w:r w:rsidRPr="002C2C75">
        <w:rPr>
          <w:sz w:val="22"/>
          <w:szCs w:val="20"/>
          <w:lang w:val="en-US"/>
        </w:rPr>
        <w:t>, particularly to focus on community level activities such as LLIN distribution and SBCC. Selection of these SRs will be done based on the SR selection process led by the CCM</w:t>
      </w:r>
      <w:r w:rsidR="008472D8" w:rsidRPr="002C2C75">
        <w:rPr>
          <w:sz w:val="22"/>
          <w:szCs w:val="20"/>
          <w:lang w:val="en-US"/>
        </w:rPr>
        <w:t>, and will also consider expertise in implementing newly-added interventions like SMC</w:t>
      </w:r>
      <w:r w:rsidRPr="002C2C75">
        <w:rPr>
          <w:sz w:val="22"/>
          <w:szCs w:val="20"/>
          <w:lang w:val="en-US"/>
        </w:rPr>
        <w:t>. Partnership between the MoH/NMCP and World Vision is well established and effective, ensuring strong coordination of activities. Routine grant coordination meetings will be held and supervision will be conducted to ensure strong oversight of all parties. Implementers will participate regularly in national and provincial TWGs to conduct participatory planning and coordinate implementation.</w:t>
      </w:r>
    </w:p>
    <w:p w14:paraId="4239BB00" w14:textId="011BC41B" w:rsidR="00485D42" w:rsidRPr="002C2C75" w:rsidRDefault="00485D42" w:rsidP="004A5A93">
      <w:pPr>
        <w:pStyle w:val="BodyText"/>
        <w:jc w:val="both"/>
        <w:rPr>
          <w:sz w:val="22"/>
          <w:szCs w:val="20"/>
          <w:lang w:val="en-US"/>
        </w:rPr>
      </w:pPr>
      <w:r w:rsidRPr="002C2C75">
        <w:rPr>
          <w:sz w:val="22"/>
          <w:szCs w:val="20"/>
          <w:lang w:val="en-US"/>
        </w:rPr>
        <w:t>The program has a number of technical and operational partners that will continue to support its efforts as well to improve performance.</w:t>
      </w:r>
    </w:p>
    <w:p w14:paraId="070161F9" w14:textId="77777777" w:rsidR="007E336C" w:rsidRPr="007E336C" w:rsidRDefault="005E25BF" w:rsidP="004A5A93">
      <w:pPr>
        <w:pStyle w:val="BodyText"/>
        <w:jc w:val="both"/>
        <w:rPr>
          <w:b/>
          <w:bCs/>
          <w:i/>
          <w:iCs/>
          <w:sz w:val="22"/>
          <w:szCs w:val="20"/>
          <w:lang w:val="en-US"/>
        </w:rPr>
      </w:pPr>
      <w:r w:rsidRPr="007E336C">
        <w:rPr>
          <w:b/>
          <w:bCs/>
          <w:i/>
          <w:iCs/>
          <w:sz w:val="22"/>
          <w:szCs w:val="20"/>
          <w:lang w:val="en-US"/>
        </w:rPr>
        <w:t>RSSH</w:t>
      </w:r>
      <w:r w:rsidR="007E336C" w:rsidRPr="007E336C">
        <w:rPr>
          <w:b/>
          <w:bCs/>
          <w:i/>
          <w:iCs/>
          <w:sz w:val="22"/>
          <w:szCs w:val="20"/>
          <w:lang w:val="en-US"/>
        </w:rPr>
        <w:t xml:space="preserve"> Implementation arrangements</w:t>
      </w:r>
    </w:p>
    <w:p w14:paraId="3A2A0260" w14:textId="674CAF19" w:rsidR="007E336C" w:rsidRPr="007E336C" w:rsidRDefault="005E25BF" w:rsidP="007E336C">
      <w:pPr>
        <w:pStyle w:val="BodyText"/>
        <w:jc w:val="both"/>
        <w:rPr>
          <w:sz w:val="22"/>
          <w:szCs w:val="20"/>
          <w:lang w:val="en-US"/>
        </w:rPr>
      </w:pPr>
      <w:r w:rsidRPr="002C2C75">
        <w:rPr>
          <w:sz w:val="22"/>
          <w:szCs w:val="20"/>
          <w:lang w:val="en-US"/>
        </w:rPr>
        <w:t xml:space="preserve">Even though the RSSH Funding Request is integrated within the malaria request, management and implementation of RSSH activities will be done in a standalone approach. </w:t>
      </w:r>
      <w:r w:rsidR="007E336C" w:rsidRPr="007E336C">
        <w:rPr>
          <w:sz w:val="22"/>
          <w:szCs w:val="20"/>
          <w:lang w:val="en-US"/>
        </w:rPr>
        <w:t>The principal recipient implementing RSSH investments will be the MoH in collaboration with CS</w:t>
      </w:r>
      <w:r w:rsidR="007E336C">
        <w:rPr>
          <w:sz w:val="22"/>
          <w:szCs w:val="20"/>
          <w:lang w:val="en-US"/>
        </w:rPr>
        <w:t>Os</w:t>
      </w:r>
      <w:r w:rsidR="007E336C" w:rsidRPr="007E336C">
        <w:rPr>
          <w:sz w:val="22"/>
          <w:szCs w:val="20"/>
          <w:lang w:val="en-US"/>
        </w:rPr>
        <w:t xml:space="preserve"> for strengthening community systems. Strategic focus on some RSSH modules will increase the likelihood of successful implementation.</w:t>
      </w:r>
    </w:p>
    <w:p w14:paraId="78A9F2F7" w14:textId="77777777" w:rsidR="007E336C" w:rsidRPr="007E336C" w:rsidRDefault="007E336C" w:rsidP="007E336C">
      <w:pPr>
        <w:pStyle w:val="BodyText"/>
        <w:jc w:val="both"/>
        <w:rPr>
          <w:sz w:val="22"/>
          <w:szCs w:val="20"/>
          <w:lang w:val="en-US"/>
        </w:rPr>
      </w:pPr>
      <w:r w:rsidRPr="007E336C">
        <w:rPr>
          <w:sz w:val="22"/>
          <w:szCs w:val="20"/>
          <w:lang w:val="en-US"/>
        </w:rPr>
        <w:t>Despite the fact that RSSH FR integration in the Malaria portfolio, management and implementation of RSSH activities will take a standalone approach. This demands specific implementation arrangements. Overall, based on lessons learned from current grants and GF recommendations a strong management structure to coordinate and oversee implementation will be put in place. This will include clear chain of command and responsibilities, regular meetings with main implementers and stakeholders for coordination, monitoring and accountability, and implementation of corrective measures whenever necessary. Action plans and performance frameworks to track progress will be key to this process.</w:t>
      </w:r>
    </w:p>
    <w:p w14:paraId="2ADAE29F" w14:textId="77777777" w:rsidR="007E336C" w:rsidRPr="007E336C" w:rsidRDefault="007E336C" w:rsidP="007E336C">
      <w:pPr>
        <w:pStyle w:val="BodyText"/>
        <w:jc w:val="both"/>
        <w:rPr>
          <w:sz w:val="22"/>
          <w:szCs w:val="20"/>
          <w:lang w:val="en-US"/>
        </w:rPr>
      </w:pPr>
      <w:r w:rsidRPr="007E336C">
        <w:rPr>
          <w:sz w:val="22"/>
          <w:szCs w:val="20"/>
          <w:lang w:val="en-US"/>
        </w:rPr>
        <w:t>MISAU intends to use existing SWAP platforms for planning and monitoring RSSH activities in order to avoid overburdening staff and duplication of effort. These SWAP working groups are led by the Planning and Cooperation Departments and comprise all national directorates, relevant departments and health programs such as HTM, as well as other government ministries, health sector partners and representatives from CSO. A detailed and comprehensive RSSH annual work plan with clear timelines, milestones and responsibilities, including other donor’s contributions, will be developed and approved under these forums, and, thereafter, quarterly meetings will be held to track progress. during this process, special attention will paid to the roll out of Community Health Subsistem strategy and coordination of community led interventions.</w:t>
      </w:r>
    </w:p>
    <w:p w14:paraId="213EECB1" w14:textId="2A34AF07" w:rsidR="005E25BF" w:rsidRPr="002C2C75" w:rsidRDefault="007E336C" w:rsidP="007E336C">
      <w:pPr>
        <w:pStyle w:val="BodyText"/>
        <w:jc w:val="both"/>
        <w:rPr>
          <w:lang w:val="en-US"/>
        </w:rPr>
      </w:pPr>
      <w:r w:rsidRPr="007E336C">
        <w:rPr>
          <w:sz w:val="22"/>
          <w:szCs w:val="20"/>
          <w:lang w:val="en-US"/>
        </w:rPr>
        <w:t>Delays in procurement processes due to understaffing of the procurement unit and long lead time for process approval has slowed down implementation of RSSH activities. Therefore, a quality and detailed procurement plan will be developed, and held discussions with the Administrative Court and Global Fund for agreements on ways to speed up the approval process, and innovative implementation arrangements like UN platforms.</w:t>
      </w:r>
    </w:p>
    <w:p w14:paraId="47F86AC3" w14:textId="0A6CF692" w:rsidR="002F3D04" w:rsidRPr="002C2C75" w:rsidRDefault="000050E1" w:rsidP="00687704">
      <w:pPr>
        <w:pStyle w:val="BodyText"/>
        <w:numPr>
          <w:ilvl w:val="0"/>
          <w:numId w:val="10"/>
        </w:numPr>
        <w:ind w:left="990" w:hanging="450"/>
        <w:rPr>
          <w:lang w:val="en-US"/>
        </w:rPr>
      </w:pPr>
      <w:r w:rsidRPr="002C2C75">
        <w:rPr>
          <w:lang w:val="en-US"/>
        </w:rPr>
        <w:t>D</w:t>
      </w:r>
      <w:r w:rsidR="009066CA" w:rsidRPr="002C2C75">
        <w:rPr>
          <w:lang w:val="en-US"/>
        </w:rPr>
        <w:t xml:space="preserve">escribe the role that community-based and community-led organizations will have in </w:t>
      </w:r>
      <w:r w:rsidR="00E63411" w:rsidRPr="002C2C75">
        <w:rPr>
          <w:lang w:val="en-US"/>
        </w:rPr>
        <w:t>implementing programs supported by the Global Fund</w:t>
      </w:r>
      <w:r w:rsidR="009066CA" w:rsidRPr="002C2C75">
        <w:rPr>
          <w:lang w:val="en-US"/>
        </w:rPr>
        <w:t>.</w:t>
      </w:r>
    </w:p>
    <w:p w14:paraId="2F9269DC" w14:textId="77777777" w:rsidR="00485D42" w:rsidRPr="002C2C75" w:rsidRDefault="00485D42" w:rsidP="00485D42">
      <w:pPr>
        <w:pStyle w:val="BodyText"/>
        <w:rPr>
          <w:sz w:val="22"/>
          <w:lang w:val="en-US"/>
        </w:rPr>
      </w:pPr>
      <w:r w:rsidRPr="002C2C75">
        <w:rPr>
          <w:sz w:val="22"/>
          <w:lang w:val="en-US"/>
        </w:rPr>
        <w:t>Equity in access to services, irrespective of geographic remoteness, ethnicity, nationality or gender, is essential to achieving the desired impact of this funding request. Community-based organizations play a significant role in the implementation of the current grant, and their role in the proposed work will increase as described below.</w:t>
      </w:r>
    </w:p>
    <w:p w14:paraId="1EF3F6EA" w14:textId="751C6DDD" w:rsidR="00485D42" w:rsidRPr="002C2C75" w:rsidRDefault="00485D42" w:rsidP="00485D42">
      <w:pPr>
        <w:pStyle w:val="BodyText"/>
        <w:spacing w:after="0"/>
        <w:rPr>
          <w:sz w:val="22"/>
          <w:lang w:val="en-US"/>
        </w:rPr>
      </w:pPr>
      <w:r w:rsidRPr="002C2C75">
        <w:rPr>
          <w:sz w:val="22"/>
          <w:lang w:val="en-US"/>
        </w:rPr>
        <w:t>Priority area 1: Community delivery of malaria prevention (ITNs) via mass campaign</w:t>
      </w:r>
    </w:p>
    <w:p w14:paraId="10542842" w14:textId="42F7B9C6" w:rsidR="00485D42" w:rsidRPr="002C2C75" w:rsidRDefault="00485D42">
      <w:pPr>
        <w:pStyle w:val="BodyText"/>
        <w:numPr>
          <w:ilvl w:val="0"/>
          <w:numId w:val="50"/>
        </w:numPr>
        <w:spacing w:after="0"/>
        <w:rPr>
          <w:sz w:val="22"/>
          <w:lang w:val="en-US"/>
        </w:rPr>
      </w:pPr>
      <w:r w:rsidRPr="002C2C75">
        <w:rPr>
          <w:sz w:val="22"/>
          <w:lang w:val="en-US"/>
        </w:rPr>
        <w:t>Strong emphasis will be placed on improving ITN distribution, including the use of technology to facilitate more accurate and granular M&amp;E to measure LLIN coverage</w:t>
      </w:r>
    </w:p>
    <w:p w14:paraId="079916C4" w14:textId="2C41CEAC" w:rsidR="00485D42" w:rsidRPr="002C2C75" w:rsidRDefault="00485D42">
      <w:pPr>
        <w:pStyle w:val="BodyText"/>
        <w:numPr>
          <w:ilvl w:val="0"/>
          <w:numId w:val="50"/>
        </w:numPr>
        <w:spacing w:after="0"/>
        <w:rPr>
          <w:sz w:val="22"/>
          <w:lang w:val="en-US"/>
        </w:rPr>
      </w:pPr>
      <w:r w:rsidRPr="002C2C75">
        <w:rPr>
          <w:sz w:val="22"/>
          <w:lang w:val="en-US"/>
        </w:rPr>
        <w:t>Promotion of ITN usage at community level, building on the improvements in access and usage demonstrated in the current investment (with increased impact by addressing resistance)</w:t>
      </w:r>
    </w:p>
    <w:p w14:paraId="1BBB0A49" w14:textId="77777777" w:rsidR="00485D42" w:rsidRPr="002C2C75" w:rsidRDefault="00485D42" w:rsidP="00485D42">
      <w:pPr>
        <w:pStyle w:val="BodyText"/>
        <w:spacing w:after="0"/>
        <w:rPr>
          <w:sz w:val="22"/>
          <w:lang w:val="en-US"/>
        </w:rPr>
      </w:pPr>
    </w:p>
    <w:p w14:paraId="170B05D1" w14:textId="77777777" w:rsidR="00485D42" w:rsidRPr="002C2C75" w:rsidRDefault="00485D42" w:rsidP="00485D42">
      <w:pPr>
        <w:pStyle w:val="BodyText"/>
        <w:spacing w:after="0"/>
        <w:rPr>
          <w:sz w:val="22"/>
          <w:lang w:val="en-US"/>
        </w:rPr>
      </w:pPr>
      <w:r w:rsidRPr="002C2C75">
        <w:rPr>
          <w:sz w:val="22"/>
          <w:lang w:val="en-US"/>
        </w:rPr>
        <w:t>Priority area 2: Community response and SBCC</w:t>
      </w:r>
    </w:p>
    <w:p w14:paraId="1CEAE7A3" w14:textId="384F8614" w:rsidR="00485D42" w:rsidRPr="002C2C75" w:rsidRDefault="00485D42">
      <w:pPr>
        <w:pStyle w:val="BodyText"/>
        <w:numPr>
          <w:ilvl w:val="0"/>
          <w:numId w:val="51"/>
        </w:numPr>
        <w:spacing w:after="0"/>
        <w:rPr>
          <w:sz w:val="22"/>
          <w:lang w:val="en-US"/>
        </w:rPr>
      </w:pPr>
      <w:r w:rsidRPr="002C2C75">
        <w:rPr>
          <w:sz w:val="22"/>
          <w:lang w:val="en-US"/>
        </w:rPr>
        <w:t>Development and delivery of community SBCC materials that target service uptake in the most at-risk communities, to continue the strong upward trend over the last decade in ITN usage, IRS acceptance, and treatment-seeking</w:t>
      </w:r>
    </w:p>
    <w:p w14:paraId="13D78257" w14:textId="59296914" w:rsidR="00485D42" w:rsidRPr="002C2C75" w:rsidRDefault="00485D42">
      <w:pPr>
        <w:pStyle w:val="BodyText"/>
        <w:numPr>
          <w:ilvl w:val="0"/>
          <w:numId w:val="51"/>
        </w:numPr>
        <w:spacing w:after="0"/>
        <w:rPr>
          <w:sz w:val="22"/>
          <w:lang w:val="en-US"/>
        </w:rPr>
      </w:pPr>
      <w:r w:rsidRPr="002C2C75">
        <w:rPr>
          <w:sz w:val="22"/>
          <w:lang w:val="en-US"/>
        </w:rPr>
        <w:t>Improved data and reporting of SBCC activities, as part of the program’s overall effort to improve operational efficiency by targeting interventions to the areas in most need</w:t>
      </w:r>
    </w:p>
    <w:p w14:paraId="24B10034" w14:textId="77777777" w:rsidR="00485D42" w:rsidRPr="002C2C75" w:rsidRDefault="00485D42" w:rsidP="00485D42">
      <w:pPr>
        <w:pStyle w:val="BodyText"/>
        <w:spacing w:after="0"/>
        <w:rPr>
          <w:sz w:val="22"/>
          <w:lang w:val="en-US"/>
        </w:rPr>
      </w:pPr>
    </w:p>
    <w:p w14:paraId="4AB005EC" w14:textId="77777777" w:rsidR="00485D42" w:rsidRPr="002C2C75" w:rsidRDefault="00485D42" w:rsidP="00485D42">
      <w:pPr>
        <w:pStyle w:val="BodyText"/>
        <w:spacing w:after="0"/>
        <w:rPr>
          <w:sz w:val="22"/>
          <w:lang w:val="en-US"/>
        </w:rPr>
      </w:pPr>
      <w:r w:rsidRPr="002C2C75">
        <w:rPr>
          <w:sz w:val="22"/>
          <w:lang w:val="en-US"/>
        </w:rPr>
        <w:t>Priority area 3: Addressing the needs of IDPs</w:t>
      </w:r>
    </w:p>
    <w:p w14:paraId="5DE010D0" w14:textId="37785CB1" w:rsidR="00485D42" w:rsidRPr="002C2C75" w:rsidRDefault="00485D42">
      <w:pPr>
        <w:pStyle w:val="BodyText"/>
        <w:numPr>
          <w:ilvl w:val="0"/>
          <w:numId w:val="52"/>
        </w:numPr>
        <w:spacing w:after="0"/>
        <w:rPr>
          <w:sz w:val="22"/>
          <w:lang w:val="en-US"/>
        </w:rPr>
      </w:pPr>
      <w:r w:rsidRPr="002C2C75">
        <w:rPr>
          <w:sz w:val="22"/>
          <w:lang w:val="en-US"/>
        </w:rPr>
        <w:t>Rapid assessment and response to the needs of populations affected by climatic and conflict-related emergencies, as has been done for IDPs in Cabo Delgado Province. This includes close collaboration of national, provincial, and district health authorities with humanitarian agencies who are active in the response to such disasters.</w:t>
      </w:r>
    </w:p>
    <w:p w14:paraId="3C46ABCC" w14:textId="77777777" w:rsidR="005E25BF" w:rsidRPr="002C2C75" w:rsidRDefault="005E25BF" w:rsidP="005E25BF">
      <w:pPr>
        <w:pStyle w:val="BodyText"/>
        <w:spacing w:after="0"/>
        <w:rPr>
          <w:b/>
          <w:bCs/>
          <w:sz w:val="22"/>
          <w:lang w:val="en-US"/>
        </w:rPr>
      </w:pPr>
    </w:p>
    <w:p w14:paraId="60BB822D" w14:textId="77777777" w:rsidR="007E336C" w:rsidRDefault="005E25BF" w:rsidP="005E25BF">
      <w:pPr>
        <w:pStyle w:val="BodyText"/>
        <w:spacing w:after="0"/>
        <w:jc w:val="both"/>
        <w:rPr>
          <w:b/>
          <w:bCs/>
          <w:sz w:val="22"/>
          <w:lang w:val="en-US"/>
        </w:rPr>
      </w:pPr>
      <w:r w:rsidRPr="002C2C75">
        <w:rPr>
          <w:b/>
          <w:bCs/>
          <w:sz w:val="22"/>
          <w:lang w:val="en-US"/>
        </w:rPr>
        <w:t>RSSH</w:t>
      </w:r>
      <w:r w:rsidR="007E336C">
        <w:rPr>
          <w:b/>
          <w:bCs/>
          <w:sz w:val="22"/>
          <w:lang w:val="en-US"/>
        </w:rPr>
        <w:t xml:space="preserve"> Involvement of CSOs</w:t>
      </w:r>
    </w:p>
    <w:p w14:paraId="1F88B0B8" w14:textId="56F80D50" w:rsidR="005E25BF" w:rsidRPr="007E336C" w:rsidRDefault="007E336C" w:rsidP="007E336C">
      <w:pPr>
        <w:pStyle w:val="BodyText"/>
        <w:spacing w:after="0"/>
        <w:jc w:val="both"/>
        <w:rPr>
          <w:sz w:val="22"/>
          <w:lang w:val="en-US"/>
        </w:rPr>
      </w:pPr>
      <w:r w:rsidRPr="007E336C">
        <w:rPr>
          <w:sz w:val="22"/>
          <w:lang w:val="en-US"/>
        </w:rPr>
        <w:t>Under Community Strengthening interventions, the SCO will continue to refine and implement accountability mechanisms led and implemented by community-led organizations to improve accessibility and quality of health services, in particular for addressing barriers to accessing services by specific and most vulnerable groups, and include perspectives and experiences of clients.</w:t>
      </w:r>
      <w:r>
        <w:rPr>
          <w:sz w:val="22"/>
          <w:lang w:val="en-US"/>
        </w:rPr>
        <w:t xml:space="preserve"> </w:t>
      </w:r>
      <w:r w:rsidRPr="007E336C">
        <w:rPr>
          <w:sz w:val="22"/>
          <w:lang w:val="en-US"/>
        </w:rPr>
        <w:t>Capacity building Community-led and community-based organizations will be trained and empowered to have a meaningful participation in the provision of health services responses, innovate and address changes and shifts in HIV, TB, and malaria. Organizational leadership requires capacity to hold decision makers accountable, engage duty bearers and lead active and well-functioning civil society.</w:t>
      </w:r>
      <w:r w:rsidR="005E25BF" w:rsidRPr="007E336C">
        <w:rPr>
          <w:sz w:val="22"/>
          <w:lang w:val="en-US"/>
        </w:rPr>
        <w:t>.</w:t>
      </w:r>
    </w:p>
    <w:p w14:paraId="2641DB40" w14:textId="55E593D3" w:rsidR="00EF0D12" w:rsidRPr="002C2C75" w:rsidRDefault="00EF0D12">
      <w:pPr>
        <w:pStyle w:val="Heading2"/>
        <w:numPr>
          <w:ilvl w:val="1"/>
          <w:numId w:val="17"/>
        </w:numPr>
      </w:pPr>
      <w:r w:rsidRPr="002C2C75">
        <w:t>Key Risks</w:t>
      </w:r>
      <w:r w:rsidR="00F06D4A" w:rsidRPr="002C2C75">
        <w:t xml:space="preserve"> and Mitigation</w:t>
      </w:r>
      <w:r w:rsidR="00B5203D" w:rsidRPr="002C2C75">
        <w:t xml:space="preserve"> Measures</w:t>
      </w:r>
    </w:p>
    <w:p w14:paraId="54FE2A16" w14:textId="46138170" w:rsidR="00631567" w:rsidRPr="002C2C75" w:rsidRDefault="007B03A6" w:rsidP="00631567">
      <w:pPr>
        <w:pStyle w:val="BodyText"/>
        <w:rPr>
          <w:lang w:val="en-US"/>
        </w:rPr>
      </w:pPr>
      <w:r w:rsidRPr="002C2C75">
        <w:rPr>
          <w:lang w:val="en-US"/>
        </w:rPr>
        <w:t>D</w:t>
      </w:r>
      <w:r w:rsidR="00AF25C8" w:rsidRPr="002C2C75">
        <w:rPr>
          <w:lang w:val="en-US"/>
        </w:rPr>
        <w:t xml:space="preserve">escribe </w:t>
      </w:r>
      <w:r w:rsidR="001C565A" w:rsidRPr="002C2C75">
        <w:rPr>
          <w:lang w:val="en-US"/>
        </w:rPr>
        <w:t>up to three</w:t>
      </w:r>
      <w:r w:rsidR="00077B85" w:rsidRPr="002C2C75">
        <w:rPr>
          <w:lang w:val="en-US"/>
        </w:rPr>
        <w:t xml:space="preserve"> risks and mitigating measures </w:t>
      </w:r>
      <w:r w:rsidR="003B083C" w:rsidRPr="002C2C75">
        <w:rPr>
          <w:lang w:val="en-US"/>
        </w:rPr>
        <w:t xml:space="preserve">for </w:t>
      </w:r>
      <w:r w:rsidR="001B141C" w:rsidRPr="002C2C75">
        <w:rPr>
          <w:lang w:val="en-US"/>
        </w:rPr>
        <w:t xml:space="preserve">each of </w:t>
      </w:r>
      <w:r w:rsidR="003B083C" w:rsidRPr="002C2C75">
        <w:rPr>
          <w:lang w:val="en-US"/>
        </w:rPr>
        <w:t>the following risk areas:</w:t>
      </w:r>
    </w:p>
    <w:p w14:paraId="495AF028" w14:textId="258618BD" w:rsidR="000A377D" w:rsidRPr="002C2C75" w:rsidRDefault="003B083C">
      <w:pPr>
        <w:pStyle w:val="BodyText"/>
        <w:numPr>
          <w:ilvl w:val="0"/>
          <w:numId w:val="11"/>
        </w:numPr>
        <w:ind w:left="900"/>
        <w:rPr>
          <w:lang w:val="en-US"/>
        </w:rPr>
      </w:pPr>
      <w:r w:rsidRPr="002C2C75">
        <w:rPr>
          <w:lang w:val="en-US"/>
        </w:rPr>
        <w:t>Procurement</w:t>
      </w:r>
      <w:r w:rsidR="00E87737" w:rsidRPr="002C2C75">
        <w:rPr>
          <w:lang w:val="en-US"/>
        </w:rPr>
        <w:t xml:space="preserve"> of health products, management of health </w:t>
      </w:r>
      <w:r w:rsidR="000F2B78" w:rsidRPr="002C2C75">
        <w:rPr>
          <w:lang w:val="en-US"/>
        </w:rPr>
        <w:t>products and laborator</w:t>
      </w:r>
      <w:r w:rsidR="00E87737" w:rsidRPr="002C2C75">
        <w:rPr>
          <w:lang w:val="en-US"/>
        </w:rPr>
        <w:t xml:space="preserve">y related </w:t>
      </w:r>
      <w:r w:rsidR="000A0856" w:rsidRPr="002C2C75">
        <w:rPr>
          <w:lang w:val="en-US"/>
        </w:rPr>
        <w:t>activities.</w:t>
      </w:r>
    </w:p>
    <w:tbl>
      <w:tblPr>
        <w:tblStyle w:val="Plain"/>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4770"/>
        <w:gridCol w:w="2189"/>
      </w:tblGrid>
      <w:tr w:rsidR="00DC1E30" w:rsidRPr="002C2C75" w14:paraId="43587DA1" w14:textId="77777777" w:rsidTr="006163B5">
        <w:tc>
          <w:tcPr>
            <w:tcW w:w="3235" w:type="dxa"/>
            <w:shd w:val="clear" w:color="auto" w:fill="E9E9E9" w:themeFill="text2" w:themeFillTint="33"/>
          </w:tcPr>
          <w:p w14:paraId="3B4D4D70" w14:textId="63C5E87D" w:rsidR="00DC1E30" w:rsidRPr="002C2C75" w:rsidRDefault="00DC1E30" w:rsidP="00F15A16">
            <w:pPr>
              <w:pStyle w:val="BodyText"/>
              <w:rPr>
                <w:b/>
                <w:bCs/>
                <w:sz w:val="20"/>
                <w:szCs w:val="20"/>
                <w:lang w:val="en-US"/>
              </w:rPr>
            </w:pPr>
            <w:r w:rsidRPr="002C2C75">
              <w:rPr>
                <w:b/>
                <w:bCs/>
                <w:sz w:val="20"/>
                <w:szCs w:val="20"/>
                <w:lang w:val="en-US"/>
              </w:rPr>
              <w:t>Key Risks</w:t>
            </w:r>
          </w:p>
        </w:tc>
        <w:tc>
          <w:tcPr>
            <w:tcW w:w="4770" w:type="dxa"/>
            <w:shd w:val="clear" w:color="auto" w:fill="E9E9E9" w:themeFill="text2" w:themeFillTint="33"/>
          </w:tcPr>
          <w:p w14:paraId="1FA0916A" w14:textId="32AA8A5F" w:rsidR="00DC1E30" w:rsidRPr="002C2C75" w:rsidRDefault="00DC1E30" w:rsidP="00F15A16">
            <w:pPr>
              <w:pStyle w:val="BodyText"/>
              <w:rPr>
                <w:b/>
                <w:bCs/>
                <w:sz w:val="20"/>
                <w:szCs w:val="20"/>
                <w:lang w:val="en-US"/>
              </w:rPr>
            </w:pPr>
            <w:r w:rsidRPr="002C2C75">
              <w:rPr>
                <w:b/>
                <w:bCs/>
                <w:sz w:val="20"/>
                <w:szCs w:val="20"/>
                <w:lang w:val="en-US"/>
              </w:rPr>
              <w:t>Corresponding Mitigation Measures</w:t>
            </w:r>
          </w:p>
        </w:tc>
        <w:tc>
          <w:tcPr>
            <w:tcW w:w="2189" w:type="dxa"/>
            <w:shd w:val="clear" w:color="auto" w:fill="E9E9E9" w:themeFill="text2" w:themeFillTint="33"/>
          </w:tcPr>
          <w:p w14:paraId="6DF74D2C" w14:textId="7521E021" w:rsidR="00DC1E30" w:rsidRPr="002C2C75" w:rsidRDefault="00DC1E30" w:rsidP="00F15A16">
            <w:pPr>
              <w:pStyle w:val="BodyText"/>
              <w:rPr>
                <w:b/>
                <w:bCs/>
                <w:sz w:val="20"/>
                <w:szCs w:val="20"/>
                <w:lang w:val="en-US"/>
              </w:rPr>
            </w:pPr>
            <w:r w:rsidRPr="002C2C75">
              <w:rPr>
                <w:b/>
                <w:bCs/>
                <w:sz w:val="20"/>
                <w:szCs w:val="20"/>
                <w:lang w:val="en-US"/>
              </w:rPr>
              <w:t>Entity Responsible</w:t>
            </w:r>
          </w:p>
        </w:tc>
      </w:tr>
      <w:tr w:rsidR="00DC1E30" w:rsidRPr="002C2C75" w14:paraId="40AA340F" w14:textId="77777777" w:rsidTr="006163B5">
        <w:tc>
          <w:tcPr>
            <w:tcW w:w="3235" w:type="dxa"/>
          </w:tcPr>
          <w:p w14:paraId="71C3C389" w14:textId="0F227D49" w:rsidR="00DC1E30" w:rsidRPr="002C2C75" w:rsidRDefault="00DC1E30" w:rsidP="00F15A16">
            <w:pPr>
              <w:pStyle w:val="BodyText"/>
              <w:rPr>
                <w:sz w:val="20"/>
                <w:szCs w:val="20"/>
                <w:lang w:val="en-US"/>
              </w:rPr>
            </w:pPr>
            <w:r w:rsidRPr="002C2C75">
              <w:rPr>
                <w:sz w:val="20"/>
                <w:szCs w:val="20"/>
                <w:lang w:val="en-US"/>
              </w:rPr>
              <w:t>Commodity prices are a substantial risk, particularly given the biological threats facing (insecticide resistance, artemisinin resistance, and HRP2/3 gene deletion</w:t>
            </w:r>
            <w:r w:rsidR="006163B5" w:rsidRPr="002C2C75">
              <w:rPr>
                <w:sz w:val="20"/>
                <w:szCs w:val="20"/>
                <w:lang w:val="en-US"/>
              </w:rPr>
              <w:t>)</w:t>
            </w:r>
          </w:p>
          <w:p w14:paraId="34D87204" w14:textId="19082534" w:rsidR="006163B5" w:rsidRPr="002C2C75" w:rsidRDefault="006163B5" w:rsidP="00F15A16">
            <w:pPr>
              <w:pStyle w:val="BodyText"/>
              <w:rPr>
                <w:sz w:val="20"/>
                <w:szCs w:val="20"/>
                <w:lang w:val="en-US"/>
              </w:rPr>
            </w:pPr>
            <w:r w:rsidRPr="002C2C75">
              <w:rPr>
                <w:sz w:val="20"/>
                <w:szCs w:val="20"/>
                <w:lang w:val="en-US"/>
              </w:rPr>
              <w:t xml:space="preserve">The NMCP has a strong desire to nimbly respond to data on these threats, but the constraint of costs presents a risk to doing so. </w:t>
            </w:r>
          </w:p>
        </w:tc>
        <w:tc>
          <w:tcPr>
            <w:tcW w:w="4770" w:type="dxa"/>
          </w:tcPr>
          <w:p w14:paraId="4407A610" w14:textId="77777777" w:rsidR="006163B5" w:rsidRPr="002C2C75" w:rsidRDefault="006163B5" w:rsidP="00F15A16">
            <w:pPr>
              <w:pStyle w:val="BodyText"/>
              <w:rPr>
                <w:sz w:val="20"/>
                <w:szCs w:val="20"/>
                <w:lang w:val="en-US"/>
              </w:rPr>
            </w:pPr>
            <w:r w:rsidRPr="002C2C75">
              <w:rPr>
                <w:sz w:val="20"/>
                <w:szCs w:val="20"/>
                <w:lang w:val="en-US"/>
              </w:rPr>
              <w:t xml:space="preserve">Proactive forecasting at the country level, as well as coordinated support from global actors to project commodity needs and negotiate pricing with manufacturers, will be key to ensure the coverage of life-saving interventions are delivered and maintain (or improve) their effectiveness. </w:t>
            </w:r>
          </w:p>
          <w:p w14:paraId="6E9AC5D6" w14:textId="3C0CF3A7" w:rsidR="006163B5" w:rsidRPr="002C2C75" w:rsidRDefault="006163B5" w:rsidP="00F15A16">
            <w:pPr>
              <w:pStyle w:val="BodyText"/>
              <w:rPr>
                <w:sz w:val="20"/>
                <w:szCs w:val="20"/>
                <w:lang w:val="en-US"/>
              </w:rPr>
            </w:pPr>
            <w:r w:rsidRPr="002C2C75">
              <w:rPr>
                <w:sz w:val="20"/>
                <w:szCs w:val="20"/>
                <w:lang w:val="en-US"/>
              </w:rPr>
              <w:t xml:space="preserve">Surveillance for these biological threats will also improve decision-making and program effectiveness. </w:t>
            </w:r>
          </w:p>
        </w:tc>
        <w:tc>
          <w:tcPr>
            <w:tcW w:w="2189" w:type="dxa"/>
          </w:tcPr>
          <w:p w14:paraId="42A4A066" w14:textId="37BE0F1D" w:rsidR="00DC1E30" w:rsidRPr="002C2C75" w:rsidRDefault="006163B5" w:rsidP="00F15A16">
            <w:pPr>
              <w:pStyle w:val="BodyText"/>
              <w:rPr>
                <w:sz w:val="20"/>
                <w:szCs w:val="20"/>
                <w:lang w:val="en-US"/>
              </w:rPr>
            </w:pPr>
            <w:r w:rsidRPr="002C2C75">
              <w:rPr>
                <w:sz w:val="20"/>
                <w:szCs w:val="20"/>
                <w:lang w:val="en-US"/>
              </w:rPr>
              <w:t>NMCP, CMAM with Chemonics/PSM, and GF</w:t>
            </w:r>
          </w:p>
        </w:tc>
      </w:tr>
      <w:tr w:rsidR="00DC1E30" w:rsidRPr="002C2C75" w14:paraId="12F87B99" w14:textId="77777777" w:rsidTr="006163B5">
        <w:tc>
          <w:tcPr>
            <w:tcW w:w="3235" w:type="dxa"/>
          </w:tcPr>
          <w:p w14:paraId="5C9BF678" w14:textId="68880851" w:rsidR="00DC1E30" w:rsidRPr="002C2C75" w:rsidRDefault="006163B5" w:rsidP="00F15A16">
            <w:pPr>
              <w:pStyle w:val="BodyText"/>
              <w:rPr>
                <w:sz w:val="20"/>
                <w:szCs w:val="20"/>
                <w:lang w:val="en-US"/>
              </w:rPr>
            </w:pPr>
            <w:r w:rsidRPr="002C2C75">
              <w:rPr>
                <w:sz w:val="20"/>
                <w:szCs w:val="20"/>
                <w:lang w:val="en-US"/>
              </w:rPr>
              <w:t>Lead times for key commodities disrupting prevention interventions with sensitive timing</w:t>
            </w:r>
          </w:p>
        </w:tc>
        <w:tc>
          <w:tcPr>
            <w:tcW w:w="4770" w:type="dxa"/>
          </w:tcPr>
          <w:p w14:paraId="664B3D52" w14:textId="22550120" w:rsidR="00DC1E30" w:rsidRPr="002C2C75" w:rsidRDefault="006163B5" w:rsidP="00F15A16">
            <w:pPr>
              <w:pStyle w:val="BodyText"/>
              <w:rPr>
                <w:sz w:val="20"/>
                <w:szCs w:val="20"/>
                <w:lang w:val="en-US"/>
              </w:rPr>
            </w:pPr>
            <w:r w:rsidRPr="002C2C75">
              <w:rPr>
                <w:sz w:val="20"/>
                <w:szCs w:val="20"/>
                <w:lang w:val="en-US"/>
              </w:rPr>
              <w:t>Long commodity lead times exist at least partially due to successful efforts to reduce prices globally, constraining manufacturing capacity. To mitigate this risk the NMCP has improved its capacity to place timely orders, as well as communication with the GF Wambo team to predict delivery schedules. These efforts must be maintained, and globally support must be given to reduce lead times as much as possible.</w:t>
            </w:r>
          </w:p>
        </w:tc>
        <w:tc>
          <w:tcPr>
            <w:tcW w:w="2189" w:type="dxa"/>
          </w:tcPr>
          <w:p w14:paraId="6F7C69EC" w14:textId="57F3C6E1" w:rsidR="00DC1E30" w:rsidRPr="002C2C75" w:rsidRDefault="006163B5" w:rsidP="00F15A16">
            <w:pPr>
              <w:pStyle w:val="BodyText"/>
              <w:rPr>
                <w:sz w:val="20"/>
                <w:szCs w:val="20"/>
                <w:lang w:val="en-US"/>
              </w:rPr>
            </w:pPr>
            <w:r w:rsidRPr="002C2C75">
              <w:rPr>
                <w:sz w:val="20"/>
                <w:szCs w:val="20"/>
                <w:lang w:val="en-US"/>
              </w:rPr>
              <w:t>NMCP and CMAM, with support from GF and PMI</w:t>
            </w:r>
          </w:p>
        </w:tc>
      </w:tr>
      <w:tr w:rsidR="00DC1E30" w:rsidRPr="002C2C75" w14:paraId="699FA2AD" w14:textId="77777777" w:rsidTr="006163B5">
        <w:tc>
          <w:tcPr>
            <w:tcW w:w="3235" w:type="dxa"/>
          </w:tcPr>
          <w:p w14:paraId="61AA4F9B" w14:textId="0D67E6F5" w:rsidR="00DC1E30" w:rsidRPr="002C2C75" w:rsidRDefault="006163B5" w:rsidP="00F15A16">
            <w:pPr>
              <w:pStyle w:val="BodyText"/>
              <w:rPr>
                <w:sz w:val="20"/>
                <w:szCs w:val="20"/>
                <w:lang w:val="en-US"/>
              </w:rPr>
            </w:pPr>
            <w:r w:rsidRPr="002C2C75">
              <w:rPr>
                <w:sz w:val="20"/>
                <w:szCs w:val="20"/>
                <w:lang w:val="en-US"/>
              </w:rPr>
              <w:t>Loss of commodities due to natural disasters and conflict</w:t>
            </w:r>
          </w:p>
        </w:tc>
        <w:tc>
          <w:tcPr>
            <w:tcW w:w="4770" w:type="dxa"/>
          </w:tcPr>
          <w:p w14:paraId="37D12BD7" w14:textId="77777777" w:rsidR="00DC1E30" w:rsidRPr="002C2C75" w:rsidRDefault="006163B5" w:rsidP="00F15A16">
            <w:pPr>
              <w:pStyle w:val="BodyText"/>
              <w:rPr>
                <w:sz w:val="20"/>
                <w:szCs w:val="20"/>
                <w:lang w:val="en-US"/>
              </w:rPr>
            </w:pPr>
            <w:r w:rsidRPr="002C2C75">
              <w:rPr>
                <w:sz w:val="20"/>
                <w:szCs w:val="20"/>
                <w:lang w:val="en-US"/>
              </w:rPr>
              <w:t xml:space="preserve">Where possible diagnosis and treatment buffer stocks have been incorporated into the commodity quantification, however the increasing frequency and severity of these events puts a strain on the system. </w:t>
            </w:r>
          </w:p>
          <w:p w14:paraId="5DBCE1E5" w14:textId="00812FCB" w:rsidR="006163B5" w:rsidRPr="002C2C75" w:rsidRDefault="006163B5" w:rsidP="00F15A16">
            <w:pPr>
              <w:pStyle w:val="BodyText"/>
              <w:rPr>
                <w:sz w:val="20"/>
                <w:szCs w:val="20"/>
                <w:lang w:val="en-US"/>
              </w:rPr>
            </w:pPr>
            <w:r w:rsidRPr="002C2C75">
              <w:rPr>
                <w:sz w:val="20"/>
                <w:szCs w:val="20"/>
                <w:lang w:val="en-US"/>
              </w:rPr>
              <w:t xml:space="preserve">The NMCP and CMAM have strengthened collaboration with disaster management agencies, however will also require support and flexibility from key donors (GF, PMI) in order to quicken response when emergencies occur. </w:t>
            </w:r>
          </w:p>
        </w:tc>
        <w:tc>
          <w:tcPr>
            <w:tcW w:w="2189" w:type="dxa"/>
          </w:tcPr>
          <w:p w14:paraId="3233004F" w14:textId="1CA81C80" w:rsidR="00DC1E30" w:rsidRPr="002C2C75" w:rsidRDefault="006163B5" w:rsidP="00F15A16">
            <w:pPr>
              <w:pStyle w:val="BodyText"/>
              <w:rPr>
                <w:sz w:val="20"/>
                <w:szCs w:val="20"/>
                <w:lang w:val="en-US"/>
              </w:rPr>
            </w:pPr>
            <w:r w:rsidRPr="002C2C75">
              <w:rPr>
                <w:sz w:val="20"/>
                <w:szCs w:val="20"/>
                <w:lang w:val="en-US"/>
              </w:rPr>
              <w:t>NMCP and CMAM, with support from GF and PMI</w:t>
            </w:r>
          </w:p>
        </w:tc>
      </w:tr>
    </w:tbl>
    <w:p w14:paraId="46F5429D" w14:textId="77777777" w:rsidR="00DC1E30" w:rsidRPr="002C2C75" w:rsidRDefault="00DC1E30" w:rsidP="00F15A16">
      <w:pPr>
        <w:pStyle w:val="BodyText"/>
        <w:rPr>
          <w:lang w:val="en-US"/>
        </w:rPr>
      </w:pPr>
    </w:p>
    <w:p w14:paraId="40BC1A47" w14:textId="44B25069" w:rsidR="000A377D" w:rsidRPr="002C2C75" w:rsidRDefault="00EC6545">
      <w:pPr>
        <w:pStyle w:val="BodyText"/>
        <w:numPr>
          <w:ilvl w:val="0"/>
          <w:numId w:val="11"/>
        </w:numPr>
        <w:ind w:left="900"/>
        <w:rPr>
          <w:lang w:val="en-US"/>
        </w:rPr>
      </w:pPr>
      <w:r w:rsidRPr="002C2C75">
        <w:rPr>
          <w:lang w:val="en-US"/>
        </w:rPr>
        <w:t>Flow of data</w:t>
      </w:r>
      <w:r w:rsidR="00926419" w:rsidRPr="002C2C75">
        <w:rPr>
          <w:lang w:val="en-US"/>
        </w:rPr>
        <w:t xml:space="preserve"> from service delivery points</w:t>
      </w:r>
      <w:r w:rsidR="00685BF5" w:rsidRPr="002C2C75">
        <w:rPr>
          <w:lang w:val="en-US"/>
        </w:rPr>
        <w:t>.</w:t>
      </w:r>
      <w:r w:rsidR="00926419" w:rsidRPr="002C2C75">
        <w:rPr>
          <w:lang w:val="en-US"/>
        </w:rPr>
        <w:t xml:space="preserve"> </w:t>
      </w:r>
    </w:p>
    <w:tbl>
      <w:tblPr>
        <w:tblStyle w:val="Plain"/>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4770"/>
        <w:gridCol w:w="2189"/>
      </w:tblGrid>
      <w:tr w:rsidR="004A5A93" w:rsidRPr="002C2C75" w14:paraId="1D257783" w14:textId="77777777" w:rsidTr="00C6409F">
        <w:tc>
          <w:tcPr>
            <w:tcW w:w="3235" w:type="dxa"/>
            <w:shd w:val="clear" w:color="auto" w:fill="E9E9E9" w:themeFill="text2" w:themeFillTint="33"/>
          </w:tcPr>
          <w:p w14:paraId="2A00227E" w14:textId="77777777" w:rsidR="004A5A93" w:rsidRPr="002C2C75" w:rsidRDefault="004A5A93" w:rsidP="00C6409F">
            <w:pPr>
              <w:pStyle w:val="BodyText"/>
              <w:rPr>
                <w:b/>
                <w:bCs/>
                <w:sz w:val="20"/>
                <w:szCs w:val="20"/>
                <w:lang w:val="en-US"/>
              </w:rPr>
            </w:pPr>
            <w:r w:rsidRPr="002C2C75">
              <w:rPr>
                <w:b/>
                <w:bCs/>
                <w:sz w:val="20"/>
                <w:szCs w:val="20"/>
                <w:lang w:val="en-US"/>
              </w:rPr>
              <w:t>Key Risks</w:t>
            </w:r>
          </w:p>
        </w:tc>
        <w:tc>
          <w:tcPr>
            <w:tcW w:w="4770" w:type="dxa"/>
            <w:shd w:val="clear" w:color="auto" w:fill="E9E9E9" w:themeFill="text2" w:themeFillTint="33"/>
          </w:tcPr>
          <w:p w14:paraId="6238043A" w14:textId="77777777" w:rsidR="004A5A93" w:rsidRPr="002C2C75" w:rsidRDefault="004A5A93" w:rsidP="00C6409F">
            <w:pPr>
              <w:pStyle w:val="BodyText"/>
              <w:rPr>
                <w:b/>
                <w:bCs/>
                <w:sz w:val="20"/>
                <w:szCs w:val="20"/>
                <w:lang w:val="en-US"/>
              </w:rPr>
            </w:pPr>
            <w:r w:rsidRPr="002C2C75">
              <w:rPr>
                <w:b/>
                <w:bCs/>
                <w:sz w:val="20"/>
                <w:szCs w:val="20"/>
                <w:lang w:val="en-US"/>
              </w:rPr>
              <w:t>Corresponding Mitigation Measures</w:t>
            </w:r>
          </w:p>
        </w:tc>
        <w:tc>
          <w:tcPr>
            <w:tcW w:w="2189" w:type="dxa"/>
            <w:shd w:val="clear" w:color="auto" w:fill="E9E9E9" w:themeFill="text2" w:themeFillTint="33"/>
          </w:tcPr>
          <w:p w14:paraId="1A0717B7" w14:textId="77777777" w:rsidR="004A5A93" w:rsidRPr="002C2C75" w:rsidRDefault="004A5A93" w:rsidP="00C6409F">
            <w:pPr>
              <w:pStyle w:val="BodyText"/>
              <w:rPr>
                <w:b/>
                <w:bCs/>
                <w:sz w:val="20"/>
                <w:szCs w:val="20"/>
                <w:lang w:val="en-US"/>
              </w:rPr>
            </w:pPr>
            <w:r w:rsidRPr="002C2C75">
              <w:rPr>
                <w:b/>
                <w:bCs/>
                <w:sz w:val="20"/>
                <w:szCs w:val="20"/>
                <w:lang w:val="en-US"/>
              </w:rPr>
              <w:t>Entity Responsible</w:t>
            </w:r>
          </w:p>
        </w:tc>
      </w:tr>
      <w:tr w:rsidR="004A5A93" w:rsidRPr="002C2C75" w14:paraId="77F472EF" w14:textId="77777777" w:rsidTr="00C6409F">
        <w:tc>
          <w:tcPr>
            <w:tcW w:w="3235" w:type="dxa"/>
          </w:tcPr>
          <w:p w14:paraId="4166A0A0" w14:textId="51589C91" w:rsidR="004A5A93" w:rsidRPr="002C2C75" w:rsidRDefault="004A5A93" w:rsidP="004A5A93">
            <w:pPr>
              <w:pStyle w:val="BodyText"/>
              <w:rPr>
                <w:sz w:val="20"/>
                <w:szCs w:val="20"/>
                <w:lang w:val="en-US"/>
              </w:rPr>
            </w:pPr>
            <w:r w:rsidRPr="002C2C75">
              <w:rPr>
                <w:sz w:val="20"/>
                <w:szCs w:val="20"/>
                <w:lang w:val="en-US"/>
              </w:rPr>
              <w:t>Lack of register books continue to plague the program, driven recently by administrative challenges described below in category (C)</w:t>
            </w:r>
          </w:p>
          <w:p w14:paraId="192CF145" w14:textId="0781A1EC" w:rsidR="004A5A93" w:rsidRPr="002C2C75" w:rsidRDefault="004A5A93" w:rsidP="00C6409F">
            <w:pPr>
              <w:pStyle w:val="BodyText"/>
              <w:rPr>
                <w:sz w:val="20"/>
                <w:szCs w:val="20"/>
                <w:lang w:val="en-US"/>
              </w:rPr>
            </w:pPr>
          </w:p>
        </w:tc>
        <w:tc>
          <w:tcPr>
            <w:tcW w:w="4770" w:type="dxa"/>
          </w:tcPr>
          <w:p w14:paraId="209F90BF" w14:textId="29A7BE98" w:rsidR="004A5A93" w:rsidRPr="002C2C75" w:rsidRDefault="004A5A93" w:rsidP="00C6409F">
            <w:pPr>
              <w:pStyle w:val="BodyText"/>
              <w:rPr>
                <w:sz w:val="20"/>
                <w:szCs w:val="20"/>
                <w:lang w:val="en-US"/>
              </w:rPr>
            </w:pPr>
            <w:r w:rsidRPr="002C2C75">
              <w:rPr>
                <w:sz w:val="20"/>
                <w:szCs w:val="20"/>
                <w:lang w:val="en-US"/>
              </w:rPr>
              <w:t xml:space="preserve"> </w:t>
            </w:r>
            <w:r w:rsidR="002A031D" w:rsidRPr="002C2C75">
              <w:rPr>
                <w:sz w:val="20"/>
                <w:szCs w:val="20"/>
                <w:lang w:val="en-US"/>
              </w:rPr>
              <w:t>Continue to solve for the bureaucratic delays through collaboration with MEF and DPC, with increasing MOH senior leadership support in improving administrative timeliness.</w:t>
            </w:r>
          </w:p>
        </w:tc>
        <w:tc>
          <w:tcPr>
            <w:tcW w:w="2189" w:type="dxa"/>
          </w:tcPr>
          <w:p w14:paraId="2480B034" w14:textId="34FF8E01" w:rsidR="004A5A93" w:rsidRPr="002C2C75" w:rsidRDefault="004A5A93" w:rsidP="00C6409F">
            <w:pPr>
              <w:pStyle w:val="BodyText"/>
              <w:rPr>
                <w:sz w:val="20"/>
                <w:szCs w:val="20"/>
                <w:lang w:val="en-US"/>
              </w:rPr>
            </w:pPr>
            <w:r w:rsidRPr="002C2C75">
              <w:rPr>
                <w:sz w:val="20"/>
                <w:szCs w:val="20"/>
                <w:lang w:val="en-US"/>
              </w:rPr>
              <w:t>NMCP and DPC, with procurement dept.</w:t>
            </w:r>
          </w:p>
        </w:tc>
      </w:tr>
      <w:tr w:rsidR="004A5A93" w:rsidRPr="002C2C75" w14:paraId="34A6D6C9" w14:textId="77777777" w:rsidTr="00C6409F">
        <w:tc>
          <w:tcPr>
            <w:tcW w:w="3235" w:type="dxa"/>
          </w:tcPr>
          <w:p w14:paraId="77EA35EE" w14:textId="11F98083" w:rsidR="004A5A93" w:rsidRPr="002C2C75" w:rsidRDefault="002A031D" w:rsidP="00C6409F">
            <w:pPr>
              <w:pStyle w:val="BodyText"/>
              <w:rPr>
                <w:sz w:val="20"/>
                <w:szCs w:val="20"/>
                <w:lang w:val="en-US"/>
              </w:rPr>
            </w:pPr>
            <w:r w:rsidRPr="002C2C75">
              <w:rPr>
                <w:sz w:val="20"/>
                <w:szCs w:val="20"/>
                <w:lang w:val="en-US"/>
              </w:rPr>
              <w:t>Data completeness and timeliness improvements must be sustained, and data accuracy must continue to rise to meet the completeness and timeliness standards</w:t>
            </w:r>
          </w:p>
        </w:tc>
        <w:tc>
          <w:tcPr>
            <w:tcW w:w="4770" w:type="dxa"/>
          </w:tcPr>
          <w:p w14:paraId="6F23D615" w14:textId="6F08CC9F" w:rsidR="004A5A93" w:rsidRPr="002C2C75" w:rsidRDefault="002A031D" w:rsidP="00C6409F">
            <w:pPr>
              <w:pStyle w:val="BodyText"/>
              <w:rPr>
                <w:sz w:val="20"/>
                <w:szCs w:val="20"/>
                <w:lang w:val="en-US"/>
              </w:rPr>
            </w:pPr>
            <w:r w:rsidRPr="002C2C75">
              <w:rPr>
                <w:sz w:val="20"/>
                <w:szCs w:val="20"/>
                <w:lang w:val="en-US"/>
              </w:rPr>
              <w:t>Continued strengthening of data quality audits (DQA), including the use of data to target repeat visits and provide on-site mentorship</w:t>
            </w:r>
          </w:p>
        </w:tc>
        <w:tc>
          <w:tcPr>
            <w:tcW w:w="2189" w:type="dxa"/>
          </w:tcPr>
          <w:p w14:paraId="4CD8CFC0" w14:textId="15BA2F1C" w:rsidR="004A5A93" w:rsidRPr="002C2C75" w:rsidRDefault="002A031D" w:rsidP="00C6409F">
            <w:pPr>
              <w:pStyle w:val="BodyText"/>
              <w:rPr>
                <w:sz w:val="20"/>
                <w:szCs w:val="20"/>
                <w:lang w:val="en-US"/>
              </w:rPr>
            </w:pPr>
            <w:r w:rsidRPr="002C2C75">
              <w:rPr>
                <w:sz w:val="20"/>
                <w:szCs w:val="20"/>
                <w:lang w:val="en-US"/>
              </w:rPr>
              <w:t>NMCP and DPS/SPS</w:t>
            </w:r>
          </w:p>
        </w:tc>
      </w:tr>
      <w:tr w:rsidR="004A5A93" w:rsidRPr="002C2C75" w14:paraId="5CBADB73" w14:textId="77777777" w:rsidTr="00C6409F">
        <w:tc>
          <w:tcPr>
            <w:tcW w:w="3235" w:type="dxa"/>
          </w:tcPr>
          <w:p w14:paraId="7F8AB548" w14:textId="3F73998E" w:rsidR="004A5A93" w:rsidRPr="002C2C75" w:rsidRDefault="002A031D" w:rsidP="00C6409F">
            <w:pPr>
              <w:pStyle w:val="BodyText"/>
              <w:rPr>
                <w:sz w:val="20"/>
                <w:szCs w:val="20"/>
                <w:lang w:val="en-US"/>
              </w:rPr>
            </w:pPr>
            <w:r w:rsidRPr="002C2C75">
              <w:rPr>
                <w:sz w:val="20"/>
                <w:szCs w:val="20"/>
                <w:lang w:val="en-US"/>
              </w:rPr>
              <w:t>Financial and programmatic sustainability of campaign digitization efforts, including expansion to all malaria campaigns</w:t>
            </w:r>
          </w:p>
        </w:tc>
        <w:tc>
          <w:tcPr>
            <w:tcW w:w="4770" w:type="dxa"/>
          </w:tcPr>
          <w:p w14:paraId="7A5A7E68" w14:textId="570AC116" w:rsidR="004A5A93" w:rsidRPr="002C2C75" w:rsidRDefault="002A031D" w:rsidP="00C6409F">
            <w:pPr>
              <w:pStyle w:val="BodyText"/>
              <w:rPr>
                <w:sz w:val="20"/>
                <w:szCs w:val="20"/>
                <w:lang w:val="en-US"/>
              </w:rPr>
            </w:pPr>
            <w:r w:rsidRPr="002C2C75">
              <w:rPr>
                <w:sz w:val="20"/>
                <w:szCs w:val="20"/>
                <w:lang w:val="en-US"/>
              </w:rPr>
              <w:t>An integrated approach to campaign digitization will yield efficiency gains, however the capital investment required is substantial. Funding for this will be prioritized under this investment where possible</w:t>
            </w:r>
            <w:r w:rsidR="00A62420" w:rsidRPr="002C2C75">
              <w:rPr>
                <w:sz w:val="20"/>
                <w:szCs w:val="20"/>
                <w:lang w:val="en-US"/>
              </w:rPr>
              <w:t>, and will require cost sharing from other donors</w:t>
            </w:r>
            <w:r w:rsidRPr="002C2C75">
              <w:rPr>
                <w:sz w:val="20"/>
                <w:szCs w:val="20"/>
                <w:lang w:val="en-US"/>
              </w:rPr>
              <w:t>.</w:t>
            </w:r>
          </w:p>
          <w:p w14:paraId="111BDBFB" w14:textId="66274EC5" w:rsidR="002A031D" w:rsidRPr="002C2C75" w:rsidRDefault="002A031D" w:rsidP="00C6409F">
            <w:pPr>
              <w:pStyle w:val="BodyText"/>
              <w:rPr>
                <w:sz w:val="20"/>
                <w:szCs w:val="20"/>
                <w:lang w:val="en-US"/>
              </w:rPr>
            </w:pPr>
            <w:r w:rsidRPr="002C2C75">
              <w:rPr>
                <w:sz w:val="20"/>
                <w:szCs w:val="20"/>
                <w:lang w:val="en-US"/>
              </w:rPr>
              <w:t xml:space="preserve">To improve programmatic sustainability, NMCP and partners have explicitly made efforts to partner with the Health Information Department (DIS) and IT Department (DTIC) to build internal capacity and improve programmatic sustainability. Additionally, implementing partners for campaigns will play a key role in shared responsibility for the sustained programmatic capacity. </w:t>
            </w:r>
          </w:p>
        </w:tc>
        <w:tc>
          <w:tcPr>
            <w:tcW w:w="2189" w:type="dxa"/>
          </w:tcPr>
          <w:p w14:paraId="74D2F982" w14:textId="7EEE19C7" w:rsidR="004A5A93" w:rsidRPr="002C2C75" w:rsidRDefault="002A031D" w:rsidP="00C6409F">
            <w:pPr>
              <w:pStyle w:val="BodyText"/>
              <w:rPr>
                <w:sz w:val="20"/>
                <w:szCs w:val="20"/>
                <w:lang w:val="en-US"/>
              </w:rPr>
            </w:pPr>
            <w:r w:rsidRPr="002C2C75">
              <w:rPr>
                <w:sz w:val="20"/>
                <w:szCs w:val="20"/>
                <w:lang w:val="en-US"/>
              </w:rPr>
              <w:t>NMCP, DIS, and DTIC – with partners</w:t>
            </w:r>
          </w:p>
        </w:tc>
      </w:tr>
    </w:tbl>
    <w:p w14:paraId="63628058" w14:textId="77777777" w:rsidR="002A031D" w:rsidRPr="002C2C75" w:rsidRDefault="002A031D" w:rsidP="002A031D">
      <w:pPr>
        <w:pStyle w:val="BodyText"/>
        <w:ind w:left="900"/>
        <w:rPr>
          <w:lang w:val="en-US"/>
        </w:rPr>
      </w:pPr>
    </w:p>
    <w:p w14:paraId="6E00C5F5" w14:textId="38CB1E9F" w:rsidR="000A377D" w:rsidRPr="002C2C75" w:rsidRDefault="00CC3F76">
      <w:pPr>
        <w:pStyle w:val="BodyText"/>
        <w:numPr>
          <w:ilvl w:val="0"/>
          <w:numId w:val="11"/>
        </w:numPr>
        <w:ind w:left="900"/>
        <w:rPr>
          <w:lang w:val="en-US"/>
        </w:rPr>
      </w:pPr>
      <w:r w:rsidRPr="002C2C75">
        <w:rPr>
          <w:lang w:val="en-US"/>
        </w:rPr>
        <w:t>Financial and fiduciary</w:t>
      </w:r>
      <w:r w:rsidR="00CC4B84" w:rsidRPr="002C2C75">
        <w:rPr>
          <w:lang w:val="en-US"/>
        </w:rPr>
        <w:t xml:space="preserve"> concerns</w:t>
      </w:r>
      <w:r w:rsidR="00685BF5" w:rsidRPr="002C2C75">
        <w:rPr>
          <w:lang w:val="en-US"/>
        </w:rPr>
        <w:t>.</w:t>
      </w:r>
      <w:r w:rsidR="008A6DF4" w:rsidRPr="002C2C75">
        <w:rPr>
          <w:lang w:val="en-US"/>
        </w:rPr>
        <w:t xml:space="preserve"> </w:t>
      </w:r>
    </w:p>
    <w:tbl>
      <w:tblPr>
        <w:tblStyle w:val="Plain"/>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4770"/>
        <w:gridCol w:w="2189"/>
      </w:tblGrid>
      <w:tr w:rsidR="002A031D" w:rsidRPr="002C2C75" w14:paraId="1C95CCB0" w14:textId="77777777" w:rsidTr="00C6409F">
        <w:tc>
          <w:tcPr>
            <w:tcW w:w="3235" w:type="dxa"/>
            <w:shd w:val="clear" w:color="auto" w:fill="E9E9E9" w:themeFill="text2" w:themeFillTint="33"/>
          </w:tcPr>
          <w:p w14:paraId="0F993972" w14:textId="77777777" w:rsidR="002A031D" w:rsidRPr="002C2C75" w:rsidRDefault="002A031D" w:rsidP="00C6409F">
            <w:pPr>
              <w:pStyle w:val="BodyText"/>
              <w:rPr>
                <w:b/>
                <w:bCs/>
                <w:sz w:val="20"/>
                <w:szCs w:val="20"/>
                <w:lang w:val="en-US"/>
              </w:rPr>
            </w:pPr>
            <w:r w:rsidRPr="002C2C75">
              <w:rPr>
                <w:b/>
                <w:bCs/>
                <w:sz w:val="20"/>
                <w:szCs w:val="20"/>
                <w:lang w:val="en-US"/>
              </w:rPr>
              <w:t>Key Risks</w:t>
            </w:r>
          </w:p>
        </w:tc>
        <w:tc>
          <w:tcPr>
            <w:tcW w:w="4770" w:type="dxa"/>
            <w:shd w:val="clear" w:color="auto" w:fill="E9E9E9" w:themeFill="text2" w:themeFillTint="33"/>
          </w:tcPr>
          <w:p w14:paraId="043D79EC" w14:textId="77777777" w:rsidR="002A031D" w:rsidRPr="002C2C75" w:rsidRDefault="002A031D" w:rsidP="00C6409F">
            <w:pPr>
              <w:pStyle w:val="BodyText"/>
              <w:rPr>
                <w:b/>
                <w:bCs/>
                <w:sz w:val="20"/>
                <w:szCs w:val="20"/>
                <w:lang w:val="en-US"/>
              </w:rPr>
            </w:pPr>
            <w:r w:rsidRPr="002C2C75">
              <w:rPr>
                <w:b/>
                <w:bCs/>
                <w:sz w:val="20"/>
                <w:szCs w:val="20"/>
                <w:lang w:val="en-US"/>
              </w:rPr>
              <w:t>Corresponding Mitigation Measures</w:t>
            </w:r>
          </w:p>
        </w:tc>
        <w:tc>
          <w:tcPr>
            <w:tcW w:w="2189" w:type="dxa"/>
            <w:shd w:val="clear" w:color="auto" w:fill="E9E9E9" w:themeFill="text2" w:themeFillTint="33"/>
          </w:tcPr>
          <w:p w14:paraId="457B0C5B" w14:textId="77777777" w:rsidR="002A031D" w:rsidRPr="002C2C75" w:rsidRDefault="002A031D" w:rsidP="00C6409F">
            <w:pPr>
              <w:pStyle w:val="BodyText"/>
              <w:rPr>
                <w:b/>
                <w:bCs/>
                <w:sz w:val="20"/>
                <w:szCs w:val="20"/>
                <w:lang w:val="en-US"/>
              </w:rPr>
            </w:pPr>
            <w:r w:rsidRPr="002C2C75">
              <w:rPr>
                <w:b/>
                <w:bCs/>
                <w:sz w:val="20"/>
                <w:szCs w:val="20"/>
                <w:lang w:val="en-US"/>
              </w:rPr>
              <w:t>Entity Responsible</w:t>
            </w:r>
          </w:p>
        </w:tc>
      </w:tr>
      <w:tr w:rsidR="000D0D2D" w:rsidRPr="002C2C75" w14:paraId="2EEAA1E1" w14:textId="77777777" w:rsidTr="00C6409F">
        <w:tc>
          <w:tcPr>
            <w:tcW w:w="3235" w:type="dxa"/>
          </w:tcPr>
          <w:p w14:paraId="71060F3C" w14:textId="1EFAFDD1" w:rsidR="000D0D2D" w:rsidRPr="002C2C75" w:rsidRDefault="000D0D2D" w:rsidP="00C6409F">
            <w:pPr>
              <w:pStyle w:val="BodyText"/>
              <w:rPr>
                <w:sz w:val="20"/>
                <w:szCs w:val="20"/>
                <w:lang w:val="en-US"/>
              </w:rPr>
            </w:pPr>
            <w:r w:rsidRPr="002C2C75">
              <w:rPr>
                <w:sz w:val="20"/>
                <w:szCs w:val="20"/>
                <w:lang w:val="en-US"/>
              </w:rPr>
              <w:t>Available funding compared to need is a major risk – in this funding request having reached a state of constraint not experienced in the recent past.</w:t>
            </w:r>
            <w:r w:rsidR="009D6D3B" w:rsidRPr="002C2C75">
              <w:rPr>
                <w:sz w:val="20"/>
                <w:szCs w:val="20"/>
                <w:lang w:val="en-US"/>
              </w:rPr>
              <w:t xml:space="preserve"> </w:t>
            </w:r>
          </w:p>
        </w:tc>
        <w:tc>
          <w:tcPr>
            <w:tcW w:w="4770" w:type="dxa"/>
          </w:tcPr>
          <w:p w14:paraId="066C80C6" w14:textId="77777777" w:rsidR="000D0D2D" w:rsidRPr="002C2C75" w:rsidRDefault="009D6D3B" w:rsidP="00C6409F">
            <w:pPr>
              <w:pStyle w:val="BodyText"/>
              <w:rPr>
                <w:sz w:val="20"/>
                <w:szCs w:val="20"/>
                <w:lang w:val="en-US"/>
              </w:rPr>
            </w:pPr>
            <w:r w:rsidRPr="002C2C75">
              <w:rPr>
                <w:sz w:val="20"/>
                <w:szCs w:val="20"/>
                <w:lang w:val="en-US"/>
              </w:rPr>
              <w:t>Great effort has been expended to optimize the budget and prioritize activities to achieve maximum impact with the limited resources. The MOH and its partners remain confident in this analytical approach to resource allocation – however, several items are constrained and representing great risk to realizing the MSP goals:</w:t>
            </w:r>
          </w:p>
          <w:p w14:paraId="35D6FBBA" w14:textId="77777777" w:rsidR="009D6D3B" w:rsidRPr="002C2C75" w:rsidRDefault="009D6D3B">
            <w:pPr>
              <w:pStyle w:val="BodyText"/>
              <w:numPr>
                <w:ilvl w:val="0"/>
                <w:numId w:val="52"/>
              </w:numPr>
              <w:rPr>
                <w:sz w:val="20"/>
                <w:szCs w:val="20"/>
                <w:lang w:val="en-US"/>
              </w:rPr>
            </w:pPr>
            <w:r w:rsidRPr="002C2C75">
              <w:rPr>
                <w:sz w:val="20"/>
                <w:szCs w:val="20"/>
                <w:lang w:val="en-US"/>
              </w:rPr>
              <w:t>The necessity to place a quantity of ITNs (equal to the variance of found population from INE population) in PAAR which if unfilled will result in inadequate quantities for the 2025/26 distribution</w:t>
            </w:r>
          </w:p>
          <w:p w14:paraId="108359B3" w14:textId="39E19303" w:rsidR="009D6D3B" w:rsidRPr="002C2C75" w:rsidRDefault="009D6D3B">
            <w:pPr>
              <w:pStyle w:val="BodyText"/>
              <w:numPr>
                <w:ilvl w:val="0"/>
                <w:numId w:val="52"/>
              </w:numPr>
              <w:rPr>
                <w:sz w:val="20"/>
                <w:szCs w:val="20"/>
                <w:lang w:val="en-US"/>
              </w:rPr>
            </w:pPr>
            <w:r w:rsidRPr="002C2C75">
              <w:rPr>
                <w:sz w:val="20"/>
                <w:szCs w:val="20"/>
                <w:lang w:val="en-US"/>
              </w:rPr>
              <w:t xml:space="preserve">The withdrawal of IRS in Zambezia and Nampula. While hope is given to the provision of PBO-pyrethroid ITNs in 2022/23, and dual-AI ITNs in 2025/26, this is a risk of unknown magnitude. </w:t>
            </w:r>
          </w:p>
        </w:tc>
        <w:tc>
          <w:tcPr>
            <w:tcW w:w="2189" w:type="dxa"/>
          </w:tcPr>
          <w:p w14:paraId="1A14E6E5" w14:textId="6D180377" w:rsidR="000D0D2D" w:rsidRPr="002C2C75" w:rsidRDefault="009D6D3B" w:rsidP="00C6409F">
            <w:pPr>
              <w:pStyle w:val="BodyText"/>
              <w:rPr>
                <w:sz w:val="20"/>
                <w:szCs w:val="20"/>
                <w:lang w:val="en-US"/>
              </w:rPr>
            </w:pPr>
            <w:r w:rsidRPr="002C2C75">
              <w:rPr>
                <w:sz w:val="20"/>
                <w:szCs w:val="20"/>
                <w:lang w:val="en-US"/>
              </w:rPr>
              <w:t>MOH, GF, PMI, and other partners in resource mobilization</w:t>
            </w:r>
          </w:p>
        </w:tc>
      </w:tr>
      <w:tr w:rsidR="002A031D" w:rsidRPr="002C2C75" w14:paraId="18961030" w14:textId="77777777" w:rsidTr="00C6409F">
        <w:tc>
          <w:tcPr>
            <w:tcW w:w="3235" w:type="dxa"/>
          </w:tcPr>
          <w:p w14:paraId="03623B49" w14:textId="657B47BC" w:rsidR="002A031D" w:rsidRPr="002C2C75" w:rsidRDefault="002A031D" w:rsidP="00C6409F">
            <w:pPr>
              <w:pStyle w:val="BodyText"/>
              <w:rPr>
                <w:sz w:val="20"/>
                <w:szCs w:val="20"/>
                <w:lang w:val="en-US"/>
              </w:rPr>
            </w:pPr>
            <w:r w:rsidRPr="002C2C75">
              <w:rPr>
                <w:sz w:val="20"/>
                <w:szCs w:val="20"/>
                <w:lang w:val="en-US"/>
              </w:rPr>
              <w:t>Bureaucratic government financial systems are in place to reduce fraud risk, but are risking implementation timeliness</w:t>
            </w:r>
          </w:p>
        </w:tc>
        <w:tc>
          <w:tcPr>
            <w:tcW w:w="4770" w:type="dxa"/>
          </w:tcPr>
          <w:p w14:paraId="6A89170A" w14:textId="6A37DAE2" w:rsidR="002A031D" w:rsidRPr="002C2C75" w:rsidRDefault="002A031D" w:rsidP="00C6409F">
            <w:pPr>
              <w:pStyle w:val="BodyText"/>
              <w:rPr>
                <w:sz w:val="20"/>
                <w:szCs w:val="20"/>
                <w:lang w:val="en-US"/>
              </w:rPr>
            </w:pPr>
            <w:r w:rsidRPr="002C2C75">
              <w:rPr>
                <w:sz w:val="20"/>
                <w:szCs w:val="20"/>
                <w:lang w:val="en-US"/>
              </w:rPr>
              <w:t xml:space="preserve"> MOH and MEF will continue to work closely to improve timely disbursement of funds for mission-critical activities, but experience to date has been challenging. Support from MOH senior leadership will be sought. </w:t>
            </w:r>
          </w:p>
        </w:tc>
        <w:tc>
          <w:tcPr>
            <w:tcW w:w="2189" w:type="dxa"/>
          </w:tcPr>
          <w:p w14:paraId="2845CB54" w14:textId="30013140" w:rsidR="002A031D" w:rsidRPr="002C2C75" w:rsidRDefault="002A031D" w:rsidP="00C6409F">
            <w:pPr>
              <w:pStyle w:val="BodyText"/>
              <w:rPr>
                <w:sz w:val="20"/>
                <w:szCs w:val="20"/>
                <w:lang w:val="en-US"/>
              </w:rPr>
            </w:pPr>
            <w:r w:rsidRPr="002C2C75">
              <w:rPr>
                <w:sz w:val="20"/>
                <w:szCs w:val="20"/>
                <w:lang w:val="en-US"/>
              </w:rPr>
              <w:t>MOH and MEF senior leadership</w:t>
            </w:r>
          </w:p>
        </w:tc>
      </w:tr>
    </w:tbl>
    <w:p w14:paraId="6343F16B" w14:textId="6F45A8B5" w:rsidR="002A031D" w:rsidRPr="002C2C75" w:rsidRDefault="002A031D" w:rsidP="00877180">
      <w:pPr>
        <w:pStyle w:val="BodyText"/>
        <w:rPr>
          <w:lang w:val="en-US"/>
        </w:rPr>
        <w:sectPr w:rsidR="002A031D" w:rsidRPr="002C2C75" w:rsidSect="00EC43C0">
          <w:footerReference w:type="default" r:id="rId56"/>
          <w:footerReference w:type="first" r:id="rId57"/>
          <w:pgSz w:w="11906" w:h="16838" w:code="9"/>
          <w:pgMar w:top="851" w:right="851" w:bottom="1871" w:left="851" w:header="289" w:footer="289" w:gutter="0"/>
          <w:cols w:space="708"/>
          <w:titlePg/>
          <w:docGrid w:linePitch="360"/>
        </w:sectPr>
      </w:pPr>
    </w:p>
    <w:p w14:paraId="2456B7B2" w14:textId="455A3F77" w:rsidR="00CB6C3A" w:rsidRPr="002C2C75" w:rsidRDefault="00CB6C3A" w:rsidP="001E5ECD">
      <w:pPr>
        <w:pStyle w:val="Table-ChartHeading"/>
        <w:rPr>
          <w:lang w:val="fr-CH"/>
        </w:rPr>
      </w:pPr>
      <w:r w:rsidRPr="002C2C75">
        <w:rPr>
          <w:lang w:val="en-US"/>
        </w:rPr>
        <w:t xml:space="preserve">Annex </w:t>
      </w:r>
      <w:r w:rsidR="00B62AD6" w:rsidRPr="002C2C75">
        <w:rPr>
          <w:lang w:val="en-US"/>
        </w:rPr>
        <w:t>1</w:t>
      </w:r>
      <w:r w:rsidRPr="002C2C75">
        <w:rPr>
          <w:lang w:val="fr-CH"/>
        </w:rPr>
        <w:t>: Documents Checklist</w:t>
      </w:r>
    </w:p>
    <w:p w14:paraId="2DD1ED20" w14:textId="77777777" w:rsidR="00CB6C3A" w:rsidRPr="002C2C75" w:rsidRDefault="00CB6C3A" w:rsidP="00396907">
      <w:pPr>
        <w:pStyle w:val="BodyText"/>
        <w:spacing w:after="0"/>
        <w:contextualSpacing/>
        <w:rPr>
          <w:sz w:val="20"/>
          <w:szCs w:val="18"/>
        </w:rPr>
      </w:pPr>
      <w:r w:rsidRPr="002C2C75">
        <w:rPr>
          <w:sz w:val="20"/>
          <w:szCs w:val="18"/>
        </w:rPr>
        <w:t>Use the list below to verify the completeness of your application package.</w:t>
      </w:r>
    </w:p>
    <w:p w14:paraId="6F49DF69" w14:textId="04225F5E" w:rsidR="00396907" w:rsidRPr="002C2C75" w:rsidRDefault="00396907" w:rsidP="00396907">
      <w:pPr>
        <w:pStyle w:val="BodyText"/>
        <w:spacing w:after="0"/>
        <w:contextualSpacing/>
        <w:rPr>
          <w:sz w:val="20"/>
          <w:szCs w:val="18"/>
        </w:rPr>
      </w:pPr>
      <w:r w:rsidRPr="002C2C75">
        <w:rPr>
          <w:sz w:val="20"/>
          <w:szCs w:val="18"/>
        </w:rPr>
        <w:t xml:space="preserve">This checklist only applies to applicants requested to apply using the Full Review </w:t>
      </w:r>
      <w:r w:rsidR="00726108" w:rsidRPr="002C2C75">
        <w:rPr>
          <w:sz w:val="20"/>
          <w:szCs w:val="18"/>
        </w:rPr>
        <w:t>a</w:t>
      </w:r>
      <w:r w:rsidRPr="002C2C75">
        <w:rPr>
          <w:sz w:val="20"/>
          <w:szCs w:val="18"/>
        </w:rPr>
        <w:t xml:space="preserve">pplication </w:t>
      </w:r>
      <w:r w:rsidR="00726108" w:rsidRPr="002C2C75">
        <w:rPr>
          <w:sz w:val="20"/>
          <w:szCs w:val="18"/>
        </w:rPr>
        <w:t>a</w:t>
      </w:r>
      <w:r w:rsidRPr="002C2C75">
        <w:rPr>
          <w:sz w:val="20"/>
          <w:szCs w:val="18"/>
        </w:rPr>
        <w:t>pproach.</w:t>
      </w:r>
    </w:p>
    <w:p w14:paraId="6982A6B6" w14:textId="000E7661" w:rsidR="00CB6C3A" w:rsidRPr="002C2C75" w:rsidRDefault="007B03A6" w:rsidP="00396907">
      <w:pPr>
        <w:pStyle w:val="BodyText"/>
        <w:spacing w:after="0"/>
        <w:contextualSpacing/>
        <w:rPr>
          <w:sz w:val="20"/>
          <w:szCs w:val="18"/>
        </w:rPr>
      </w:pPr>
      <w:r w:rsidRPr="002C2C75">
        <w:rPr>
          <w:sz w:val="20"/>
          <w:szCs w:val="18"/>
        </w:rPr>
        <w:t>R</w:t>
      </w:r>
      <w:r w:rsidR="00CB6C3A" w:rsidRPr="002C2C75">
        <w:rPr>
          <w:sz w:val="20"/>
          <w:szCs w:val="18"/>
        </w:rPr>
        <w:t xml:space="preserve">efer to the </w:t>
      </w:r>
      <w:hyperlink r:id="rId58" w:history="1">
        <w:r w:rsidR="00726108" w:rsidRPr="002C2C75">
          <w:rPr>
            <w:rStyle w:val="Hyperlink"/>
            <w:sz w:val="20"/>
            <w:szCs w:val="18"/>
          </w:rPr>
          <w:t xml:space="preserve">Full Review </w:t>
        </w:r>
        <w:r w:rsidR="00CB6C3A" w:rsidRPr="002C2C75">
          <w:rPr>
            <w:rStyle w:val="Hyperlink"/>
            <w:sz w:val="20"/>
            <w:szCs w:val="18"/>
          </w:rPr>
          <w:t>Instructions</w:t>
        </w:r>
      </w:hyperlink>
      <w:r w:rsidR="00941A81" w:rsidRPr="002C2C75">
        <w:rPr>
          <w:rStyle w:val="FootnoteReference"/>
          <w:sz w:val="20"/>
          <w:szCs w:val="18"/>
        </w:rPr>
        <w:footnoteReference w:id="19"/>
      </w:r>
      <w:r w:rsidR="00CB6C3A" w:rsidRPr="002C2C75">
        <w:rPr>
          <w:sz w:val="20"/>
          <w:szCs w:val="18"/>
        </w:rPr>
        <w:t xml:space="preserve"> for details, applicability and resources. </w:t>
      </w:r>
    </w:p>
    <w:p w14:paraId="1D63EB12" w14:textId="77777777" w:rsidR="001D5128" w:rsidRPr="002C2C75" w:rsidRDefault="001D5128" w:rsidP="00915D7A">
      <w:pPr>
        <w:pStyle w:val="Heading4"/>
      </w:pPr>
    </w:p>
    <w:p w14:paraId="24E6430D" w14:textId="5A878E1E" w:rsidR="00F84DAE" w:rsidRPr="002C2C75" w:rsidRDefault="00F84DAE" w:rsidP="00915D7A">
      <w:pPr>
        <w:pStyle w:val="Heading4"/>
      </w:pPr>
      <w:r w:rsidRPr="002C2C75">
        <w:t>Documents Reviewed by the Technical Review Panel</w:t>
      </w:r>
    </w:p>
    <w:tbl>
      <w:tblPr>
        <w:tblStyle w:val="GlobalFundNoSpace"/>
        <w:tblW w:w="9209" w:type="dxa"/>
        <w:tblBorders>
          <w:insideH w:val="single" w:sz="2" w:space="0" w:color="BFBFBF" w:themeColor="background1" w:themeShade="BF"/>
          <w:insideV w:val="single" w:sz="2" w:space="0" w:color="BFBFBF" w:themeColor="background1" w:themeShade="BF"/>
        </w:tblBorders>
        <w:tblLook w:val="0600" w:firstRow="0" w:lastRow="0" w:firstColumn="0" w:lastColumn="0" w:noHBand="1" w:noVBand="1"/>
      </w:tblPr>
      <w:tblGrid>
        <w:gridCol w:w="567"/>
        <w:gridCol w:w="8642"/>
      </w:tblGrid>
      <w:tr w:rsidR="00CB6C3A" w:rsidRPr="002C2C75" w14:paraId="051D9BA7" w14:textId="77777777" w:rsidTr="005E6DC1">
        <w:trPr>
          <w:trHeight w:val="432"/>
        </w:trPr>
        <w:tc>
          <w:tcPr>
            <w:tcW w:w="567" w:type="dxa"/>
          </w:tcPr>
          <w:bookmarkStart w:id="6" w:name="_Hlk15285391"/>
          <w:p w14:paraId="544275E6" w14:textId="6604DF2C" w:rsidR="00CB6C3A" w:rsidRPr="002C2C75" w:rsidRDefault="00000000" w:rsidP="00A44C21">
            <w:pPr>
              <w:pStyle w:val="TableText"/>
              <w:rPr>
                <w:sz w:val="20"/>
                <w:szCs w:val="20"/>
              </w:rPr>
            </w:pPr>
            <w:sdt>
              <w:sdtPr>
                <w:rPr>
                  <w:sz w:val="20"/>
                  <w:szCs w:val="20"/>
                </w:rPr>
                <w:id w:val="-180662496"/>
                <w14:checkbox>
                  <w14:checked w14:val="1"/>
                  <w14:checkedState w14:val="2612" w14:font="MS Gothic"/>
                  <w14:uncheckedState w14:val="2610" w14:font="MS Gothic"/>
                </w14:checkbox>
              </w:sdtPr>
              <w:sdtContent>
                <w:r w:rsidR="00A25CEA" w:rsidRPr="002C2C75">
                  <w:rPr>
                    <w:rFonts w:ascii="MS Gothic" w:eastAsia="MS Gothic" w:hAnsi="MS Gothic" w:hint="eastAsia"/>
                    <w:sz w:val="20"/>
                    <w:szCs w:val="20"/>
                  </w:rPr>
                  <w:t>☒</w:t>
                </w:r>
              </w:sdtContent>
            </w:sdt>
          </w:p>
        </w:tc>
        <w:tc>
          <w:tcPr>
            <w:tcW w:w="8642" w:type="dxa"/>
          </w:tcPr>
          <w:p w14:paraId="14B1D3F8" w14:textId="77777777" w:rsidR="00CB6C3A" w:rsidRPr="002C2C75" w:rsidRDefault="00CB6C3A" w:rsidP="00A44C21">
            <w:pPr>
              <w:pStyle w:val="TableText"/>
              <w:ind w:left="144"/>
              <w:rPr>
                <w:bCs/>
                <w:sz w:val="20"/>
                <w:szCs w:val="20"/>
              </w:rPr>
            </w:pPr>
            <w:r w:rsidRPr="002C2C75">
              <w:rPr>
                <w:bCs/>
                <w:sz w:val="20"/>
                <w:szCs w:val="20"/>
              </w:rPr>
              <w:t>Funding Request Form</w:t>
            </w:r>
          </w:p>
        </w:tc>
      </w:tr>
      <w:tr w:rsidR="00CB6C3A" w:rsidRPr="002C2C75" w14:paraId="137960E8" w14:textId="77777777" w:rsidTr="005E6DC1">
        <w:trPr>
          <w:trHeight w:val="432"/>
        </w:trPr>
        <w:tc>
          <w:tcPr>
            <w:tcW w:w="567" w:type="dxa"/>
          </w:tcPr>
          <w:p w14:paraId="5BE8FEE1" w14:textId="6AE26D02" w:rsidR="00CB6C3A" w:rsidRPr="002C2C75" w:rsidRDefault="00000000" w:rsidP="00A44C21">
            <w:pPr>
              <w:pStyle w:val="TableText"/>
              <w:rPr>
                <w:sz w:val="20"/>
                <w:szCs w:val="20"/>
              </w:rPr>
            </w:pPr>
            <w:sdt>
              <w:sdtPr>
                <w:rPr>
                  <w:sz w:val="20"/>
                  <w:szCs w:val="20"/>
                </w:rPr>
                <w:id w:val="1372885280"/>
                <w14:checkbox>
                  <w14:checked w14:val="1"/>
                  <w14:checkedState w14:val="2612" w14:font="MS Gothic"/>
                  <w14:uncheckedState w14:val="2610" w14:font="MS Gothic"/>
                </w14:checkbox>
              </w:sdtPr>
              <w:sdtContent>
                <w:r w:rsidR="00A25CEA" w:rsidRPr="002C2C75">
                  <w:rPr>
                    <w:rFonts w:ascii="MS Gothic" w:eastAsia="MS Gothic" w:hAnsi="MS Gothic" w:hint="eastAsia"/>
                    <w:sz w:val="20"/>
                    <w:szCs w:val="20"/>
                  </w:rPr>
                  <w:t>☒</w:t>
                </w:r>
              </w:sdtContent>
            </w:sdt>
          </w:p>
        </w:tc>
        <w:tc>
          <w:tcPr>
            <w:tcW w:w="8642" w:type="dxa"/>
          </w:tcPr>
          <w:p w14:paraId="1486D3D5" w14:textId="77777777" w:rsidR="00CB6C3A" w:rsidRPr="002C2C75" w:rsidRDefault="00CB6C3A" w:rsidP="00A44C21">
            <w:pPr>
              <w:pStyle w:val="TableText"/>
              <w:ind w:left="144"/>
              <w:rPr>
                <w:bCs/>
                <w:sz w:val="20"/>
                <w:szCs w:val="20"/>
              </w:rPr>
            </w:pPr>
            <w:r w:rsidRPr="002C2C75">
              <w:rPr>
                <w:bCs/>
                <w:sz w:val="20"/>
                <w:szCs w:val="20"/>
              </w:rPr>
              <w:t>Performance Framework</w:t>
            </w:r>
          </w:p>
        </w:tc>
      </w:tr>
      <w:tr w:rsidR="00CB6C3A" w:rsidRPr="002C2C75" w14:paraId="743CCA13" w14:textId="77777777" w:rsidTr="005E6DC1">
        <w:trPr>
          <w:trHeight w:val="432"/>
        </w:trPr>
        <w:tc>
          <w:tcPr>
            <w:tcW w:w="567" w:type="dxa"/>
          </w:tcPr>
          <w:p w14:paraId="3287658C" w14:textId="4DB69970" w:rsidR="00CB6C3A" w:rsidRPr="002C2C75" w:rsidRDefault="00000000" w:rsidP="00A44C21">
            <w:pPr>
              <w:pStyle w:val="TableText"/>
              <w:rPr>
                <w:sz w:val="20"/>
                <w:szCs w:val="20"/>
              </w:rPr>
            </w:pPr>
            <w:sdt>
              <w:sdtPr>
                <w:rPr>
                  <w:sz w:val="20"/>
                  <w:szCs w:val="20"/>
                </w:rPr>
                <w:id w:val="1226027050"/>
                <w14:checkbox>
                  <w14:checked w14:val="1"/>
                  <w14:checkedState w14:val="2612" w14:font="MS Gothic"/>
                  <w14:uncheckedState w14:val="2610" w14:font="MS Gothic"/>
                </w14:checkbox>
              </w:sdtPr>
              <w:sdtContent>
                <w:r w:rsidR="00A25CEA" w:rsidRPr="002C2C75">
                  <w:rPr>
                    <w:rFonts w:ascii="MS Gothic" w:eastAsia="MS Gothic" w:hAnsi="MS Gothic" w:hint="eastAsia"/>
                    <w:sz w:val="20"/>
                    <w:szCs w:val="20"/>
                  </w:rPr>
                  <w:t>☒</w:t>
                </w:r>
              </w:sdtContent>
            </w:sdt>
          </w:p>
        </w:tc>
        <w:tc>
          <w:tcPr>
            <w:tcW w:w="8642" w:type="dxa"/>
          </w:tcPr>
          <w:p w14:paraId="0F4F675B" w14:textId="56EAB834" w:rsidR="00CB6C3A" w:rsidRPr="002C2C75" w:rsidRDefault="00F84DAE" w:rsidP="00A44C21">
            <w:pPr>
              <w:pStyle w:val="TableText"/>
              <w:ind w:left="144"/>
              <w:rPr>
                <w:bCs/>
                <w:sz w:val="20"/>
                <w:szCs w:val="20"/>
              </w:rPr>
            </w:pPr>
            <w:r w:rsidRPr="002C2C75">
              <w:rPr>
                <w:bCs/>
                <w:sz w:val="20"/>
                <w:szCs w:val="20"/>
              </w:rPr>
              <w:t>Detailed</w:t>
            </w:r>
            <w:r w:rsidR="00CB6C3A" w:rsidRPr="002C2C75">
              <w:rPr>
                <w:bCs/>
                <w:sz w:val="20"/>
                <w:szCs w:val="20"/>
              </w:rPr>
              <w:t xml:space="preserve"> Budget</w:t>
            </w:r>
          </w:p>
        </w:tc>
      </w:tr>
      <w:tr w:rsidR="00CB6C3A" w:rsidRPr="002C2C75" w14:paraId="7A76C263" w14:textId="77777777" w:rsidTr="005E6DC1">
        <w:trPr>
          <w:trHeight w:val="432"/>
        </w:trPr>
        <w:tc>
          <w:tcPr>
            <w:tcW w:w="567" w:type="dxa"/>
          </w:tcPr>
          <w:p w14:paraId="5B2127B2" w14:textId="54BCEDCB" w:rsidR="00CB6C3A" w:rsidRPr="002C2C75" w:rsidRDefault="00000000" w:rsidP="00A44C21">
            <w:pPr>
              <w:pStyle w:val="TableText"/>
              <w:rPr>
                <w:sz w:val="20"/>
                <w:szCs w:val="20"/>
              </w:rPr>
            </w:pPr>
            <w:sdt>
              <w:sdtPr>
                <w:rPr>
                  <w:sz w:val="20"/>
                  <w:szCs w:val="20"/>
                </w:rPr>
                <w:id w:val="-1199392681"/>
                <w14:checkbox>
                  <w14:checked w14:val="1"/>
                  <w14:checkedState w14:val="2612" w14:font="MS Gothic"/>
                  <w14:uncheckedState w14:val="2610" w14:font="MS Gothic"/>
                </w14:checkbox>
              </w:sdtPr>
              <w:sdtContent>
                <w:r w:rsidR="00A25CEA" w:rsidRPr="002C2C75">
                  <w:rPr>
                    <w:rFonts w:ascii="MS Gothic" w:eastAsia="MS Gothic" w:hAnsi="MS Gothic" w:hint="eastAsia"/>
                    <w:sz w:val="20"/>
                    <w:szCs w:val="20"/>
                  </w:rPr>
                  <w:t>☒</w:t>
                </w:r>
              </w:sdtContent>
            </w:sdt>
          </w:p>
        </w:tc>
        <w:tc>
          <w:tcPr>
            <w:tcW w:w="8642" w:type="dxa"/>
          </w:tcPr>
          <w:p w14:paraId="21FCCDFA" w14:textId="77777777" w:rsidR="00CB6C3A" w:rsidRPr="002C2C75" w:rsidRDefault="00CB6C3A" w:rsidP="00A44C21">
            <w:pPr>
              <w:pStyle w:val="TableText"/>
              <w:ind w:left="144"/>
              <w:rPr>
                <w:rFonts w:eastAsia="SimSun"/>
                <w:bCs/>
                <w:sz w:val="20"/>
                <w:szCs w:val="20"/>
                <w:lang w:eastAsia="zh-CN"/>
              </w:rPr>
            </w:pPr>
            <w:r w:rsidRPr="002C2C75">
              <w:rPr>
                <w:bCs/>
                <w:sz w:val="20"/>
                <w:szCs w:val="20"/>
              </w:rPr>
              <w:t>Programmatic Gap Table(s)</w:t>
            </w:r>
          </w:p>
        </w:tc>
      </w:tr>
      <w:tr w:rsidR="00CB6C3A" w:rsidRPr="002C2C75" w14:paraId="6A6EB01A" w14:textId="77777777" w:rsidTr="005E6DC1">
        <w:trPr>
          <w:trHeight w:val="432"/>
        </w:trPr>
        <w:tc>
          <w:tcPr>
            <w:tcW w:w="567" w:type="dxa"/>
          </w:tcPr>
          <w:p w14:paraId="390C569D" w14:textId="3CA1EF94" w:rsidR="00CB6C3A" w:rsidRPr="002C2C75" w:rsidRDefault="00000000" w:rsidP="00A44C21">
            <w:pPr>
              <w:pStyle w:val="TableText"/>
              <w:rPr>
                <w:sz w:val="20"/>
                <w:szCs w:val="20"/>
              </w:rPr>
            </w:pPr>
            <w:sdt>
              <w:sdtPr>
                <w:rPr>
                  <w:sz w:val="20"/>
                  <w:szCs w:val="20"/>
                </w:rPr>
                <w:id w:val="392249377"/>
                <w14:checkbox>
                  <w14:checked w14:val="1"/>
                  <w14:checkedState w14:val="2612" w14:font="MS Gothic"/>
                  <w14:uncheckedState w14:val="2610" w14:font="MS Gothic"/>
                </w14:checkbox>
              </w:sdtPr>
              <w:sdtContent>
                <w:r w:rsidR="00A25CEA" w:rsidRPr="002C2C75">
                  <w:rPr>
                    <w:rFonts w:ascii="MS Gothic" w:eastAsia="MS Gothic" w:hAnsi="MS Gothic" w:hint="eastAsia"/>
                    <w:sz w:val="20"/>
                    <w:szCs w:val="20"/>
                  </w:rPr>
                  <w:t>☒</w:t>
                </w:r>
              </w:sdtContent>
            </w:sdt>
          </w:p>
        </w:tc>
        <w:tc>
          <w:tcPr>
            <w:tcW w:w="8642" w:type="dxa"/>
          </w:tcPr>
          <w:p w14:paraId="2963883F" w14:textId="77777777" w:rsidR="00CB6C3A" w:rsidRPr="002C2C75" w:rsidRDefault="00CB6C3A" w:rsidP="00A44C21">
            <w:pPr>
              <w:pStyle w:val="TableText"/>
              <w:ind w:left="144"/>
              <w:rPr>
                <w:bCs/>
                <w:sz w:val="20"/>
                <w:szCs w:val="20"/>
              </w:rPr>
            </w:pPr>
            <w:r w:rsidRPr="002C2C75">
              <w:rPr>
                <w:bCs/>
                <w:sz w:val="20"/>
                <w:szCs w:val="20"/>
              </w:rPr>
              <w:t>Funding Landscape Table(s)</w:t>
            </w:r>
          </w:p>
        </w:tc>
      </w:tr>
      <w:tr w:rsidR="00CB6C3A" w:rsidRPr="002C2C75" w14:paraId="79D71222" w14:textId="77777777" w:rsidTr="005E6DC1">
        <w:trPr>
          <w:trHeight w:val="432"/>
        </w:trPr>
        <w:tc>
          <w:tcPr>
            <w:tcW w:w="567" w:type="dxa"/>
          </w:tcPr>
          <w:p w14:paraId="3366BFC5" w14:textId="22994854" w:rsidR="00CB6C3A" w:rsidRPr="002C2C75" w:rsidRDefault="00000000" w:rsidP="00A44C21">
            <w:pPr>
              <w:pStyle w:val="TableText"/>
              <w:rPr>
                <w:sz w:val="20"/>
                <w:szCs w:val="20"/>
              </w:rPr>
            </w:pPr>
            <w:sdt>
              <w:sdtPr>
                <w:rPr>
                  <w:sz w:val="20"/>
                  <w:szCs w:val="20"/>
                </w:rPr>
                <w:id w:val="595447511"/>
                <w14:checkbox>
                  <w14:checked w14:val="1"/>
                  <w14:checkedState w14:val="2612" w14:font="MS Gothic"/>
                  <w14:uncheckedState w14:val="2610" w14:font="MS Gothic"/>
                </w14:checkbox>
              </w:sdtPr>
              <w:sdtContent>
                <w:r w:rsidR="00A25CEA" w:rsidRPr="002C2C75">
                  <w:rPr>
                    <w:rFonts w:ascii="MS Gothic" w:eastAsia="MS Gothic" w:hAnsi="MS Gothic" w:hint="eastAsia"/>
                    <w:sz w:val="20"/>
                    <w:szCs w:val="20"/>
                  </w:rPr>
                  <w:t>☒</w:t>
                </w:r>
              </w:sdtContent>
            </w:sdt>
          </w:p>
        </w:tc>
        <w:tc>
          <w:tcPr>
            <w:tcW w:w="8642" w:type="dxa"/>
          </w:tcPr>
          <w:p w14:paraId="07D7B8BE" w14:textId="24285871" w:rsidR="00CB6C3A" w:rsidRPr="002C2C75" w:rsidRDefault="00CB6C3A" w:rsidP="00A44C21">
            <w:pPr>
              <w:pStyle w:val="TableText"/>
              <w:ind w:left="144"/>
              <w:rPr>
                <w:bCs/>
                <w:sz w:val="20"/>
                <w:szCs w:val="20"/>
              </w:rPr>
            </w:pPr>
            <w:r w:rsidRPr="002C2C75">
              <w:rPr>
                <w:bCs/>
                <w:sz w:val="20"/>
                <w:szCs w:val="20"/>
              </w:rPr>
              <w:t xml:space="preserve">Prioritized </w:t>
            </w:r>
            <w:r w:rsidR="00085058" w:rsidRPr="002C2C75">
              <w:rPr>
                <w:bCs/>
                <w:sz w:val="20"/>
                <w:szCs w:val="20"/>
              </w:rPr>
              <w:t>A</w:t>
            </w:r>
            <w:r w:rsidRPr="002C2C75">
              <w:rPr>
                <w:bCs/>
                <w:sz w:val="20"/>
                <w:szCs w:val="20"/>
              </w:rPr>
              <w:t xml:space="preserve">bove </w:t>
            </w:r>
            <w:r w:rsidR="00085058" w:rsidRPr="002C2C75">
              <w:rPr>
                <w:bCs/>
                <w:sz w:val="20"/>
                <w:szCs w:val="20"/>
              </w:rPr>
              <w:t>A</w:t>
            </w:r>
            <w:r w:rsidRPr="002C2C75">
              <w:rPr>
                <w:bCs/>
                <w:sz w:val="20"/>
                <w:szCs w:val="20"/>
              </w:rPr>
              <w:t xml:space="preserve">llocation </w:t>
            </w:r>
            <w:r w:rsidR="00085058" w:rsidRPr="002C2C75">
              <w:rPr>
                <w:bCs/>
                <w:sz w:val="20"/>
                <w:szCs w:val="20"/>
              </w:rPr>
              <w:t>R</w:t>
            </w:r>
            <w:r w:rsidRPr="002C2C75">
              <w:rPr>
                <w:bCs/>
                <w:sz w:val="20"/>
                <w:szCs w:val="20"/>
              </w:rPr>
              <w:t>equest (PAAR)</w:t>
            </w:r>
          </w:p>
        </w:tc>
      </w:tr>
      <w:tr w:rsidR="00932E1C" w:rsidRPr="002C2C75" w14:paraId="296EDD13" w14:textId="77777777" w:rsidTr="005E6DC1">
        <w:trPr>
          <w:trHeight w:val="432"/>
        </w:trPr>
        <w:tc>
          <w:tcPr>
            <w:tcW w:w="567" w:type="dxa"/>
          </w:tcPr>
          <w:p w14:paraId="07FF6F07" w14:textId="44128868" w:rsidR="00932E1C" w:rsidRPr="002C2C75" w:rsidRDefault="00000000" w:rsidP="00A44C21">
            <w:pPr>
              <w:pStyle w:val="TableText"/>
              <w:rPr>
                <w:sz w:val="20"/>
                <w:szCs w:val="20"/>
              </w:rPr>
            </w:pPr>
            <w:sdt>
              <w:sdtPr>
                <w:rPr>
                  <w:sz w:val="20"/>
                  <w:szCs w:val="20"/>
                </w:rPr>
                <w:id w:val="143315179"/>
                <w14:checkbox>
                  <w14:checked w14:val="1"/>
                  <w14:checkedState w14:val="2612" w14:font="MS Gothic"/>
                  <w14:uncheckedState w14:val="2610" w14:font="MS Gothic"/>
                </w14:checkbox>
              </w:sdtPr>
              <w:sdtContent>
                <w:r w:rsidR="00A25CEA" w:rsidRPr="002C2C75">
                  <w:rPr>
                    <w:rFonts w:ascii="MS Gothic" w:eastAsia="MS Gothic" w:hAnsi="MS Gothic" w:hint="eastAsia"/>
                    <w:sz w:val="20"/>
                    <w:szCs w:val="20"/>
                  </w:rPr>
                  <w:t>☒</w:t>
                </w:r>
              </w:sdtContent>
            </w:sdt>
          </w:p>
        </w:tc>
        <w:tc>
          <w:tcPr>
            <w:tcW w:w="8642" w:type="dxa"/>
          </w:tcPr>
          <w:p w14:paraId="6D5322E7" w14:textId="142C46C5" w:rsidR="00932E1C" w:rsidRPr="002C2C75" w:rsidRDefault="00932E1C" w:rsidP="00A44C21">
            <w:pPr>
              <w:pStyle w:val="TableText"/>
              <w:ind w:left="144"/>
              <w:rPr>
                <w:bCs/>
                <w:sz w:val="20"/>
                <w:szCs w:val="20"/>
              </w:rPr>
            </w:pPr>
            <w:r w:rsidRPr="002C2C75">
              <w:rPr>
                <w:bCs/>
                <w:sz w:val="20"/>
                <w:szCs w:val="20"/>
              </w:rPr>
              <w:t>Health Product Management Template</w:t>
            </w:r>
          </w:p>
        </w:tc>
      </w:tr>
      <w:tr w:rsidR="00932E1C" w:rsidRPr="002C2C75" w14:paraId="325CF4A2" w14:textId="77777777" w:rsidTr="005E6DC1">
        <w:trPr>
          <w:trHeight w:val="432"/>
        </w:trPr>
        <w:tc>
          <w:tcPr>
            <w:tcW w:w="567" w:type="dxa"/>
          </w:tcPr>
          <w:p w14:paraId="6DE2BB76" w14:textId="45C541FC" w:rsidR="00932E1C" w:rsidRPr="002C2C75" w:rsidRDefault="00000000" w:rsidP="00932E1C">
            <w:pPr>
              <w:pStyle w:val="TableText"/>
              <w:rPr>
                <w:sz w:val="20"/>
                <w:szCs w:val="20"/>
              </w:rPr>
            </w:pPr>
            <w:sdt>
              <w:sdtPr>
                <w:rPr>
                  <w:sz w:val="20"/>
                  <w:szCs w:val="20"/>
                </w:rPr>
                <w:id w:val="545488626"/>
                <w14:checkbox>
                  <w14:checked w14:val="1"/>
                  <w14:checkedState w14:val="2612" w14:font="MS Gothic"/>
                  <w14:uncheckedState w14:val="2610" w14:font="MS Gothic"/>
                </w14:checkbox>
              </w:sdtPr>
              <w:sdtContent>
                <w:r w:rsidR="00A25CEA" w:rsidRPr="002C2C75">
                  <w:rPr>
                    <w:rFonts w:ascii="MS Gothic" w:eastAsia="MS Gothic" w:hAnsi="MS Gothic" w:hint="eastAsia"/>
                    <w:sz w:val="20"/>
                    <w:szCs w:val="20"/>
                  </w:rPr>
                  <w:t>☒</w:t>
                </w:r>
              </w:sdtContent>
            </w:sdt>
          </w:p>
        </w:tc>
        <w:tc>
          <w:tcPr>
            <w:tcW w:w="8642" w:type="dxa"/>
          </w:tcPr>
          <w:p w14:paraId="2E3E9814" w14:textId="7DF47F01" w:rsidR="00932E1C" w:rsidRPr="002C2C75" w:rsidRDefault="00932E1C" w:rsidP="00932E1C">
            <w:pPr>
              <w:pStyle w:val="TableText"/>
              <w:ind w:left="144"/>
              <w:rPr>
                <w:bCs/>
                <w:sz w:val="20"/>
                <w:szCs w:val="20"/>
              </w:rPr>
            </w:pPr>
            <w:r w:rsidRPr="002C2C75">
              <w:rPr>
                <w:bCs/>
                <w:sz w:val="20"/>
                <w:szCs w:val="20"/>
              </w:rPr>
              <w:t>Implementation Arrangement Map(s)</w:t>
            </w:r>
          </w:p>
        </w:tc>
      </w:tr>
      <w:tr w:rsidR="00932E1C" w:rsidRPr="002C2C75" w14:paraId="40A55701" w14:textId="77777777" w:rsidTr="005E6DC1">
        <w:trPr>
          <w:trHeight w:val="432"/>
        </w:trPr>
        <w:tc>
          <w:tcPr>
            <w:tcW w:w="567" w:type="dxa"/>
          </w:tcPr>
          <w:p w14:paraId="4ADF9CA2" w14:textId="70D59F61" w:rsidR="00932E1C" w:rsidRPr="002C2C75" w:rsidRDefault="00000000" w:rsidP="00932E1C">
            <w:pPr>
              <w:pStyle w:val="TableText"/>
              <w:rPr>
                <w:sz w:val="20"/>
                <w:szCs w:val="20"/>
              </w:rPr>
            </w:pPr>
            <w:sdt>
              <w:sdtPr>
                <w:rPr>
                  <w:sz w:val="20"/>
                  <w:szCs w:val="20"/>
                </w:rPr>
                <w:id w:val="-2051445561"/>
                <w14:checkbox>
                  <w14:checked w14:val="1"/>
                  <w14:checkedState w14:val="2612" w14:font="MS Gothic"/>
                  <w14:uncheckedState w14:val="2610" w14:font="MS Gothic"/>
                </w14:checkbox>
              </w:sdtPr>
              <w:sdtContent>
                <w:r w:rsidR="008E4D62" w:rsidRPr="002C2C75">
                  <w:rPr>
                    <w:rFonts w:ascii="MS Gothic" w:eastAsia="MS Gothic" w:hAnsi="MS Gothic" w:hint="eastAsia"/>
                    <w:sz w:val="20"/>
                    <w:szCs w:val="20"/>
                  </w:rPr>
                  <w:t>☒</w:t>
                </w:r>
              </w:sdtContent>
            </w:sdt>
          </w:p>
        </w:tc>
        <w:tc>
          <w:tcPr>
            <w:tcW w:w="8642" w:type="dxa"/>
          </w:tcPr>
          <w:p w14:paraId="7F88DD79" w14:textId="7C631460" w:rsidR="00932E1C" w:rsidRPr="002C2C75" w:rsidRDefault="00D05709" w:rsidP="00932E1C">
            <w:pPr>
              <w:pStyle w:val="TableText"/>
              <w:ind w:left="144"/>
              <w:rPr>
                <w:bCs/>
                <w:sz w:val="20"/>
                <w:szCs w:val="20"/>
              </w:rPr>
            </w:pPr>
            <w:r w:rsidRPr="002C2C75">
              <w:rPr>
                <w:bCs/>
                <w:sz w:val="20"/>
                <w:szCs w:val="20"/>
              </w:rPr>
              <w:t>RSSH Gaps and Priorities Annex</w:t>
            </w:r>
            <w:r w:rsidR="00932E1C" w:rsidRPr="002C2C75">
              <w:rPr>
                <w:bCs/>
                <w:sz w:val="20"/>
                <w:szCs w:val="20"/>
              </w:rPr>
              <w:t xml:space="preserve"> </w:t>
            </w:r>
          </w:p>
        </w:tc>
      </w:tr>
      <w:tr w:rsidR="00932E1C" w:rsidRPr="002C2C75" w14:paraId="5357C8FB" w14:textId="77777777" w:rsidTr="005E6DC1">
        <w:trPr>
          <w:trHeight w:val="432"/>
        </w:trPr>
        <w:tc>
          <w:tcPr>
            <w:tcW w:w="567" w:type="dxa"/>
          </w:tcPr>
          <w:p w14:paraId="63C95B73" w14:textId="50563EF4" w:rsidR="00932E1C" w:rsidRPr="002C2C75" w:rsidRDefault="00000000" w:rsidP="00932E1C">
            <w:pPr>
              <w:pStyle w:val="TableText"/>
              <w:rPr>
                <w:sz w:val="20"/>
                <w:szCs w:val="20"/>
              </w:rPr>
            </w:pPr>
            <w:sdt>
              <w:sdtPr>
                <w:rPr>
                  <w:sz w:val="20"/>
                  <w:szCs w:val="20"/>
                </w:rPr>
                <w:id w:val="318081953"/>
                <w14:checkbox>
                  <w14:checked w14:val="1"/>
                  <w14:checkedState w14:val="2612" w14:font="MS Gothic"/>
                  <w14:uncheckedState w14:val="2610" w14:font="MS Gothic"/>
                </w14:checkbox>
              </w:sdtPr>
              <w:sdtContent>
                <w:r w:rsidR="008C1358" w:rsidRPr="002C2C75">
                  <w:rPr>
                    <w:rFonts w:ascii="MS Gothic" w:eastAsia="MS Gothic" w:hAnsi="MS Gothic" w:hint="eastAsia"/>
                    <w:sz w:val="20"/>
                    <w:szCs w:val="20"/>
                  </w:rPr>
                  <w:t>☒</w:t>
                </w:r>
              </w:sdtContent>
            </w:sdt>
          </w:p>
        </w:tc>
        <w:tc>
          <w:tcPr>
            <w:tcW w:w="8642" w:type="dxa"/>
          </w:tcPr>
          <w:p w14:paraId="3EC62A76" w14:textId="4E1320EF" w:rsidR="00932E1C" w:rsidRPr="002C2C75" w:rsidRDefault="00EE3FBC" w:rsidP="00932E1C">
            <w:pPr>
              <w:pStyle w:val="TableText"/>
              <w:ind w:left="144"/>
              <w:rPr>
                <w:sz w:val="20"/>
                <w:szCs w:val="20"/>
              </w:rPr>
            </w:pPr>
            <w:r w:rsidRPr="002C2C75">
              <w:rPr>
                <w:sz w:val="20"/>
                <w:szCs w:val="20"/>
              </w:rPr>
              <w:t xml:space="preserve">Gender </w:t>
            </w:r>
            <w:r w:rsidR="00865011" w:rsidRPr="002C2C75">
              <w:rPr>
                <w:sz w:val="20"/>
                <w:szCs w:val="20"/>
              </w:rPr>
              <w:t xml:space="preserve">Assessment </w:t>
            </w:r>
            <w:r w:rsidR="00B232CC" w:rsidRPr="002C2C75">
              <w:rPr>
                <w:sz w:val="20"/>
                <w:szCs w:val="20"/>
              </w:rPr>
              <w:t>(if available)</w:t>
            </w:r>
          </w:p>
        </w:tc>
      </w:tr>
      <w:tr w:rsidR="005E6DC1" w:rsidRPr="002C2C75" w14:paraId="1D96AEB3" w14:textId="77777777" w:rsidTr="005E6DC1">
        <w:trPr>
          <w:trHeight w:val="432"/>
        </w:trPr>
        <w:tc>
          <w:tcPr>
            <w:tcW w:w="567" w:type="dxa"/>
          </w:tcPr>
          <w:p w14:paraId="0C5ED2DA" w14:textId="590B3926" w:rsidR="005E6DC1" w:rsidRPr="002C2C75" w:rsidRDefault="00000000" w:rsidP="00932E1C">
            <w:pPr>
              <w:pStyle w:val="TableText"/>
              <w:rPr>
                <w:sz w:val="20"/>
                <w:szCs w:val="20"/>
              </w:rPr>
            </w:pPr>
            <w:sdt>
              <w:sdtPr>
                <w:rPr>
                  <w:sz w:val="20"/>
                  <w:szCs w:val="20"/>
                </w:rPr>
                <w:id w:val="-719824329"/>
                <w14:checkbox>
                  <w14:checked w14:val="1"/>
                  <w14:checkedState w14:val="2612" w14:font="MS Gothic"/>
                  <w14:uncheckedState w14:val="2610" w14:font="MS Gothic"/>
                </w14:checkbox>
              </w:sdtPr>
              <w:sdtContent>
                <w:r w:rsidR="0086003C" w:rsidRPr="002C2C75">
                  <w:rPr>
                    <w:rFonts w:ascii="MS Gothic" w:eastAsia="MS Gothic" w:hAnsi="MS Gothic" w:hint="eastAsia"/>
                    <w:sz w:val="20"/>
                    <w:szCs w:val="20"/>
                  </w:rPr>
                  <w:t>☒</w:t>
                </w:r>
              </w:sdtContent>
            </w:sdt>
          </w:p>
        </w:tc>
        <w:tc>
          <w:tcPr>
            <w:tcW w:w="8642" w:type="dxa"/>
          </w:tcPr>
          <w:p w14:paraId="2CCBB2CA" w14:textId="0B3FF3EB" w:rsidR="005E6DC1" w:rsidRPr="002C2C75" w:rsidRDefault="003054E6" w:rsidP="00932E1C">
            <w:pPr>
              <w:pStyle w:val="TableText"/>
              <w:ind w:left="144"/>
              <w:rPr>
                <w:sz w:val="20"/>
                <w:szCs w:val="20"/>
              </w:rPr>
            </w:pPr>
            <w:r w:rsidRPr="002C2C75">
              <w:rPr>
                <w:sz w:val="20"/>
                <w:szCs w:val="20"/>
              </w:rPr>
              <w:t>Assessment of Human Rights-Related Barriers</w:t>
            </w:r>
            <w:r w:rsidR="005E6DC1" w:rsidRPr="002C2C75">
              <w:rPr>
                <w:sz w:val="20"/>
                <w:szCs w:val="20"/>
              </w:rPr>
              <w:t xml:space="preserve"> (if available)</w:t>
            </w:r>
            <w:r w:rsidR="0086003C" w:rsidRPr="002C2C75">
              <w:rPr>
                <w:sz w:val="20"/>
                <w:szCs w:val="20"/>
              </w:rPr>
              <w:t xml:space="preserve"> </w:t>
            </w:r>
            <w:r w:rsidR="0086003C" w:rsidRPr="002C2C75">
              <w:rPr>
                <w:i/>
                <w:iCs/>
                <w:sz w:val="20"/>
                <w:szCs w:val="20"/>
              </w:rPr>
              <w:t>[Cabo Delgado Assessment]</w:t>
            </w:r>
          </w:p>
        </w:tc>
      </w:tr>
      <w:tr w:rsidR="00932E1C" w:rsidRPr="002C2C75" w14:paraId="77576B83" w14:textId="77777777" w:rsidTr="005E6DC1">
        <w:trPr>
          <w:trHeight w:val="432"/>
        </w:trPr>
        <w:tc>
          <w:tcPr>
            <w:tcW w:w="567" w:type="dxa"/>
          </w:tcPr>
          <w:p w14:paraId="56B49C51" w14:textId="7150C61E" w:rsidR="00932E1C" w:rsidRPr="002C2C75" w:rsidRDefault="00000000" w:rsidP="00932E1C">
            <w:pPr>
              <w:pStyle w:val="TableText"/>
              <w:rPr>
                <w:sz w:val="20"/>
                <w:szCs w:val="20"/>
              </w:rPr>
            </w:pPr>
            <w:sdt>
              <w:sdtPr>
                <w:rPr>
                  <w:sz w:val="20"/>
                  <w:szCs w:val="20"/>
                </w:rPr>
                <w:id w:val="1479722300"/>
                <w14:checkbox>
                  <w14:checked w14:val="1"/>
                  <w14:checkedState w14:val="2612" w14:font="MS Gothic"/>
                  <w14:uncheckedState w14:val="2610" w14:font="MS Gothic"/>
                </w14:checkbox>
              </w:sdtPr>
              <w:sdtContent>
                <w:r w:rsidR="008C1358" w:rsidRPr="002C2C75">
                  <w:rPr>
                    <w:rFonts w:ascii="MS Gothic" w:eastAsia="MS Gothic" w:hAnsi="MS Gothic" w:hint="eastAsia"/>
                    <w:sz w:val="20"/>
                    <w:szCs w:val="20"/>
                  </w:rPr>
                  <w:t>☒</w:t>
                </w:r>
              </w:sdtContent>
            </w:sdt>
          </w:p>
        </w:tc>
        <w:tc>
          <w:tcPr>
            <w:tcW w:w="8642" w:type="dxa"/>
          </w:tcPr>
          <w:p w14:paraId="69DDA6DD" w14:textId="305A79E9" w:rsidR="00932E1C" w:rsidRPr="002C2C75" w:rsidRDefault="00932E1C" w:rsidP="00932E1C">
            <w:pPr>
              <w:pStyle w:val="TableText"/>
              <w:ind w:left="144"/>
              <w:rPr>
                <w:bCs/>
                <w:sz w:val="20"/>
                <w:szCs w:val="20"/>
              </w:rPr>
            </w:pPr>
            <w:r w:rsidRPr="002C2C75">
              <w:rPr>
                <w:sz w:val="20"/>
                <w:szCs w:val="20"/>
              </w:rPr>
              <w:t>Essential Data Table(s</w:t>
            </w:r>
            <w:r w:rsidR="00193AD4" w:rsidRPr="002C2C75">
              <w:rPr>
                <w:sz w:val="20"/>
                <w:szCs w:val="20"/>
              </w:rPr>
              <w:t>)</w:t>
            </w:r>
          </w:p>
        </w:tc>
      </w:tr>
      <w:tr w:rsidR="00193AD4" w:rsidRPr="002C2C75" w14:paraId="402B9187" w14:textId="77777777" w:rsidTr="005E6DC1">
        <w:trPr>
          <w:trHeight w:val="432"/>
        </w:trPr>
        <w:tc>
          <w:tcPr>
            <w:tcW w:w="567" w:type="dxa"/>
          </w:tcPr>
          <w:p w14:paraId="5A358830" w14:textId="5AD7B792" w:rsidR="00193AD4" w:rsidRPr="002C2C75" w:rsidRDefault="00000000" w:rsidP="00193AD4">
            <w:pPr>
              <w:pStyle w:val="TableText"/>
              <w:rPr>
                <w:sz w:val="20"/>
                <w:szCs w:val="20"/>
              </w:rPr>
            </w:pPr>
            <w:sdt>
              <w:sdtPr>
                <w:rPr>
                  <w:sz w:val="20"/>
                  <w:szCs w:val="20"/>
                </w:rPr>
                <w:id w:val="1693653115"/>
                <w14:checkbox>
                  <w14:checked w14:val="1"/>
                  <w14:checkedState w14:val="2612" w14:font="MS Gothic"/>
                  <w14:uncheckedState w14:val="2610" w14:font="MS Gothic"/>
                </w14:checkbox>
              </w:sdtPr>
              <w:sdtContent>
                <w:r w:rsidR="008C1358" w:rsidRPr="002C2C75">
                  <w:rPr>
                    <w:rFonts w:ascii="MS Gothic" w:eastAsia="MS Gothic" w:hAnsi="MS Gothic" w:hint="eastAsia"/>
                    <w:sz w:val="20"/>
                    <w:szCs w:val="20"/>
                  </w:rPr>
                  <w:t>☒</w:t>
                </w:r>
              </w:sdtContent>
            </w:sdt>
          </w:p>
        </w:tc>
        <w:tc>
          <w:tcPr>
            <w:tcW w:w="8642" w:type="dxa"/>
          </w:tcPr>
          <w:p w14:paraId="52B68C27" w14:textId="0B5034ED" w:rsidR="00193AD4" w:rsidRPr="002C2C75" w:rsidRDefault="00193AD4" w:rsidP="00193AD4">
            <w:pPr>
              <w:pStyle w:val="TableText"/>
              <w:ind w:left="144"/>
              <w:rPr>
                <w:sz w:val="20"/>
                <w:szCs w:val="20"/>
              </w:rPr>
            </w:pPr>
            <w:r w:rsidRPr="002C2C75">
              <w:rPr>
                <w:bCs/>
                <w:sz w:val="20"/>
                <w:szCs w:val="20"/>
              </w:rPr>
              <w:t>National Strategic Plans</w:t>
            </w:r>
          </w:p>
        </w:tc>
      </w:tr>
      <w:tr w:rsidR="00193AD4" w:rsidRPr="002C2C75" w14:paraId="6708C7A3" w14:textId="77777777" w:rsidTr="005E6DC1">
        <w:trPr>
          <w:trHeight w:val="432"/>
        </w:trPr>
        <w:tc>
          <w:tcPr>
            <w:tcW w:w="567" w:type="dxa"/>
          </w:tcPr>
          <w:p w14:paraId="708BC84F" w14:textId="4165795C" w:rsidR="00193AD4" w:rsidRPr="002C2C75" w:rsidRDefault="00000000" w:rsidP="00193AD4">
            <w:pPr>
              <w:pStyle w:val="TableText"/>
              <w:rPr>
                <w:sz w:val="20"/>
                <w:szCs w:val="20"/>
              </w:rPr>
            </w:pPr>
            <w:sdt>
              <w:sdtPr>
                <w:rPr>
                  <w:sz w:val="20"/>
                  <w:szCs w:val="20"/>
                </w:rPr>
                <w:id w:val="1226954297"/>
                <w14:checkbox>
                  <w14:checked w14:val="0"/>
                  <w14:checkedState w14:val="2612" w14:font="MS Gothic"/>
                  <w14:uncheckedState w14:val="2610" w14:font="MS Gothic"/>
                </w14:checkbox>
              </w:sdtPr>
              <w:sdtContent>
                <w:r w:rsidR="00193AD4" w:rsidRPr="002C2C75">
                  <w:rPr>
                    <w:rFonts w:ascii="Segoe UI Symbol" w:hAnsi="Segoe UI Symbol" w:cs="Segoe UI Symbol"/>
                    <w:sz w:val="20"/>
                    <w:szCs w:val="20"/>
                  </w:rPr>
                  <w:t>☐</w:t>
                </w:r>
              </w:sdtContent>
            </w:sdt>
          </w:p>
        </w:tc>
        <w:tc>
          <w:tcPr>
            <w:tcW w:w="8642" w:type="dxa"/>
          </w:tcPr>
          <w:p w14:paraId="3D9061E8" w14:textId="5984E66C" w:rsidR="00193AD4" w:rsidRPr="002C2C75" w:rsidRDefault="00193AD4" w:rsidP="00193AD4">
            <w:pPr>
              <w:pStyle w:val="TableText"/>
              <w:ind w:left="144"/>
              <w:rPr>
                <w:bCs/>
                <w:sz w:val="20"/>
                <w:szCs w:val="20"/>
              </w:rPr>
            </w:pPr>
            <w:r w:rsidRPr="002C2C75">
              <w:rPr>
                <w:sz w:val="20"/>
                <w:szCs w:val="20"/>
              </w:rPr>
              <w:t>Innovative Financing Documentation</w:t>
            </w:r>
            <w:r w:rsidR="00E0268D" w:rsidRPr="002C2C75">
              <w:rPr>
                <w:sz w:val="20"/>
                <w:szCs w:val="20"/>
              </w:rPr>
              <w:t xml:space="preserve"> (if applicable)</w:t>
            </w:r>
          </w:p>
        </w:tc>
      </w:tr>
      <w:tr w:rsidR="00E0268D" w:rsidRPr="002C2C75" w14:paraId="353D66EE" w14:textId="77777777" w:rsidTr="005E6DC1">
        <w:trPr>
          <w:trHeight w:val="432"/>
        </w:trPr>
        <w:tc>
          <w:tcPr>
            <w:tcW w:w="567" w:type="dxa"/>
          </w:tcPr>
          <w:p w14:paraId="628DC0F8" w14:textId="5980B5BC" w:rsidR="00E0268D" w:rsidRPr="002C2C75" w:rsidRDefault="00000000" w:rsidP="00E0268D">
            <w:pPr>
              <w:pStyle w:val="TableText"/>
              <w:rPr>
                <w:sz w:val="20"/>
                <w:szCs w:val="20"/>
              </w:rPr>
            </w:pPr>
            <w:sdt>
              <w:sdtPr>
                <w:rPr>
                  <w:sz w:val="20"/>
                  <w:szCs w:val="20"/>
                </w:rPr>
                <w:id w:val="80649857"/>
                <w14:checkbox>
                  <w14:checked w14:val="0"/>
                  <w14:checkedState w14:val="2612" w14:font="MS Gothic"/>
                  <w14:uncheckedState w14:val="2610" w14:font="MS Gothic"/>
                </w14:checkbox>
              </w:sdtPr>
              <w:sdtContent>
                <w:r w:rsidR="00E0268D" w:rsidRPr="002C2C75">
                  <w:rPr>
                    <w:rFonts w:ascii="Segoe UI Symbol" w:hAnsi="Segoe UI Symbol" w:cs="Segoe UI Symbol"/>
                    <w:sz w:val="20"/>
                    <w:szCs w:val="20"/>
                  </w:rPr>
                  <w:t>☐</w:t>
                </w:r>
              </w:sdtContent>
            </w:sdt>
          </w:p>
        </w:tc>
        <w:tc>
          <w:tcPr>
            <w:tcW w:w="8642" w:type="dxa"/>
          </w:tcPr>
          <w:p w14:paraId="7330E13A" w14:textId="4F10BC3E" w:rsidR="00E0268D" w:rsidRPr="002C2C75" w:rsidRDefault="00E0268D" w:rsidP="00E0268D">
            <w:pPr>
              <w:pStyle w:val="TableText"/>
              <w:ind w:left="144"/>
              <w:rPr>
                <w:sz w:val="20"/>
                <w:szCs w:val="20"/>
              </w:rPr>
            </w:pPr>
            <w:r w:rsidRPr="002C2C75">
              <w:rPr>
                <w:bCs/>
                <w:sz w:val="20"/>
                <w:szCs w:val="20"/>
              </w:rPr>
              <w:t>Supporting Documentation Related to Sustainability and Transition</w:t>
            </w:r>
            <w:r w:rsidR="007B07AB" w:rsidRPr="002C2C75">
              <w:rPr>
                <w:bCs/>
                <w:sz w:val="20"/>
                <w:szCs w:val="20"/>
              </w:rPr>
              <w:t xml:space="preserve"> (if available)</w:t>
            </w:r>
          </w:p>
        </w:tc>
      </w:tr>
      <w:tr w:rsidR="00E0268D" w:rsidRPr="002C2C75" w14:paraId="3FA999D6" w14:textId="77777777" w:rsidTr="005E6DC1">
        <w:trPr>
          <w:trHeight w:val="432"/>
        </w:trPr>
        <w:tc>
          <w:tcPr>
            <w:tcW w:w="567" w:type="dxa"/>
          </w:tcPr>
          <w:p w14:paraId="3C3E2411" w14:textId="6FEE4F03" w:rsidR="00E0268D" w:rsidRPr="002C2C75" w:rsidRDefault="00000000" w:rsidP="00E0268D">
            <w:pPr>
              <w:pStyle w:val="TableText"/>
              <w:rPr>
                <w:sz w:val="20"/>
                <w:szCs w:val="20"/>
              </w:rPr>
            </w:pPr>
            <w:sdt>
              <w:sdtPr>
                <w:rPr>
                  <w:sz w:val="20"/>
                  <w:szCs w:val="20"/>
                </w:rPr>
                <w:id w:val="-1828971492"/>
                <w14:checkbox>
                  <w14:checked w14:val="1"/>
                  <w14:checkedState w14:val="2612" w14:font="MS Gothic"/>
                  <w14:uncheckedState w14:val="2610" w14:font="MS Gothic"/>
                </w14:checkbox>
              </w:sdtPr>
              <w:sdtContent>
                <w:r w:rsidR="0086003C" w:rsidRPr="002C2C75">
                  <w:rPr>
                    <w:rFonts w:ascii="MS Gothic" w:eastAsia="MS Gothic" w:hAnsi="MS Gothic" w:hint="eastAsia"/>
                    <w:sz w:val="20"/>
                    <w:szCs w:val="20"/>
                  </w:rPr>
                  <w:t>☒</w:t>
                </w:r>
              </w:sdtContent>
            </w:sdt>
          </w:p>
        </w:tc>
        <w:tc>
          <w:tcPr>
            <w:tcW w:w="8642" w:type="dxa"/>
          </w:tcPr>
          <w:p w14:paraId="36FA6962" w14:textId="3FDDC8C8" w:rsidR="00E0268D" w:rsidRPr="002C2C75" w:rsidRDefault="00E0268D" w:rsidP="00E0268D">
            <w:pPr>
              <w:pStyle w:val="TableText"/>
              <w:ind w:left="144"/>
              <w:rPr>
                <w:bCs/>
                <w:sz w:val="20"/>
                <w:szCs w:val="20"/>
              </w:rPr>
            </w:pPr>
            <w:r w:rsidRPr="002C2C75">
              <w:rPr>
                <w:sz w:val="20"/>
                <w:szCs w:val="20"/>
              </w:rPr>
              <w:t>List of Abbreviations and Annexes</w:t>
            </w:r>
          </w:p>
        </w:tc>
      </w:tr>
    </w:tbl>
    <w:bookmarkEnd w:id="6"/>
    <w:p w14:paraId="38882E15" w14:textId="2D3767E8" w:rsidR="00193AD4" w:rsidRPr="002C2C75" w:rsidRDefault="00193AD4" w:rsidP="008B7837">
      <w:pPr>
        <w:pStyle w:val="Heading4"/>
        <w:spacing w:before="120"/>
      </w:pPr>
      <w:r w:rsidRPr="002C2C75">
        <w:t>Documents Assessed by the Global Fund Secretariat</w:t>
      </w:r>
    </w:p>
    <w:tbl>
      <w:tblPr>
        <w:tblStyle w:val="GlobalFundNoSpace"/>
        <w:tblW w:w="9209" w:type="dxa"/>
        <w:tblBorders>
          <w:insideH w:val="single" w:sz="2" w:space="0" w:color="BFBFBF" w:themeColor="background1" w:themeShade="BF"/>
          <w:insideV w:val="single" w:sz="2" w:space="0" w:color="BFBFBF" w:themeColor="background1" w:themeShade="BF"/>
        </w:tblBorders>
        <w:tblLook w:val="0600" w:firstRow="0" w:lastRow="0" w:firstColumn="0" w:lastColumn="0" w:noHBand="1" w:noVBand="1"/>
      </w:tblPr>
      <w:tblGrid>
        <w:gridCol w:w="567"/>
        <w:gridCol w:w="8642"/>
      </w:tblGrid>
      <w:tr w:rsidR="00193AD4" w:rsidRPr="002C2C75" w14:paraId="403692BC" w14:textId="77777777" w:rsidTr="005E6DC1">
        <w:trPr>
          <w:trHeight w:val="432"/>
        </w:trPr>
        <w:tc>
          <w:tcPr>
            <w:tcW w:w="567" w:type="dxa"/>
          </w:tcPr>
          <w:p w14:paraId="54BE1B27" w14:textId="74E2B2CC" w:rsidR="00193AD4" w:rsidRPr="002C2C75" w:rsidRDefault="00000000" w:rsidP="00A44C21">
            <w:pPr>
              <w:pStyle w:val="TableText"/>
              <w:rPr>
                <w:sz w:val="20"/>
                <w:szCs w:val="20"/>
              </w:rPr>
            </w:pPr>
            <w:sdt>
              <w:sdtPr>
                <w:rPr>
                  <w:sz w:val="20"/>
                  <w:szCs w:val="20"/>
                </w:rPr>
                <w:id w:val="-1633473032"/>
                <w14:checkbox>
                  <w14:checked w14:val="1"/>
                  <w14:checkedState w14:val="2612" w14:font="MS Gothic"/>
                  <w14:uncheckedState w14:val="2610" w14:font="MS Gothic"/>
                </w14:checkbox>
              </w:sdtPr>
              <w:sdtContent>
                <w:r w:rsidR="008E4D62" w:rsidRPr="002C2C75">
                  <w:rPr>
                    <w:rFonts w:ascii="MS Gothic" w:eastAsia="MS Gothic" w:hAnsi="MS Gothic" w:hint="eastAsia"/>
                    <w:sz w:val="20"/>
                    <w:szCs w:val="20"/>
                  </w:rPr>
                  <w:t>☒</w:t>
                </w:r>
              </w:sdtContent>
            </w:sdt>
          </w:p>
        </w:tc>
        <w:tc>
          <w:tcPr>
            <w:tcW w:w="8642" w:type="dxa"/>
          </w:tcPr>
          <w:p w14:paraId="1C248608" w14:textId="219436A7" w:rsidR="00193AD4" w:rsidRPr="002C2C75" w:rsidRDefault="00AA0497" w:rsidP="00A44C21">
            <w:pPr>
              <w:pStyle w:val="TableText"/>
              <w:ind w:left="144"/>
              <w:rPr>
                <w:bCs/>
                <w:sz w:val="20"/>
                <w:szCs w:val="20"/>
              </w:rPr>
            </w:pPr>
            <w:r w:rsidRPr="002C2C75">
              <w:rPr>
                <w:bCs/>
                <w:sz w:val="20"/>
                <w:szCs w:val="20"/>
              </w:rPr>
              <w:t>Funding Priorities from Civil Society and Communities</w:t>
            </w:r>
            <w:r w:rsidR="00193AD4" w:rsidRPr="002C2C75">
              <w:rPr>
                <w:bCs/>
                <w:sz w:val="20"/>
                <w:szCs w:val="20"/>
              </w:rPr>
              <w:t xml:space="preserve"> Annex</w:t>
            </w:r>
          </w:p>
        </w:tc>
      </w:tr>
      <w:tr w:rsidR="00F96EA5" w:rsidRPr="002C2C75" w14:paraId="12FEE901" w14:textId="77777777" w:rsidTr="005E6DC1">
        <w:trPr>
          <w:trHeight w:val="432"/>
        </w:trPr>
        <w:tc>
          <w:tcPr>
            <w:tcW w:w="567" w:type="dxa"/>
          </w:tcPr>
          <w:p w14:paraId="0F874A2B" w14:textId="63D8312F" w:rsidR="00F96EA5" w:rsidRPr="002C2C75" w:rsidRDefault="00000000" w:rsidP="00F96EA5">
            <w:pPr>
              <w:pStyle w:val="TableText"/>
              <w:rPr>
                <w:sz w:val="20"/>
                <w:szCs w:val="20"/>
              </w:rPr>
            </w:pPr>
            <w:sdt>
              <w:sdtPr>
                <w:rPr>
                  <w:sz w:val="20"/>
                  <w:szCs w:val="20"/>
                </w:rPr>
                <w:id w:val="-2146493411"/>
                <w14:checkbox>
                  <w14:checked w14:val="1"/>
                  <w14:checkedState w14:val="2612" w14:font="MS Gothic"/>
                  <w14:uncheckedState w14:val="2610" w14:font="MS Gothic"/>
                </w14:checkbox>
              </w:sdtPr>
              <w:sdtContent>
                <w:r w:rsidR="008E4D62" w:rsidRPr="002C2C75">
                  <w:rPr>
                    <w:rFonts w:ascii="MS Gothic" w:eastAsia="MS Gothic" w:hAnsi="MS Gothic" w:hint="eastAsia"/>
                    <w:sz w:val="20"/>
                    <w:szCs w:val="20"/>
                  </w:rPr>
                  <w:t>☒</w:t>
                </w:r>
              </w:sdtContent>
            </w:sdt>
          </w:p>
        </w:tc>
        <w:tc>
          <w:tcPr>
            <w:tcW w:w="8642" w:type="dxa"/>
          </w:tcPr>
          <w:p w14:paraId="543511F6" w14:textId="32FB9352" w:rsidR="00F96EA5" w:rsidRPr="002C2C75" w:rsidRDefault="00F96EA5" w:rsidP="00F96EA5">
            <w:pPr>
              <w:pStyle w:val="TableText"/>
              <w:ind w:left="144"/>
              <w:rPr>
                <w:sz w:val="20"/>
                <w:szCs w:val="20"/>
              </w:rPr>
            </w:pPr>
            <w:r w:rsidRPr="002C2C75">
              <w:rPr>
                <w:sz w:val="20"/>
                <w:szCs w:val="20"/>
              </w:rPr>
              <w:t>Country Dialogue Narrative</w:t>
            </w:r>
          </w:p>
        </w:tc>
      </w:tr>
      <w:tr w:rsidR="00F96EA5" w:rsidRPr="002C2C75" w14:paraId="33B2DA45" w14:textId="77777777" w:rsidTr="005E6DC1">
        <w:trPr>
          <w:trHeight w:val="432"/>
        </w:trPr>
        <w:tc>
          <w:tcPr>
            <w:tcW w:w="567" w:type="dxa"/>
          </w:tcPr>
          <w:p w14:paraId="7883449F" w14:textId="76DF3C26" w:rsidR="00F96EA5" w:rsidRPr="002C2C75" w:rsidRDefault="00000000" w:rsidP="00F96EA5">
            <w:pPr>
              <w:pStyle w:val="TableText"/>
              <w:rPr>
                <w:sz w:val="20"/>
                <w:szCs w:val="20"/>
              </w:rPr>
            </w:pPr>
            <w:sdt>
              <w:sdtPr>
                <w:rPr>
                  <w:sz w:val="20"/>
                  <w:szCs w:val="20"/>
                </w:rPr>
                <w:id w:val="-2140713719"/>
                <w14:checkbox>
                  <w14:checked w14:val="1"/>
                  <w14:checkedState w14:val="2612" w14:font="MS Gothic"/>
                  <w14:uncheckedState w14:val="2610" w14:font="MS Gothic"/>
                </w14:checkbox>
              </w:sdtPr>
              <w:sdtContent>
                <w:r w:rsidR="008E4D62" w:rsidRPr="002C2C75">
                  <w:rPr>
                    <w:rFonts w:ascii="MS Gothic" w:eastAsia="MS Gothic" w:hAnsi="MS Gothic" w:hint="eastAsia"/>
                    <w:sz w:val="20"/>
                    <w:szCs w:val="20"/>
                  </w:rPr>
                  <w:t>☒</w:t>
                </w:r>
              </w:sdtContent>
            </w:sdt>
          </w:p>
        </w:tc>
        <w:tc>
          <w:tcPr>
            <w:tcW w:w="8642" w:type="dxa"/>
          </w:tcPr>
          <w:p w14:paraId="5EEC8B8F" w14:textId="77777777" w:rsidR="00F96EA5" w:rsidRPr="002C2C75" w:rsidRDefault="00F96EA5" w:rsidP="00F96EA5">
            <w:pPr>
              <w:pStyle w:val="TableText"/>
              <w:ind w:left="144"/>
              <w:rPr>
                <w:sz w:val="20"/>
                <w:szCs w:val="20"/>
                <w:lang w:val="en-US"/>
              </w:rPr>
            </w:pPr>
            <w:r w:rsidRPr="002C2C75">
              <w:rPr>
                <w:bCs/>
                <w:sz w:val="20"/>
                <w:szCs w:val="20"/>
              </w:rPr>
              <w:t>CCM Endorsement of Funding Request</w:t>
            </w:r>
          </w:p>
        </w:tc>
      </w:tr>
      <w:tr w:rsidR="00F96EA5" w:rsidRPr="002C2C75" w14:paraId="2DF86257" w14:textId="77777777" w:rsidTr="005E6DC1">
        <w:trPr>
          <w:trHeight w:val="432"/>
        </w:trPr>
        <w:tc>
          <w:tcPr>
            <w:tcW w:w="567" w:type="dxa"/>
          </w:tcPr>
          <w:p w14:paraId="6F6C636D" w14:textId="1E82B3BC" w:rsidR="00F96EA5" w:rsidRPr="002C2C75" w:rsidRDefault="00000000" w:rsidP="00F96EA5">
            <w:pPr>
              <w:pStyle w:val="TableText"/>
              <w:rPr>
                <w:sz w:val="20"/>
                <w:szCs w:val="20"/>
              </w:rPr>
            </w:pPr>
            <w:sdt>
              <w:sdtPr>
                <w:rPr>
                  <w:sz w:val="20"/>
                  <w:szCs w:val="20"/>
                </w:rPr>
                <w:id w:val="-1115976256"/>
                <w14:checkbox>
                  <w14:checked w14:val="1"/>
                  <w14:checkedState w14:val="2612" w14:font="MS Gothic"/>
                  <w14:uncheckedState w14:val="2610" w14:font="MS Gothic"/>
                </w14:checkbox>
              </w:sdtPr>
              <w:sdtContent>
                <w:r w:rsidR="008E4D62" w:rsidRPr="002C2C75">
                  <w:rPr>
                    <w:rFonts w:ascii="MS Gothic" w:eastAsia="MS Gothic" w:hAnsi="MS Gothic" w:hint="eastAsia"/>
                    <w:sz w:val="20"/>
                    <w:szCs w:val="20"/>
                  </w:rPr>
                  <w:t>☒</w:t>
                </w:r>
              </w:sdtContent>
            </w:sdt>
          </w:p>
        </w:tc>
        <w:tc>
          <w:tcPr>
            <w:tcW w:w="8642" w:type="dxa"/>
          </w:tcPr>
          <w:p w14:paraId="2C2F4F0D" w14:textId="77777777" w:rsidR="00F96EA5" w:rsidRPr="002C2C75" w:rsidRDefault="00F96EA5" w:rsidP="00F96EA5">
            <w:pPr>
              <w:pStyle w:val="TableText"/>
              <w:ind w:left="144"/>
              <w:rPr>
                <w:bCs/>
                <w:sz w:val="20"/>
                <w:szCs w:val="20"/>
              </w:rPr>
            </w:pPr>
            <w:r w:rsidRPr="002C2C75">
              <w:rPr>
                <w:rFonts w:eastAsia="SimSun"/>
                <w:bCs/>
                <w:sz w:val="20"/>
                <w:szCs w:val="20"/>
                <w:lang w:eastAsia="zh-CN"/>
              </w:rPr>
              <w:t>CCM Statement of Compliance</w:t>
            </w:r>
          </w:p>
        </w:tc>
      </w:tr>
      <w:tr w:rsidR="00F96EA5" w:rsidRPr="002C2C75" w14:paraId="3D1E0A56" w14:textId="77777777" w:rsidTr="005E6DC1">
        <w:trPr>
          <w:trHeight w:val="432"/>
        </w:trPr>
        <w:tc>
          <w:tcPr>
            <w:tcW w:w="567" w:type="dxa"/>
          </w:tcPr>
          <w:p w14:paraId="2CE17B6C" w14:textId="0EC2937A" w:rsidR="00F96EA5" w:rsidRPr="002C2C75" w:rsidRDefault="00000000" w:rsidP="00F96EA5">
            <w:pPr>
              <w:pStyle w:val="TableText"/>
              <w:rPr>
                <w:sz w:val="20"/>
                <w:szCs w:val="20"/>
              </w:rPr>
            </w:pPr>
            <w:sdt>
              <w:sdtPr>
                <w:rPr>
                  <w:sz w:val="20"/>
                  <w:szCs w:val="20"/>
                </w:rPr>
                <w:id w:val="-1469969149"/>
                <w:placeholder>
                  <w:docPart w:val="DefaultPlaceholder_1081868574"/>
                </w:placeholder>
                <w14:checkbox>
                  <w14:checked w14:val="1"/>
                  <w14:checkedState w14:val="2612" w14:font="MS Gothic"/>
                  <w14:uncheckedState w14:val="2610" w14:font="MS Gothic"/>
                </w14:checkbox>
              </w:sdtPr>
              <w:sdtContent>
                <w:r w:rsidR="008E4D62" w:rsidRPr="002C2C75">
                  <w:rPr>
                    <w:rFonts w:ascii="MS Gothic" w:eastAsia="MS Gothic" w:hAnsi="MS Gothic" w:hint="eastAsia"/>
                    <w:sz w:val="20"/>
                    <w:szCs w:val="20"/>
                  </w:rPr>
                  <w:t>☒</w:t>
                </w:r>
              </w:sdtContent>
            </w:sdt>
          </w:p>
        </w:tc>
        <w:tc>
          <w:tcPr>
            <w:tcW w:w="8642" w:type="dxa"/>
          </w:tcPr>
          <w:p w14:paraId="6148B393" w14:textId="5FC72E75" w:rsidR="00F96EA5" w:rsidRPr="002C2C75" w:rsidRDefault="1D5E9C1D" w:rsidP="6FCFDB5B">
            <w:pPr>
              <w:pStyle w:val="TableText"/>
              <w:ind w:left="144"/>
              <w:rPr>
                <w:sz w:val="20"/>
                <w:szCs w:val="20"/>
              </w:rPr>
            </w:pPr>
            <w:r w:rsidRPr="002C2C75">
              <w:rPr>
                <w:sz w:val="20"/>
                <w:szCs w:val="20"/>
              </w:rPr>
              <w:t>Additional documentation to support co-financing requirements</w:t>
            </w:r>
          </w:p>
        </w:tc>
      </w:tr>
      <w:tr w:rsidR="007C0165" w:rsidRPr="00226B41" w14:paraId="396B1E07" w14:textId="77777777" w:rsidTr="005E6DC1">
        <w:trPr>
          <w:trHeight w:val="432"/>
        </w:trPr>
        <w:tc>
          <w:tcPr>
            <w:tcW w:w="567" w:type="dxa"/>
          </w:tcPr>
          <w:p w14:paraId="208CAFDB" w14:textId="62026A92" w:rsidR="007C0165" w:rsidRPr="002C2C75" w:rsidRDefault="00000000" w:rsidP="007C0165">
            <w:pPr>
              <w:pStyle w:val="TableText"/>
              <w:rPr>
                <w:sz w:val="20"/>
                <w:szCs w:val="20"/>
              </w:rPr>
            </w:pPr>
            <w:sdt>
              <w:sdtPr>
                <w:rPr>
                  <w:sz w:val="20"/>
                  <w:szCs w:val="20"/>
                </w:rPr>
                <w:id w:val="-2124604119"/>
                <w14:checkbox>
                  <w14:checked w14:val="0"/>
                  <w14:checkedState w14:val="2612" w14:font="MS Gothic"/>
                  <w14:uncheckedState w14:val="2610" w14:font="MS Gothic"/>
                </w14:checkbox>
              </w:sdtPr>
              <w:sdtContent>
                <w:r w:rsidR="007C0165" w:rsidRPr="002C2C75">
                  <w:rPr>
                    <w:rFonts w:ascii="Segoe UI Symbol" w:hAnsi="Segoe UI Symbol" w:cs="Segoe UI Symbol"/>
                    <w:sz w:val="20"/>
                    <w:szCs w:val="20"/>
                  </w:rPr>
                  <w:t>☐</w:t>
                </w:r>
              </w:sdtContent>
            </w:sdt>
          </w:p>
        </w:tc>
        <w:tc>
          <w:tcPr>
            <w:tcW w:w="8642" w:type="dxa"/>
          </w:tcPr>
          <w:p w14:paraId="50431AE2" w14:textId="712D6E4B" w:rsidR="007C0165" w:rsidRPr="003059C0" w:rsidRDefault="007C0165" w:rsidP="007C0165">
            <w:pPr>
              <w:pStyle w:val="TableText"/>
              <w:ind w:left="144"/>
              <w:rPr>
                <w:sz w:val="20"/>
                <w:szCs w:val="20"/>
              </w:rPr>
            </w:pPr>
            <w:r w:rsidRPr="002C2C75">
              <w:rPr>
                <w:sz w:val="20"/>
                <w:szCs w:val="20"/>
              </w:rPr>
              <w:t>Sexual Exploitation, Abuse and Harassment (SEAH) Risk Assessment (optional)</w:t>
            </w:r>
          </w:p>
        </w:tc>
      </w:tr>
    </w:tbl>
    <w:p w14:paraId="0BAA755E" w14:textId="3875C7BE" w:rsidR="00193AD4" w:rsidRPr="00396907" w:rsidRDefault="00193AD4" w:rsidP="001E5ECD">
      <w:pPr>
        <w:pStyle w:val="BodyText"/>
        <w:rPr>
          <w:sz w:val="20"/>
          <w:szCs w:val="18"/>
        </w:rPr>
      </w:pPr>
    </w:p>
    <w:sectPr w:rsidR="00193AD4" w:rsidRPr="00396907" w:rsidSect="00EC43C0">
      <w:pgSz w:w="11906" w:h="16838" w:code="9"/>
      <w:pgMar w:top="851" w:right="851" w:bottom="1871" w:left="851" w:header="289"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41856" w14:textId="77777777" w:rsidR="004B0367" w:rsidRDefault="004B0367" w:rsidP="00861A9E">
      <w:pPr>
        <w:spacing w:after="0" w:line="240" w:lineRule="auto"/>
      </w:pPr>
      <w:r>
        <w:separator/>
      </w:r>
    </w:p>
  </w:endnote>
  <w:endnote w:type="continuationSeparator" w:id="0">
    <w:p w14:paraId="512C6DF4" w14:textId="77777777" w:rsidR="004B0367" w:rsidRDefault="004B0367" w:rsidP="00861A9E">
      <w:pPr>
        <w:spacing w:after="0" w:line="240" w:lineRule="auto"/>
      </w:pPr>
      <w:r>
        <w:continuationSeparator/>
      </w:r>
    </w:p>
  </w:endnote>
  <w:endnote w:type="continuationNotice" w:id="1">
    <w:p w14:paraId="2F6DFD3C" w14:textId="77777777" w:rsidR="004B0367" w:rsidRDefault="004B03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ArialMT">
    <w:panose1 w:val="00000000000000000000"/>
    <w:charset w:val="4D"/>
    <w:family w:val="auto"/>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ZWAdobeF">
    <w:altName w:val="Calibri"/>
    <w:charset w:val="00"/>
    <w:family w:val="auto"/>
    <w:pitch w:val="variable"/>
    <w:sig w:usb0="20002A87" w:usb1="00000000" w:usb2="00000000"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
      <w:tblpPr w:leftFromText="181" w:rightFromText="181" w:vertAnchor="page" w:horzAnchor="margin" w:tblpY="15140"/>
      <w:tblOverlap w:val="never"/>
      <w:tblW w:w="15030" w:type="dxa"/>
      <w:tblLook w:val="04A0" w:firstRow="1" w:lastRow="0" w:firstColumn="1" w:lastColumn="0" w:noHBand="0" w:noVBand="1"/>
    </w:tblPr>
    <w:tblGrid>
      <w:gridCol w:w="4855"/>
      <w:gridCol w:w="4654"/>
      <w:gridCol w:w="5521"/>
    </w:tblGrid>
    <w:tr w:rsidR="00877B13" w14:paraId="11F5A140" w14:textId="77777777" w:rsidTr="0070372C">
      <w:tc>
        <w:tcPr>
          <w:tcW w:w="4855" w:type="dxa"/>
          <w:tcBorders>
            <w:top w:val="single" w:sz="4" w:space="0" w:color="auto"/>
          </w:tcBorders>
        </w:tcPr>
        <w:p w14:paraId="7B934B9B" w14:textId="77777777" w:rsidR="00877B13" w:rsidRDefault="00877B13" w:rsidP="0070372C">
          <w:pPr>
            <w:pStyle w:val="Footer"/>
          </w:pPr>
        </w:p>
      </w:tc>
      <w:tc>
        <w:tcPr>
          <w:tcW w:w="4654" w:type="dxa"/>
          <w:tcBorders>
            <w:top w:val="single" w:sz="4" w:space="0" w:color="auto"/>
          </w:tcBorders>
        </w:tcPr>
        <w:p w14:paraId="5CC87C95" w14:textId="77777777" w:rsidR="00877B13" w:rsidRDefault="00877B13" w:rsidP="0070372C">
          <w:pPr>
            <w:pStyle w:val="PageNo"/>
          </w:pPr>
        </w:p>
      </w:tc>
      <w:tc>
        <w:tcPr>
          <w:tcW w:w="5521" w:type="dxa"/>
          <w:tcBorders>
            <w:top w:val="single" w:sz="4" w:space="0" w:color="auto"/>
          </w:tcBorders>
          <w:vAlign w:val="bottom"/>
        </w:tcPr>
        <w:p w14:paraId="126042F6" w14:textId="77777777" w:rsidR="00877B13" w:rsidRDefault="00877B13" w:rsidP="0070372C">
          <w:pPr>
            <w:pStyle w:val="PageNo"/>
          </w:pPr>
        </w:p>
      </w:tc>
    </w:tr>
    <w:tr w:rsidR="00877B13" w14:paraId="59831C5F" w14:textId="77777777" w:rsidTr="0070372C">
      <w:sdt>
        <w:sdtPr>
          <w:alias w:val="Form.DocLang.Logo_horizontal"/>
          <w:tag w:val="{&quot;templafy&quot;:{&quot;id&quot;:&quot;56f27077-8255-46cb-8038-a9ca3d51227a&quot;}}"/>
          <w:id w:val="-1130704589"/>
          <w:picture/>
        </w:sdtPr>
        <w:sdtContent>
          <w:tc>
            <w:tcPr>
              <w:tcW w:w="4855" w:type="dxa"/>
              <w:vAlign w:val="bottom"/>
            </w:tcPr>
            <w:p w14:paraId="1737CB7A" w14:textId="77777777" w:rsidR="00877B13" w:rsidRDefault="00877B13" w:rsidP="0070372C">
              <w:pPr>
                <w:pStyle w:val="Footer"/>
              </w:pPr>
              <w:r>
                <w:rPr>
                  <w:noProof/>
                </w:rPr>
                <w:drawing>
                  <wp:inline distT="0" distB="0" distL="0" distR="0" wp14:anchorId="5DB7C0E6" wp14:editId="6D7029F8">
                    <wp:extent cx="1620259" cy="15228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711164979" name="Picture 4"/>
                            <pic:cNvPicPr/>
                          </pic:nvPicPr>
                          <pic:blipFill>
                            <a:blip r:embed="rId1"/>
                            <a:srcRect/>
                            <a:stretch/>
                          </pic:blipFill>
                          <pic:spPr>
                            <a:xfrm>
                              <a:off x="0" y="0"/>
                              <a:ext cx="1620259" cy="152280"/>
                            </a:xfrm>
                            <a:prstGeom prst="rect">
                              <a:avLst/>
                            </a:prstGeom>
                          </pic:spPr>
                        </pic:pic>
                      </a:graphicData>
                    </a:graphic>
                  </wp:inline>
                </w:drawing>
              </w:r>
            </w:p>
          </w:tc>
        </w:sdtContent>
      </w:sdt>
      <w:tc>
        <w:tcPr>
          <w:tcW w:w="4654" w:type="dxa"/>
          <w:vAlign w:val="center"/>
        </w:tcPr>
        <w:p w14:paraId="5285B5C6" w14:textId="77777777" w:rsidR="00877B13" w:rsidRDefault="00877B13" w:rsidP="0070372C">
          <w:pPr>
            <w:pStyle w:val="PageNo"/>
            <w:jc w:val="center"/>
          </w:pPr>
          <w:r>
            <w:t>Full Review Form</w:t>
          </w:r>
        </w:p>
      </w:tc>
      <w:tc>
        <w:tcPr>
          <w:tcW w:w="5521" w:type="dxa"/>
          <w:vAlign w:val="bottom"/>
        </w:tcPr>
        <w:p w14:paraId="6E9B5E72" w14:textId="77777777" w:rsidR="00877B13" w:rsidRDefault="00877B13" w:rsidP="0070372C">
          <w:pPr>
            <w:pStyle w:val="PageNo"/>
          </w:pPr>
          <w:r>
            <w:t xml:space="preserve">Page </w:t>
          </w:r>
          <w:r>
            <w:fldChar w:fldCharType="begin"/>
          </w:r>
          <w:r>
            <w:instrText xml:space="preserve"> PAGE  \* Arabic  \* MERGEFORMAT </w:instrText>
          </w:r>
          <w:r>
            <w:fldChar w:fldCharType="separate"/>
          </w:r>
          <w:r>
            <w:t>10</w:t>
          </w:r>
          <w:r>
            <w:fldChar w:fldCharType="end"/>
          </w:r>
          <w:r>
            <w:t xml:space="preserve"> of </w:t>
          </w:r>
          <w:fldSimple w:instr="NUMPAGES  \* Arabic  \* MERGEFORMAT">
            <w:r>
              <w:t>10</w:t>
            </w:r>
          </w:fldSimple>
        </w:p>
      </w:tc>
    </w:tr>
    <w:tr w:rsidR="00877B13" w14:paraId="4ECE5C4C" w14:textId="77777777" w:rsidTr="0070372C">
      <w:trPr>
        <w:trHeight w:val="454"/>
      </w:trPr>
      <w:tc>
        <w:tcPr>
          <w:tcW w:w="4855" w:type="dxa"/>
          <w:vAlign w:val="bottom"/>
        </w:tcPr>
        <w:p w14:paraId="15E44427" w14:textId="77777777" w:rsidR="00877B13" w:rsidRDefault="00877B13" w:rsidP="0070372C">
          <w:pPr>
            <w:pStyle w:val="Footer"/>
          </w:pPr>
        </w:p>
      </w:tc>
      <w:tc>
        <w:tcPr>
          <w:tcW w:w="4654" w:type="dxa"/>
          <w:vAlign w:val="bottom"/>
        </w:tcPr>
        <w:p w14:paraId="71174543" w14:textId="77777777" w:rsidR="00877B13" w:rsidRDefault="00877B13" w:rsidP="0070372C">
          <w:pPr>
            <w:pStyle w:val="PageNo"/>
          </w:pPr>
        </w:p>
      </w:tc>
      <w:tc>
        <w:tcPr>
          <w:tcW w:w="5521" w:type="dxa"/>
          <w:vAlign w:val="bottom"/>
        </w:tcPr>
        <w:p w14:paraId="24C904EA" w14:textId="77777777" w:rsidR="00877B13" w:rsidRDefault="00877B13" w:rsidP="0070372C">
          <w:pPr>
            <w:pStyle w:val="PageNo"/>
          </w:pPr>
        </w:p>
      </w:tc>
    </w:tr>
  </w:tbl>
  <w:p w14:paraId="6439CE53" w14:textId="77777777" w:rsidR="002B6850" w:rsidRDefault="002B6850" w:rsidP="00877B1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
      <w:tblpPr w:leftFromText="181" w:rightFromText="181" w:vertAnchor="page" w:horzAnchor="page" w:tblpX="876" w:tblpY="15140"/>
      <w:tblOverlap w:val="never"/>
      <w:tblW w:w="10170" w:type="dxa"/>
      <w:tblLook w:val="04A0" w:firstRow="1" w:lastRow="0" w:firstColumn="1" w:lastColumn="0" w:noHBand="0" w:noVBand="1"/>
    </w:tblPr>
    <w:tblGrid>
      <w:gridCol w:w="3200"/>
      <w:gridCol w:w="3067"/>
      <w:gridCol w:w="3903"/>
    </w:tblGrid>
    <w:tr w:rsidR="008F7ADC" w14:paraId="0FA13694" w14:textId="77777777" w:rsidTr="00572306">
      <w:trPr>
        <w:trHeight w:val="325"/>
      </w:trPr>
      <w:tc>
        <w:tcPr>
          <w:tcW w:w="3200" w:type="dxa"/>
          <w:tcBorders>
            <w:top w:val="single" w:sz="4" w:space="0" w:color="auto"/>
          </w:tcBorders>
        </w:tcPr>
        <w:p w14:paraId="2592319D" w14:textId="77777777" w:rsidR="008F7ADC" w:rsidRDefault="008F7ADC" w:rsidP="008F7ADC">
          <w:pPr>
            <w:pStyle w:val="Footer"/>
            <w:ind w:left="-284"/>
          </w:pPr>
        </w:p>
      </w:tc>
      <w:tc>
        <w:tcPr>
          <w:tcW w:w="3067" w:type="dxa"/>
          <w:tcBorders>
            <w:top w:val="single" w:sz="4" w:space="0" w:color="auto"/>
          </w:tcBorders>
        </w:tcPr>
        <w:p w14:paraId="74861093" w14:textId="77777777" w:rsidR="008F7ADC" w:rsidRDefault="008F7ADC" w:rsidP="008F7ADC">
          <w:pPr>
            <w:pStyle w:val="PageNo"/>
          </w:pPr>
        </w:p>
      </w:tc>
      <w:tc>
        <w:tcPr>
          <w:tcW w:w="3903" w:type="dxa"/>
          <w:tcBorders>
            <w:top w:val="single" w:sz="4" w:space="0" w:color="auto"/>
          </w:tcBorders>
          <w:vAlign w:val="bottom"/>
        </w:tcPr>
        <w:p w14:paraId="5636CE9D" w14:textId="77777777" w:rsidR="008F7ADC" w:rsidRDefault="008F7ADC" w:rsidP="008F7ADC">
          <w:pPr>
            <w:pStyle w:val="PageNo"/>
          </w:pPr>
        </w:p>
      </w:tc>
    </w:tr>
    <w:tr w:rsidR="008F7ADC" w14:paraId="448F36C1" w14:textId="77777777" w:rsidTr="00572306">
      <w:trPr>
        <w:trHeight w:val="325"/>
      </w:trPr>
      <w:tc>
        <w:tcPr>
          <w:tcW w:w="3200" w:type="dxa"/>
          <w:vAlign w:val="bottom"/>
        </w:tcPr>
        <w:p w14:paraId="36B78191" w14:textId="77777777" w:rsidR="008F7ADC" w:rsidRDefault="008F7ADC" w:rsidP="008F7ADC">
          <w:pPr>
            <w:pStyle w:val="Footer"/>
          </w:pPr>
        </w:p>
        <w:p w14:paraId="38F25B30" w14:textId="77777777" w:rsidR="008F7ADC" w:rsidRDefault="008F7ADC" w:rsidP="008F7ADC">
          <w:pPr>
            <w:pStyle w:val="Footer"/>
          </w:pPr>
          <w:r>
            <w:rPr>
              <w:noProof/>
            </w:rPr>
            <w:drawing>
              <wp:inline distT="0" distB="0" distL="0" distR="0" wp14:anchorId="70980A9A" wp14:editId="13DBB879">
                <wp:extent cx="1620259" cy="152280"/>
                <wp:effectExtent l="0" t="0" r="0" b="0"/>
                <wp:docPr id="7" name="Picture 4"/>
                <wp:cNvGraphicFramePr/>
                <a:graphic xmlns:a="http://schemas.openxmlformats.org/drawingml/2006/main">
                  <a:graphicData uri="http://schemas.openxmlformats.org/drawingml/2006/picture">
                    <pic:pic xmlns:pic="http://schemas.openxmlformats.org/drawingml/2006/picture">
                      <pic:nvPicPr>
                        <pic:cNvPr id="1711164979" name="Picture 4"/>
                        <pic:cNvPicPr/>
                      </pic:nvPicPr>
                      <pic:blipFill>
                        <a:blip r:embed="rId1"/>
                        <a:srcRect/>
                        <a:stretch/>
                      </pic:blipFill>
                      <pic:spPr>
                        <a:xfrm>
                          <a:off x="0" y="0"/>
                          <a:ext cx="1620259" cy="152280"/>
                        </a:xfrm>
                        <a:prstGeom prst="rect">
                          <a:avLst/>
                        </a:prstGeom>
                      </pic:spPr>
                    </pic:pic>
                  </a:graphicData>
                </a:graphic>
              </wp:inline>
            </w:drawing>
          </w:r>
        </w:p>
      </w:tc>
      <w:tc>
        <w:tcPr>
          <w:tcW w:w="3067" w:type="dxa"/>
          <w:vAlign w:val="bottom"/>
        </w:tcPr>
        <w:p w14:paraId="44A10D2A" w14:textId="77777777" w:rsidR="008F7ADC" w:rsidRDefault="008F7ADC" w:rsidP="008F7ADC">
          <w:pPr>
            <w:pStyle w:val="PageNo"/>
          </w:pPr>
        </w:p>
      </w:tc>
      <w:tc>
        <w:tcPr>
          <w:tcW w:w="3903" w:type="dxa"/>
          <w:vAlign w:val="bottom"/>
        </w:tcPr>
        <w:p w14:paraId="7182DE18" w14:textId="77777777" w:rsidR="008F7ADC" w:rsidRDefault="008F7ADC" w:rsidP="008F7ADC">
          <w:pPr>
            <w:pStyle w:val="PageNo"/>
          </w:pPr>
          <w:r>
            <w:t xml:space="preserve">Page </w:t>
          </w:r>
          <w:r>
            <w:fldChar w:fldCharType="begin"/>
          </w:r>
          <w:r>
            <w:instrText xml:space="preserve"> PAGE  \* Arabic  \* MERGEFORMAT </w:instrText>
          </w:r>
          <w:r>
            <w:fldChar w:fldCharType="separate"/>
          </w:r>
          <w:r>
            <w:t>10</w:t>
          </w:r>
          <w:r>
            <w:fldChar w:fldCharType="end"/>
          </w:r>
          <w:r>
            <w:t xml:space="preserve"> of </w:t>
          </w:r>
          <w:fldSimple w:instr="NUMPAGES  \* Arabic  \* MERGEFORMAT">
            <w:r>
              <w:t>10</w:t>
            </w:r>
          </w:fldSimple>
        </w:p>
      </w:tc>
    </w:tr>
    <w:tr w:rsidR="008F7ADC" w14:paraId="2A82A245" w14:textId="77777777" w:rsidTr="00572306">
      <w:trPr>
        <w:trHeight w:val="589"/>
      </w:trPr>
      <w:tc>
        <w:tcPr>
          <w:tcW w:w="3200" w:type="dxa"/>
        </w:tcPr>
        <w:p w14:paraId="453463A7" w14:textId="77777777" w:rsidR="008F7ADC" w:rsidRDefault="008F7ADC" w:rsidP="008F7ADC">
          <w:pPr>
            <w:pStyle w:val="Footer"/>
          </w:pPr>
        </w:p>
        <w:p w14:paraId="05DFD9D5" w14:textId="14F953D8" w:rsidR="008F7ADC" w:rsidRDefault="00497FF5" w:rsidP="008F7ADC">
          <w:pPr>
            <w:pStyle w:val="Footer"/>
            <w:rPr>
              <w:noProof/>
            </w:rPr>
          </w:pPr>
          <w:r>
            <w:t>Full Review Form</w:t>
          </w:r>
          <w:r w:rsidR="0066412B">
            <w:br/>
            <w:t xml:space="preserve">Issue Date: </w:t>
          </w:r>
          <w:r w:rsidR="00927A97">
            <w:t>November</w:t>
          </w:r>
          <w:r w:rsidR="0066412B">
            <w:t xml:space="preserve"> 2022</w:t>
          </w:r>
        </w:p>
        <w:p w14:paraId="77B483E3" w14:textId="77777777" w:rsidR="008F7ADC" w:rsidRDefault="008F7ADC" w:rsidP="008F7ADC">
          <w:pPr>
            <w:pStyle w:val="Footer"/>
          </w:pPr>
        </w:p>
      </w:tc>
      <w:tc>
        <w:tcPr>
          <w:tcW w:w="3067" w:type="dxa"/>
          <w:vAlign w:val="bottom"/>
        </w:tcPr>
        <w:p w14:paraId="63348E8E" w14:textId="77777777" w:rsidR="008F7ADC" w:rsidRDefault="008F7ADC" w:rsidP="008F7ADC">
          <w:pPr>
            <w:pStyle w:val="PageNo"/>
          </w:pPr>
        </w:p>
      </w:tc>
      <w:tc>
        <w:tcPr>
          <w:tcW w:w="3903" w:type="dxa"/>
          <w:vAlign w:val="bottom"/>
        </w:tcPr>
        <w:p w14:paraId="724DB76C" w14:textId="77777777" w:rsidR="008F7ADC" w:rsidRDefault="008F7ADC" w:rsidP="008F7ADC">
          <w:pPr>
            <w:pStyle w:val="PageNo"/>
          </w:pPr>
        </w:p>
      </w:tc>
    </w:tr>
  </w:tbl>
  <w:p w14:paraId="566ADA03" w14:textId="77777777" w:rsidR="001C7C2F" w:rsidRDefault="001C7C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
      <w:tblpPr w:leftFromText="187" w:rightFromText="187" w:vertAnchor="page" w:horzAnchor="page" w:tblpX="937" w:tblpY="15135"/>
      <w:tblOverlap w:val="never"/>
      <w:tblW w:w="15030" w:type="dxa"/>
      <w:tblLook w:val="04A0" w:firstRow="1" w:lastRow="0" w:firstColumn="1" w:lastColumn="0" w:noHBand="0" w:noVBand="1"/>
    </w:tblPr>
    <w:tblGrid>
      <w:gridCol w:w="4855"/>
      <w:gridCol w:w="4654"/>
      <w:gridCol w:w="5521"/>
    </w:tblGrid>
    <w:tr w:rsidR="0066412B" w14:paraId="0BDF7B76" w14:textId="77777777" w:rsidTr="00EF5C2D">
      <w:tc>
        <w:tcPr>
          <w:tcW w:w="4855" w:type="dxa"/>
          <w:tcBorders>
            <w:top w:val="single" w:sz="4" w:space="0" w:color="auto"/>
          </w:tcBorders>
        </w:tcPr>
        <w:p w14:paraId="2AB133EA" w14:textId="77777777" w:rsidR="0066412B" w:rsidRDefault="0066412B" w:rsidP="00EF5C2D">
          <w:pPr>
            <w:pStyle w:val="Footer"/>
          </w:pPr>
        </w:p>
      </w:tc>
      <w:tc>
        <w:tcPr>
          <w:tcW w:w="4654" w:type="dxa"/>
          <w:tcBorders>
            <w:top w:val="single" w:sz="4" w:space="0" w:color="auto"/>
          </w:tcBorders>
        </w:tcPr>
        <w:p w14:paraId="6B2154EC" w14:textId="77777777" w:rsidR="0066412B" w:rsidRDefault="0066412B" w:rsidP="00EF5C2D">
          <w:pPr>
            <w:pStyle w:val="PageNo"/>
          </w:pPr>
        </w:p>
      </w:tc>
      <w:tc>
        <w:tcPr>
          <w:tcW w:w="5521" w:type="dxa"/>
          <w:tcBorders>
            <w:top w:val="single" w:sz="4" w:space="0" w:color="auto"/>
          </w:tcBorders>
          <w:vAlign w:val="bottom"/>
        </w:tcPr>
        <w:p w14:paraId="78C3D56C" w14:textId="77777777" w:rsidR="0066412B" w:rsidRDefault="0066412B" w:rsidP="00EF5C2D">
          <w:pPr>
            <w:pStyle w:val="PageNo"/>
          </w:pPr>
        </w:p>
      </w:tc>
    </w:tr>
    <w:tr w:rsidR="0066412B" w14:paraId="4E570B05" w14:textId="77777777" w:rsidTr="00EF5C2D">
      <w:sdt>
        <w:sdtPr>
          <w:alias w:val="Form.DocLang.Logo_horizontal"/>
          <w:tag w:val="{&quot;templafy&quot;:{&quot;id&quot;:&quot;56f27077-8255-46cb-8038-a9ca3d51227a&quot;}}"/>
          <w:id w:val="-1220824970"/>
          <w:picture/>
        </w:sdtPr>
        <w:sdtContent>
          <w:tc>
            <w:tcPr>
              <w:tcW w:w="4855" w:type="dxa"/>
              <w:vAlign w:val="bottom"/>
            </w:tcPr>
            <w:p w14:paraId="17900EA6" w14:textId="77777777" w:rsidR="0066412B" w:rsidRDefault="0066412B" w:rsidP="00EF5C2D">
              <w:pPr>
                <w:pStyle w:val="Footer"/>
              </w:pPr>
              <w:r>
                <w:rPr>
                  <w:noProof/>
                </w:rPr>
                <w:drawing>
                  <wp:inline distT="0" distB="0" distL="0" distR="0" wp14:anchorId="6D5F4FB2" wp14:editId="7C8155F9">
                    <wp:extent cx="1620259" cy="15228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711164979" name="Picture 4"/>
                            <pic:cNvPicPr/>
                          </pic:nvPicPr>
                          <pic:blipFill>
                            <a:blip r:embed="rId1"/>
                            <a:srcRect/>
                            <a:stretch/>
                          </pic:blipFill>
                          <pic:spPr>
                            <a:xfrm>
                              <a:off x="0" y="0"/>
                              <a:ext cx="1620259" cy="152280"/>
                            </a:xfrm>
                            <a:prstGeom prst="rect">
                              <a:avLst/>
                            </a:prstGeom>
                          </pic:spPr>
                        </pic:pic>
                      </a:graphicData>
                    </a:graphic>
                  </wp:inline>
                </w:drawing>
              </w:r>
            </w:p>
          </w:tc>
        </w:sdtContent>
      </w:sdt>
      <w:tc>
        <w:tcPr>
          <w:tcW w:w="4654" w:type="dxa"/>
          <w:vAlign w:val="center"/>
        </w:tcPr>
        <w:p w14:paraId="0C8EB34D" w14:textId="62B01D21" w:rsidR="0066412B" w:rsidRDefault="0066412B" w:rsidP="00EF5C2D">
          <w:pPr>
            <w:pStyle w:val="PageNo"/>
            <w:jc w:val="center"/>
          </w:pPr>
          <w:r>
            <w:t>Full Review Form</w:t>
          </w:r>
        </w:p>
      </w:tc>
      <w:tc>
        <w:tcPr>
          <w:tcW w:w="5521" w:type="dxa"/>
          <w:vAlign w:val="bottom"/>
        </w:tcPr>
        <w:p w14:paraId="59813EE7" w14:textId="77777777" w:rsidR="0066412B" w:rsidRDefault="0066412B" w:rsidP="00EF5C2D">
          <w:pPr>
            <w:pStyle w:val="PageNo"/>
          </w:pPr>
          <w:r>
            <w:t xml:space="preserve">Page </w:t>
          </w:r>
          <w:r>
            <w:fldChar w:fldCharType="begin"/>
          </w:r>
          <w:r>
            <w:instrText xml:space="preserve"> PAGE  \* Arabic  \* MERGEFORMAT </w:instrText>
          </w:r>
          <w:r>
            <w:fldChar w:fldCharType="separate"/>
          </w:r>
          <w:r>
            <w:t>10</w:t>
          </w:r>
          <w:r>
            <w:fldChar w:fldCharType="end"/>
          </w:r>
          <w:r>
            <w:t xml:space="preserve"> of </w:t>
          </w:r>
          <w:fldSimple w:instr="NUMPAGES  \* Arabic  \* MERGEFORMAT">
            <w:r>
              <w:t>10</w:t>
            </w:r>
          </w:fldSimple>
        </w:p>
      </w:tc>
    </w:tr>
    <w:tr w:rsidR="0066412B" w14:paraId="73ED3035" w14:textId="77777777" w:rsidTr="00EF5C2D">
      <w:trPr>
        <w:trHeight w:val="454"/>
      </w:trPr>
      <w:tc>
        <w:tcPr>
          <w:tcW w:w="4855" w:type="dxa"/>
          <w:vAlign w:val="bottom"/>
        </w:tcPr>
        <w:p w14:paraId="7C4E9641" w14:textId="77777777" w:rsidR="0066412B" w:rsidRDefault="0066412B" w:rsidP="00EF5C2D">
          <w:pPr>
            <w:pStyle w:val="Footer"/>
          </w:pPr>
        </w:p>
      </w:tc>
      <w:tc>
        <w:tcPr>
          <w:tcW w:w="4654" w:type="dxa"/>
          <w:vAlign w:val="bottom"/>
        </w:tcPr>
        <w:p w14:paraId="6DE73AD7" w14:textId="77777777" w:rsidR="0066412B" w:rsidRDefault="0066412B" w:rsidP="00EF5C2D">
          <w:pPr>
            <w:pStyle w:val="PageNo"/>
          </w:pPr>
        </w:p>
      </w:tc>
      <w:tc>
        <w:tcPr>
          <w:tcW w:w="5521" w:type="dxa"/>
          <w:vAlign w:val="bottom"/>
        </w:tcPr>
        <w:p w14:paraId="5AC9346D" w14:textId="77777777" w:rsidR="0066412B" w:rsidRDefault="0066412B" w:rsidP="00EF5C2D">
          <w:pPr>
            <w:pStyle w:val="PageNo"/>
          </w:pPr>
        </w:p>
      </w:tc>
    </w:tr>
  </w:tbl>
  <w:p w14:paraId="27134AC2" w14:textId="77777777" w:rsidR="00C65C1D" w:rsidRDefault="00C65C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
      <w:tblpPr w:leftFromText="181" w:rightFromText="181" w:vertAnchor="page" w:horzAnchor="page" w:tblpX="876" w:tblpY="15140"/>
      <w:tblOverlap w:val="never"/>
      <w:tblW w:w="10170" w:type="dxa"/>
      <w:tblLook w:val="04A0" w:firstRow="1" w:lastRow="0" w:firstColumn="1" w:lastColumn="0" w:noHBand="0" w:noVBand="1"/>
    </w:tblPr>
    <w:tblGrid>
      <w:gridCol w:w="3200"/>
      <w:gridCol w:w="3067"/>
      <w:gridCol w:w="3903"/>
    </w:tblGrid>
    <w:tr w:rsidR="00877B13" w14:paraId="503DA026" w14:textId="77777777" w:rsidTr="00572306">
      <w:trPr>
        <w:trHeight w:val="325"/>
      </w:trPr>
      <w:tc>
        <w:tcPr>
          <w:tcW w:w="3200" w:type="dxa"/>
          <w:tcBorders>
            <w:top w:val="single" w:sz="4" w:space="0" w:color="auto"/>
          </w:tcBorders>
        </w:tcPr>
        <w:p w14:paraId="7916DFE8" w14:textId="77777777" w:rsidR="00877B13" w:rsidRDefault="00877B13" w:rsidP="00877B13">
          <w:pPr>
            <w:pStyle w:val="Footer"/>
            <w:ind w:left="-284"/>
          </w:pPr>
        </w:p>
      </w:tc>
      <w:tc>
        <w:tcPr>
          <w:tcW w:w="3067" w:type="dxa"/>
          <w:tcBorders>
            <w:top w:val="single" w:sz="4" w:space="0" w:color="auto"/>
          </w:tcBorders>
        </w:tcPr>
        <w:p w14:paraId="7D98CAED" w14:textId="77777777" w:rsidR="00877B13" w:rsidRDefault="00877B13" w:rsidP="00877B13">
          <w:pPr>
            <w:pStyle w:val="PageNo"/>
          </w:pPr>
        </w:p>
      </w:tc>
      <w:tc>
        <w:tcPr>
          <w:tcW w:w="3903" w:type="dxa"/>
          <w:tcBorders>
            <w:top w:val="single" w:sz="4" w:space="0" w:color="auto"/>
          </w:tcBorders>
          <w:vAlign w:val="bottom"/>
        </w:tcPr>
        <w:p w14:paraId="69ADEBD8" w14:textId="77777777" w:rsidR="00877B13" w:rsidRDefault="00877B13" w:rsidP="00877B13">
          <w:pPr>
            <w:pStyle w:val="PageNo"/>
          </w:pPr>
        </w:p>
      </w:tc>
    </w:tr>
    <w:tr w:rsidR="00877B13" w14:paraId="2753E42E" w14:textId="77777777" w:rsidTr="00572306">
      <w:trPr>
        <w:trHeight w:val="325"/>
      </w:trPr>
      <w:tc>
        <w:tcPr>
          <w:tcW w:w="3200" w:type="dxa"/>
          <w:vAlign w:val="bottom"/>
        </w:tcPr>
        <w:p w14:paraId="6735B41C" w14:textId="77777777" w:rsidR="00877B13" w:rsidRDefault="00877B13" w:rsidP="00877B13">
          <w:pPr>
            <w:pStyle w:val="Footer"/>
          </w:pPr>
        </w:p>
        <w:p w14:paraId="124B7C01" w14:textId="77777777" w:rsidR="00877B13" w:rsidRDefault="00877B13" w:rsidP="00877B13">
          <w:pPr>
            <w:pStyle w:val="Footer"/>
          </w:pPr>
          <w:r>
            <w:rPr>
              <w:noProof/>
            </w:rPr>
            <w:drawing>
              <wp:inline distT="0" distB="0" distL="0" distR="0" wp14:anchorId="65EB2320" wp14:editId="08AF7246">
                <wp:extent cx="1620259" cy="152280"/>
                <wp:effectExtent l="0" t="0" r="0" b="0"/>
                <wp:docPr id="12" name="Picture 4"/>
                <wp:cNvGraphicFramePr/>
                <a:graphic xmlns:a="http://schemas.openxmlformats.org/drawingml/2006/main">
                  <a:graphicData uri="http://schemas.openxmlformats.org/drawingml/2006/picture">
                    <pic:pic xmlns:pic="http://schemas.openxmlformats.org/drawingml/2006/picture">
                      <pic:nvPicPr>
                        <pic:cNvPr id="1711164979" name="Picture 4"/>
                        <pic:cNvPicPr/>
                      </pic:nvPicPr>
                      <pic:blipFill>
                        <a:blip r:embed="rId1"/>
                        <a:srcRect/>
                        <a:stretch/>
                      </pic:blipFill>
                      <pic:spPr>
                        <a:xfrm>
                          <a:off x="0" y="0"/>
                          <a:ext cx="1620259" cy="152280"/>
                        </a:xfrm>
                        <a:prstGeom prst="rect">
                          <a:avLst/>
                        </a:prstGeom>
                      </pic:spPr>
                    </pic:pic>
                  </a:graphicData>
                </a:graphic>
              </wp:inline>
            </w:drawing>
          </w:r>
        </w:p>
      </w:tc>
      <w:tc>
        <w:tcPr>
          <w:tcW w:w="3067" w:type="dxa"/>
          <w:vAlign w:val="bottom"/>
        </w:tcPr>
        <w:p w14:paraId="74E0E011" w14:textId="77777777" w:rsidR="00877B13" w:rsidRDefault="00877B13" w:rsidP="00877B13">
          <w:pPr>
            <w:pStyle w:val="PageNo"/>
          </w:pPr>
        </w:p>
      </w:tc>
      <w:tc>
        <w:tcPr>
          <w:tcW w:w="3903" w:type="dxa"/>
          <w:vAlign w:val="bottom"/>
        </w:tcPr>
        <w:p w14:paraId="7200E4BC" w14:textId="77777777" w:rsidR="00877B13" w:rsidRDefault="00877B13" w:rsidP="00877B13">
          <w:pPr>
            <w:pStyle w:val="PageNo"/>
          </w:pPr>
          <w:r>
            <w:t xml:space="preserve">Page </w:t>
          </w:r>
          <w:r>
            <w:fldChar w:fldCharType="begin"/>
          </w:r>
          <w:r>
            <w:instrText xml:space="preserve"> PAGE  \* Arabic  \* MERGEFORMAT </w:instrText>
          </w:r>
          <w:r>
            <w:fldChar w:fldCharType="separate"/>
          </w:r>
          <w:r>
            <w:t>10</w:t>
          </w:r>
          <w:r>
            <w:fldChar w:fldCharType="end"/>
          </w:r>
          <w:r>
            <w:t xml:space="preserve"> of </w:t>
          </w:r>
          <w:fldSimple w:instr="NUMPAGES  \* Arabic  \* MERGEFORMAT">
            <w:r>
              <w:t>10</w:t>
            </w:r>
          </w:fldSimple>
        </w:p>
      </w:tc>
    </w:tr>
    <w:tr w:rsidR="00877B13" w14:paraId="11B19D45" w14:textId="77777777" w:rsidTr="00572306">
      <w:trPr>
        <w:trHeight w:val="589"/>
      </w:trPr>
      <w:tc>
        <w:tcPr>
          <w:tcW w:w="3200" w:type="dxa"/>
        </w:tcPr>
        <w:p w14:paraId="58657121" w14:textId="77777777" w:rsidR="00877B13" w:rsidRDefault="00877B13" w:rsidP="00877B13">
          <w:pPr>
            <w:pStyle w:val="Footer"/>
          </w:pPr>
        </w:p>
        <w:p w14:paraId="46B1F693" w14:textId="77777777" w:rsidR="00877B13" w:rsidRDefault="00877B13" w:rsidP="00877B13">
          <w:pPr>
            <w:pStyle w:val="Footer"/>
            <w:rPr>
              <w:noProof/>
            </w:rPr>
          </w:pPr>
          <w:r>
            <w:t>Full Review Form</w:t>
          </w:r>
        </w:p>
        <w:p w14:paraId="344D3B59" w14:textId="77777777" w:rsidR="00877B13" w:rsidRDefault="00877B13" w:rsidP="00877B13">
          <w:pPr>
            <w:pStyle w:val="Footer"/>
          </w:pPr>
        </w:p>
      </w:tc>
      <w:tc>
        <w:tcPr>
          <w:tcW w:w="3067" w:type="dxa"/>
          <w:vAlign w:val="bottom"/>
        </w:tcPr>
        <w:p w14:paraId="11EA85EC" w14:textId="77777777" w:rsidR="00877B13" w:rsidRDefault="00877B13" w:rsidP="00877B13">
          <w:pPr>
            <w:pStyle w:val="PageNo"/>
          </w:pPr>
        </w:p>
      </w:tc>
      <w:tc>
        <w:tcPr>
          <w:tcW w:w="3903" w:type="dxa"/>
          <w:vAlign w:val="bottom"/>
        </w:tcPr>
        <w:p w14:paraId="6D20783D" w14:textId="77777777" w:rsidR="00877B13" w:rsidRDefault="00877B13" w:rsidP="00877B13">
          <w:pPr>
            <w:pStyle w:val="PageNo"/>
          </w:pPr>
        </w:p>
      </w:tc>
    </w:tr>
  </w:tbl>
  <w:p w14:paraId="098FBBB7" w14:textId="77777777" w:rsidR="00877B13" w:rsidRDefault="00877B13" w:rsidP="00877B13">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
      <w:tblpPr w:leftFromText="181" w:rightFromText="181" w:vertAnchor="page" w:horzAnchor="page" w:tblpX="876" w:tblpY="15140"/>
      <w:tblOverlap w:val="never"/>
      <w:tblW w:w="10170" w:type="dxa"/>
      <w:tblLook w:val="04A0" w:firstRow="1" w:lastRow="0" w:firstColumn="1" w:lastColumn="0" w:noHBand="0" w:noVBand="1"/>
    </w:tblPr>
    <w:tblGrid>
      <w:gridCol w:w="3200"/>
      <w:gridCol w:w="3067"/>
      <w:gridCol w:w="3903"/>
    </w:tblGrid>
    <w:tr w:rsidR="0066412B" w14:paraId="3ED8825A" w14:textId="77777777" w:rsidTr="00572306">
      <w:trPr>
        <w:trHeight w:val="325"/>
      </w:trPr>
      <w:tc>
        <w:tcPr>
          <w:tcW w:w="3200" w:type="dxa"/>
          <w:tcBorders>
            <w:top w:val="single" w:sz="4" w:space="0" w:color="auto"/>
          </w:tcBorders>
        </w:tcPr>
        <w:p w14:paraId="7EEA1DB1" w14:textId="77777777" w:rsidR="0066412B" w:rsidRDefault="0066412B" w:rsidP="0066412B">
          <w:pPr>
            <w:pStyle w:val="Footer"/>
            <w:ind w:left="-284"/>
          </w:pPr>
        </w:p>
      </w:tc>
      <w:tc>
        <w:tcPr>
          <w:tcW w:w="3067" w:type="dxa"/>
          <w:tcBorders>
            <w:top w:val="single" w:sz="4" w:space="0" w:color="auto"/>
          </w:tcBorders>
        </w:tcPr>
        <w:p w14:paraId="7682071C" w14:textId="77777777" w:rsidR="0066412B" w:rsidRDefault="0066412B" w:rsidP="0066412B">
          <w:pPr>
            <w:pStyle w:val="PageNo"/>
          </w:pPr>
        </w:p>
      </w:tc>
      <w:tc>
        <w:tcPr>
          <w:tcW w:w="3903" w:type="dxa"/>
          <w:tcBorders>
            <w:top w:val="single" w:sz="4" w:space="0" w:color="auto"/>
          </w:tcBorders>
          <w:vAlign w:val="bottom"/>
        </w:tcPr>
        <w:p w14:paraId="7557A817" w14:textId="77777777" w:rsidR="0066412B" w:rsidRDefault="0066412B" w:rsidP="0066412B">
          <w:pPr>
            <w:pStyle w:val="PageNo"/>
          </w:pPr>
        </w:p>
      </w:tc>
    </w:tr>
    <w:tr w:rsidR="0066412B" w14:paraId="12247509" w14:textId="77777777" w:rsidTr="00572306">
      <w:trPr>
        <w:trHeight w:val="325"/>
      </w:trPr>
      <w:tc>
        <w:tcPr>
          <w:tcW w:w="3200" w:type="dxa"/>
          <w:vAlign w:val="bottom"/>
        </w:tcPr>
        <w:p w14:paraId="130D8440" w14:textId="77777777" w:rsidR="0066412B" w:rsidRDefault="0066412B" w:rsidP="0066412B">
          <w:pPr>
            <w:pStyle w:val="Footer"/>
          </w:pPr>
        </w:p>
        <w:p w14:paraId="08973EA8" w14:textId="77777777" w:rsidR="0066412B" w:rsidRDefault="0066412B" w:rsidP="0066412B">
          <w:pPr>
            <w:pStyle w:val="Footer"/>
          </w:pPr>
          <w:r>
            <w:rPr>
              <w:noProof/>
            </w:rPr>
            <w:drawing>
              <wp:inline distT="0" distB="0" distL="0" distR="0" wp14:anchorId="00733A20" wp14:editId="5F8980EA">
                <wp:extent cx="1620259" cy="152280"/>
                <wp:effectExtent l="0" t="0" r="0" b="0"/>
                <wp:docPr id="5" name="Picture 4"/>
                <wp:cNvGraphicFramePr/>
                <a:graphic xmlns:a="http://schemas.openxmlformats.org/drawingml/2006/main">
                  <a:graphicData uri="http://schemas.openxmlformats.org/drawingml/2006/picture">
                    <pic:pic xmlns:pic="http://schemas.openxmlformats.org/drawingml/2006/picture">
                      <pic:nvPicPr>
                        <pic:cNvPr id="1711164979" name="Picture 4"/>
                        <pic:cNvPicPr/>
                      </pic:nvPicPr>
                      <pic:blipFill>
                        <a:blip r:embed="rId1"/>
                        <a:srcRect/>
                        <a:stretch/>
                      </pic:blipFill>
                      <pic:spPr>
                        <a:xfrm>
                          <a:off x="0" y="0"/>
                          <a:ext cx="1620259" cy="152280"/>
                        </a:xfrm>
                        <a:prstGeom prst="rect">
                          <a:avLst/>
                        </a:prstGeom>
                      </pic:spPr>
                    </pic:pic>
                  </a:graphicData>
                </a:graphic>
              </wp:inline>
            </w:drawing>
          </w:r>
        </w:p>
      </w:tc>
      <w:tc>
        <w:tcPr>
          <w:tcW w:w="3067" w:type="dxa"/>
          <w:vAlign w:val="bottom"/>
        </w:tcPr>
        <w:p w14:paraId="2D4B575F" w14:textId="77777777" w:rsidR="0066412B" w:rsidRDefault="0066412B" w:rsidP="0066412B">
          <w:pPr>
            <w:pStyle w:val="PageNo"/>
          </w:pPr>
        </w:p>
      </w:tc>
      <w:tc>
        <w:tcPr>
          <w:tcW w:w="3903" w:type="dxa"/>
          <w:vAlign w:val="bottom"/>
        </w:tcPr>
        <w:p w14:paraId="3E63B506" w14:textId="77777777" w:rsidR="0066412B" w:rsidRDefault="0066412B" w:rsidP="0066412B">
          <w:pPr>
            <w:pStyle w:val="PageNo"/>
          </w:pPr>
          <w:r>
            <w:t xml:space="preserve">Page </w:t>
          </w:r>
          <w:r>
            <w:fldChar w:fldCharType="begin"/>
          </w:r>
          <w:r>
            <w:instrText xml:space="preserve"> PAGE  \* Arabic  \* MERGEFORMAT </w:instrText>
          </w:r>
          <w:r>
            <w:fldChar w:fldCharType="separate"/>
          </w:r>
          <w:r>
            <w:t>10</w:t>
          </w:r>
          <w:r>
            <w:fldChar w:fldCharType="end"/>
          </w:r>
          <w:r>
            <w:t xml:space="preserve"> of </w:t>
          </w:r>
          <w:fldSimple w:instr="NUMPAGES  \* Arabic  \* MERGEFORMAT">
            <w:r>
              <w:t>10</w:t>
            </w:r>
          </w:fldSimple>
        </w:p>
      </w:tc>
    </w:tr>
    <w:tr w:rsidR="0066412B" w14:paraId="30D89906" w14:textId="77777777" w:rsidTr="00572306">
      <w:trPr>
        <w:trHeight w:val="589"/>
      </w:trPr>
      <w:tc>
        <w:tcPr>
          <w:tcW w:w="3200" w:type="dxa"/>
        </w:tcPr>
        <w:p w14:paraId="1BAA832F" w14:textId="77777777" w:rsidR="0066412B" w:rsidRDefault="0066412B" w:rsidP="0066412B">
          <w:pPr>
            <w:pStyle w:val="Footer"/>
          </w:pPr>
        </w:p>
        <w:p w14:paraId="77775C4A" w14:textId="77777777" w:rsidR="0066412B" w:rsidRDefault="0066412B" w:rsidP="0066412B">
          <w:pPr>
            <w:pStyle w:val="Footer"/>
            <w:rPr>
              <w:noProof/>
            </w:rPr>
          </w:pPr>
          <w:r>
            <w:t>Full Review Form</w:t>
          </w:r>
        </w:p>
        <w:p w14:paraId="391C8842" w14:textId="77777777" w:rsidR="0066412B" w:rsidRDefault="0066412B" w:rsidP="0066412B">
          <w:pPr>
            <w:pStyle w:val="Footer"/>
          </w:pPr>
        </w:p>
      </w:tc>
      <w:tc>
        <w:tcPr>
          <w:tcW w:w="3067" w:type="dxa"/>
          <w:vAlign w:val="bottom"/>
        </w:tcPr>
        <w:p w14:paraId="16A40BBE" w14:textId="77777777" w:rsidR="0066412B" w:rsidRDefault="0066412B" w:rsidP="0066412B">
          <w:pPr>
            <w:pStyle w:val="PageNo"/>
          </w:pPr>
        </w:p>
      </w:tc>
      <w:tc>
        <w:tcPr>
          <w:tcW w:w="3903" w:type="dxa"/>
          <w:vAlign w:val="bottom"/>
        </w:tcPr>
        <w:p w14:paraId="2E63419B" w14:textId="77777777" w:rsidR="0066412B" w:rsidRDefault="0066412B" w:rsidP="0066412B">
          <w:pPr>
            <w:pStyle w:val="PageNo"/>
          </w:pPr>
        </w:p>
      </w:tc>
    </w:tr>
  </w:tbl>
  <w:p w14:paraId="70B4AEDB" w14:textId="77777777" w:rsidR="002B1F1A" w:rsidRDefault="002B1F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64F05" w14:textId="77777777" w:rsidR="004B0367" w:rsidRDefault="004B0367" w:rsidP="00861A9E">
      <w:pPr>
        <w:spacing w:after="0" w:line="240" w:lineRule="auto"/>
      </w:pPr>
      <w:r>
        <w:separator/>
      </w:r>
    </w:p>
  </w:footnote>
  <w:footnote w:type="continuationSeparator" w:id="0">
    <w:p w14:paraId="654162B8" w14:textId="77777777" w:rsidR="004B0367" w:rsidRDefault="004B0367" w:rsidP="00861A9E">
      <w:pPr>
        <w:spacing w:after="0" w:line="240" w:lineRule="auto"/>
      </w:pPr>
      <w:r>
        <w:continuationSeparator/>
      </w:r>
    </w:p>
  </w:footnote>
  <w:footnote w:type="continuationNotice" w:id="1">
    <w:p w14:paraId="60488E4F" w14:textId="77777777" w:rsidR="004B0367" w:rsidRDefault="004B0367">
      <w:pPr>
        <w:spacing w:after="0" w:line="240" w:lineRule="auto"/>
      </w:pPr>
    </w:p>
  </w:footnote>
  <w:footnote w:id="2">
    <w:p w14:paraId="1826CAFD" w14:textId="77777777" w:rsidR="008B729A" w:rsidRPr="00350155" w:rsidRDefault="008B729A" w:rsidP="008B729A">
      <w:pPr>
        <w:pStyle w:val="pf0"/>
        <w:rPr>
          <w:rFonts w:asciiTheme="minorHAnsi" w:hAnsiTheme="minorHAnsi" w:cstheme="minorHAnsi"/>
          <w:sz w:val="18"/>
          <w:szCs w:val="18"/>
        </w:rPr>
      </w:pPr>
      <w:r w:rsidRPr="00350155">
        <w:rPr>
          <w:rStyle w:val="FootnoteReference"/>
          <w:rFonts w:asciiTheme="minorHAnsi" w:hAnsiTheme="minorHAnsi" w:cstheme="minorHAnsi"/>
          <w:sz w:val="18"/>
          <w:szCs w:val="18"/>
        </w:rPr>
        <w:footnoteRef/>
      </w:r>
      <w:r w:rsidRPr="00350155">
        <w:rPr>
          <w:rFonts w:asciiTheme="minorHAnsi" w:hAnsiTheme="minorHAnsi" w:cstheme="minorHAnsi"/>
          <w:sz w:val="18"/>
          <w:szCs w:val="18"/>
          <w:lang w:val="pt-BR"/>
        </w:rPr>
        <w:t xml:space="preserve"> </w:t>
      </w:r>
      <w:r w:rsidRPr="00350155">
        <w:rPr>
          <w:rStyle w:val="cf01"/>
          <w:rFonts w:asciiTheme="minorHAnsi" w:hAnsiTheme="minorHAnsi" w:cstheme="minorHAnsi"/>
          <w:lang w:val="pt-BR"/>
        </w:rPr>
        <w:t xml:space="preserve">Afai, G., Rossetto, E.V., Baltazar, C.S. </w:t>
      </w:r>
      <w:r w:rsidRPr="00350155">
        <w:rPr>
          <w:rStyle w:val="cf11"/>
          <w:rFonts w:asciiTheme="minorHAnsi" w:eastAsiaTheme="majorEastAsia" w:hAnsiTheme="minorHAnsi" w:cstheme="minorHAnsi"/>
          <w:lang w:val="pt-BR"/>
        </w:rPr>
        <w:t>et al.</w:t>
      </w:r>
      <w:r w:rsidRPr="00350155">
        <w:rPr>
          <w:rStyle w:val="cf01"/>
          <w:rFonts w:asciiTheme="minorHAnsi" w:hAnsiTheme="minorHAnsi" w:cstheme="minorHAnsi"/>
          <w:lang w:val="pt-BR"/>
        </w:rPr>
        <w:t xml:space="preserve"> </w:t>
      </w:r>
      <w:r w:rsidRPr="00350155">
        <w:rPr>
          <w:rStyle w:val="cf01"/>
          <w:rFonts w:asciiTheme="minorHAnsi" w:hAnsiTheme="minorHAnsi" w:cstheme="minorHAnsi"/>
        </w:rPr>
        <w:t xml:space="preserve">Factors associated with knowledge about malaria prevention among women of reproductive age, Tete Province, Mozambique, 2019–2020. </w:t>
      </w:r>
      <w:r w:rsidRPr="00350155">
        <w:rPr>
          <w:rStyle w:val="cf11"/>
          <w:rFonts w:asciiTheme="minorHAnsi" w:eastAsiaTheme="majorEastAsia" w:hAnsiTheme="minorHAnsi" w:cstheme="minorHAnsi"/>
        </w:rPr>
        <w:t>Malar J</w:t>
      </w:r>
      <w:r w:rsidRPr="00350155">
        <w:rPr>
          <w:rStyle w:val="cf01"/>
          <w:rFonts w:asciiTheme="minorHAnsi" w:hAnsiTheme="minorHAnsi" w:cstheme="minorHAnsi"/>
        </w:rPr>
        <w:t xml:space="preserve"> </w:t>
      </w:r>
      <w:r w:rsidRPr="00350155">
        <w:rPr>
          <w:rStyle w:val="cf21"/>
          <w:rFonts w:asciiTheme="minorHAnsi" w:hAnsiTheme="minorHAnsi" w:cstheme="minorHAnsi"/>
        </w:rPr>
        <w:t>21</w:t>
      </w:r>
      <w:r w:rsidRPr="00350155">
        <w:rPr>
          <w:rStyle w:val="cf01"/>
          <w:rFonts w:asciiTheme="minorHAnsi" w:hAnsiTheme="minorHAnsi" w:cstheme="minorHAnsi"/>
        </w:rPr>
        <w:t xml:space="preserve">, 76 (2022). </w:t>
      </w:r>
      <w:hyperlink r:id="rId1" w:history="1">
        <w:r w:rsidRPr="00350155">
          <w:rPr>
            <w:rStyle w:val="Hyperlink"/>
            <w:rFonts w:asciiTheme="minorHAnsi" w:hAnsiTheme="minorHAnsi" w:cstheme="minorHAnsi"/>
            <w:sz w:val="18"/>
            <w:szCs w:val="18"/>
          </w:rPr>
          <w:t>https://doi.org/10.1186/s12936-022-04090-0</w:t>
        </w:r>
      </w:hyperlink>
      <w:r w:rsidRPr="00350155">
        <w:rPr>
          <w:rStyle w:val="cf01"/>
          <w:rFonts w:asciiTheme="minorHAnsi" w:hAnsiTheme="minorHAnsi" w:cstheme="minorHAnsi"/>
        </w:rPr>
        <w:t xml:space="preserve"> </w:t>
      </w:r>
    </w:p>
  </w:footnote>
  <w:footnote w:id="3">
    <w:p w14:paraId="23461604" w14:textId="77777777" w:rsidR="008B729A" w:rsidRPr="00595424" w:rsidRDefault="008B729A" w:rsidP="008B729A">
      <w:pPr>
        <w:spacing w:afterLines="40" w:after="96" w:line="264" w:lineRule="auto"/>
        <w:rPr>
          <w:rFonts w:eastAsia="Arial" w:cstheme="minorHAnsi"/>
          <w:color w:val="000000"/>
          <w:sz w:val="18"/>
          <w:szCs w:val="18"/>
        </w:rPr>
      </w:pPr>
      <w:r>
        <w:rPr>
          <w:rStyle w:val="FootnoteReference"/>
        </w:rPr>
        <w:footnoteRef/>
      </w:r>
      <w:r>
        <w:t xml:space="preserve"> </w:t>
      </w:r>
      <w:r w:rsidRPr="00595424">
        <w:rPr>
          <w:rFonts w:eastAsia="Arial" w:cstheme="minorHAnsi"/>
          <w:color w:val="000000"/>
          <w:sz w:val="18"/>
          <w:szCs w:val="18"/>
        </w:rPr>
        <w:t xml:space="preserve">Differential in </w:t>
      </w:r>
      <w:r>
        <w:rPr>
          <w:rFonts w:eastAsia="Arial" w:cstheme="minorHAnsi"/>
          <w:color w:val="000000"/>
          <w:sz w:val="18"/>
          <w:szCs w:val="18"/>
        </w:rPr>
        <w:t>AS-PY/DHA-P</w:t>
      </w:r>
      <w:r w:rsidRPr="00595424">
        <w:rPr>
          <w:rFonts w:eastAsia="Arial" w:cstheme="minorHAnsi"/>
          <w:color w:val="000000"/>
          <w:sz w:val="18"/>
          <w:szCs w:val="18"/>
        </w:rPr>
        <w:t xml:space="preserve"> and AL reference prices for APS in PAAR, but no</w:t>
      </w:r>
      <w:r>
        <w:rPr>
          <w:rFonts w:eastAsia="Arial" w:cstheme="minorHAnsi"/>
          <w:color w:val="000000"/>
          <w:sz w:val="18"/>
          <w:szCs w:val="18"/>
        </w:rPr>
        <w:t xml:space="preserve"> commodities</w:t>
      </w:r>
      <w:r w:rsidRPr="00595424">
        <w:rPr>
          <w:rFonts w:eastAsia="Arial" w:cstheme="minorHAnsi"/>
          <w:color w:val="000000"/>
          <w:sz w:val="18"/>
          <w:szCs w:val="18"/>
        </w:rPr>
        <w:t xml:space="preserve"> included as “gap” given only the reference price differential vs. the commodity itself</w:t>
      </w:r>
    </w:p>
    <w:p w14:paraId="52C76394" w14:textId="77777777" w:rsidR="008B729A" w:rsidRPr="00595424" w:rsidRDefault="008B729A" w:rsidP="008B729A">
      <w:pPr>
        <w:pStyle w:val="FootnoteText"/>
        <w:rPr>
          <w:sz w:val="18"/>
          <w:szCs w:val="18"/>
        </w:rPr>
      </w:pPr>
    </w:p>
  </w:footnote>
  <w:footnote w:id="4">
    <w:p w14:paraId="46441396" w14:textId="77777777" w:rsidR="008B729A" w:rsidRPr="00B44D47" w:rsidRDefault="008B729A" w:rsidP="008B729A">
      <w:pPr>
        <w:pStyle w:val="FootnoteText"/>
      </w:pPr>
      <w:r>
        <w:rPr>
          <w:rStyle w:val="FootnoteReference"/>
        </w:rPr>
        <w:footnoteRef/>
      </w:r>
      <w:r w:rsidRPr="00B44D47">
        <w:t xml:space="preserve"> Raouf S et al</w:t>
      </w:r>
      <w:r>
        <w:t>; The Lancet Global Health; 2016</w:t>
      </w:r>
      <w:r w:rsidRPr="00B44D47">
        <w:t xml:space="preserve">; </w:t>
      </w:r>
      <w:hyperlink r:id="rId2" w:anchor="pageBody" w:history="1">
        <w:r w:rsidRPr="00B44D47">
          <w:rPr>
            <w:rStyle w:val="Hyperlink"/>
          </w:rPr>
          <w:t>https://www.thelancet.com/journals/langlo/article/PIIS2214-109X(16)30014-6/fulltext#pageBody</w:t>
        </w:r>
      </w:hyperlink>
      <w:r w:rsidRPr="00B44D47">
        <w:t xml:space="preserve"> </w:t>
      </w:r>
    </w:p>
  </w:footnote>
  <w:footnote w:id="5">
    <w:p w14:paraId="3CB02DC5" w14:textId="77777777" w:rsidR="008B729A" w:rsidRPr="00385CE5" w:rsidRDefault="008B729A" w:rsidP="008B729A">
      <w:pPr>
        <w:pStyle w:val="FootnoteText"/>
      </w:pPr>
      <w:r>
        <w:rPr>
          <w:rStyle w:val="FootnoteReference"/>
        </w:rPr>
        <w:footnoteRef/>
      </w:r>
      <w:r w:rsidRPr="00385CE5">
        <w:t xml:space="preserve"> Chaccour C et al; M</w:t>
      </w:r>
      <w:r>
        <w:t xml:space="preserve">alaria Journal, 2021; </w:t>
      </w:r>
      <w:hyperlink r:id="rId3" w:history="1">
        <w:r w:rsidRPr="000B43D6">
          <w:rPr>
            <w:rStyle w:val="Hyperlink"/>
          </w:rPr>
          <w:t>https://malariajournal.biomedcentral.com/articles/10.1186/s12936-021-03611-7</w:t>
        </w:r>
      </w:hyperlink>
      <w:r>
        <w:t xml:space="preserve"> </w:t>
      </w:r>
    </w:p>
  </w:footnote>
  <w:footnote w:id="6">
    <w:p w14:paraId="17BE499D" w14:textId="10F3F529" w:rsidR="00BC66F0" w:rsidRDefault="00BC66F0">
      <w:pPr>
        <w:pStyle w:val="FootnoteText"/>
      </w:pPr>
      <w:r>
        <w:rPr>
          <w:rStyle w:val="FootnoteReference"/>
        </w:rPr>
        <w:footnoteRef/>
      </w:r>
      <w:r>
        <w:t xml:space="preserve"> WHO, RBM Partnership to End Malaria. High burden to high impact: a targeted malaria response. Geneva, World Health Organization, 2019. Report No.: WHO/CDS/GMP/2018.25.</w:t>
      </w:r>
    </w:p>
  </w:footnote>
  <w:footnote w:id="7">
    <w:p w14:paraId="22195F00" w14:textId="0F438EFF" w:rsidR="00A530D9" w:rsidRDefault="00A530D9">
      <w:pPr>
        <w:pStyle w:val="FootnoteText"/>
      </w:pPr>
      <w:r>
        <w:rPr>
          <w:rStyle w:val="FootnoteReference"/>
        </w:rPr>
        <w:footnoteRef/>
      </w:r>
      <w:r>
        <w:t xml:space="preserve"> </w:t>
      </w:r>
      <w:r w:rsidRPr="00A530D9">
        <w:rPr>
          <w:sz w:val="18"/>
          <w:szCs w:val="16"/>
        </w:rPr>
        <w:t>Sub-national Analysis of Malaria Situation in Mozambique, Updated with 2021 data for all provinces; PNCM</w:t>
      </w:r>
    </w:p>
  </w:footnote>
  <w:footnote w:id="8">
    <w:p w14:paraId="3C63617E" w14:textId="77777777" w:rsidR="00621197" w:rsidRPr="001B79F1" w:rsidRDefault="00621197" w:rsidP="00621197">
      <w:pPr>
        <w:widowControl w:val="0"/>
        <w:rPr>
          <w:color w:val="000000"/>
          <w:sz w:val="16"/>
          <w:szCs w:val="16"/>
          <w:lang w:val="pt-BR"/>
        </w:rPr>
      </w:pPr>
      <w:r>
        <w:rPr>
          <w:rStyle w:val="FootnoteReference"/>
        </w:rPr>
        <w:footnoteRef/>
      </w:r>
      <w:r w:rsidRPr="00772915">
        <w:rPr>
          <w:sz w:val="16"/>
          <w:szCs w:val="16"/>
        </w:rPr>
        <w:t xml:space="preserve"> </w:t>
      </w:r>
      <w:r w:rsidRPr="00772915">
        <w:rPr>
          <w:color w:val="000000"/>
          <w:sz w:val="16"/>
          <w:szCs w:val="16"/>
        </w:rPr>
        <w:t xml:space="preserve">Cuamba, N.J.B (2003). </w:t>
      </w:r>
      <w:r>
        <w:rPr>
          <w:color w:val="000000"/>
          <w:sz w:val="16"/>
          <w:szCs w:val="16"/>
        </w:rPr>
        <w:t xml:space="preserve">The bionomics, population structure and roles in transmission of malaria vectors in Mozambique and Angola. </w:t>
      </w:r>
      <w:r w:rsidRPr="001B79F1">
        <w:rPr>
          <w:color w:val="000000"/>
          <w:sz w:val="16"/>
          <w:szCs w:val="16"/>
          <w:lang w:val="pt-BR"/>
        </w:rPr>
        <w:t>University of Liverpool.</w:t>
      </w:r>
    </w:p>
  </w:footnote>
  <w:footnote w:id="9">
    <w:p w14:paraId="4B9FE43B" w14:textId="77777777" w:rsidR="00621197" w:rsidRPr="001B79F1" w:rsidRDefault="00621197" w:rsidP="00621197">
      <w:pPr>
        <w:widowControl w:val="0"/>
        <w:spacing w:after="240"/>
        <w:rPr>
          <w:rFonts w:ascii="Times" w:eastAsia="Times" w:hAnsi="Times" w:cs="Times"/>
          <w:color w:val="000000"/>
          <w:sz w:val="16"/>
          <w:szCs w:val="16"/>
          <w:lang w:val="pt-BR"/>
        </w:rPr>
      </w:pPr>
      <w:r>
        <w:rPr>
          <w:rStyle w:val="FootnoteReference"/>
        </w:rPr>
        <w:footnoteRef/>
      </w:r>
      <w:r w:rsidRPr="001B79F1">
        <w:rPr>
          <w:sz w:val="16"/>
          <w:szCs w:val="16"/>
          <w:lang w:val="pt-BR"/>
        </w:rPr>
        <w:t xml:space="preserve"> </w:t>
      </w:r>
      <w:r w:rsidRPr="001B79F1">
        <w:rPr>
          <w:color w:val="000000"/>
          <w:sz w:val="16"/>
          <w:szCs w:val="16"/>
          <w:lang w:val="pt-BR"/>
        </w:rPr>
        <w:t>PNCM Relatório Anual de Entomologia, 2016</w:t>
      </w:r>
    </w:p>
  </w:footnote>
  <w:footnote w:id="10">
    <w:p w14:paraId="18BB85FB" w14:textId="77777777" w:rsidR="000D0D2D" w:rsidRDefault="000D0D2D" w:rsidP="000D0D2D">
      <w:pPr>
        <w:pStyle w:val="FootnoteText"/>
      </w:pPr>
      <w:r>
        <w:rPr>
          <w:rStyle w:val="FootnoteReference"/>
        </w:rPr>
        <w:footnoteRef/>
      </w:r>
      <w:r w:rsidRPr="001B79F1">
        <w:rPr>
          <w:lang w:val="pt-BR"/>
        </w:rPr>
        <w:t xml:space="preserve"> Candrinho B et al.. </w:t>
      </w:r>
      <w:r w:rsidRPr="009070F8">
        <w:t xml:space="preserve">Quality of malaria services offered in public health facilities in three provinces of Mozambique: a cross-sectional study. Malar J 18, 162 (2019). </w:t>
      </w:r>
      <w:hyperlink r:id="rId4" w:history="1">
        <w:r w:rsidRPr="00E036A1">
          <w:rPr>
            <w:rStyle w:val="Hyperlink"/>
          </w:rPr>
          <w:t>https://malariajournal.biomedcentral.com/articles/10.1186/s12936-019-2796-9</w:t>
        </w:r>
      </w:hyperlink>
      <w:r>
        <w:t xml:space="preserve"> </w:t>
      </w:r>
    </w:p>
  </w:footnote>
  <w:footnote w:id="11">
    <w:p w14:paraId="6D0FBD01" w14:textId="77777777" w:rsidR="000D0D2D" w:rsidRDefault="000D0D2D" w:rsidP="000D0D2D">
      <w:pPr>
        <w:pStyle w:val="FootnoteText"/>
      </w:pPr>
      <w:r>
        <w:rPr>
          <w:rStyle w:val="FootnoteReference"/>
        </w:rPr>
        <w:footnoteRef/>
      </w:r>
      <w:r>
        <w:t xml:space="preserve"> Manuscript in draft</w:t>
      </w:r>
    </w:p>
  </w:footnote>
  <w:footnote w:id="12">
    <w:p w14:paraId="0FD2D2DE" w14:textId="77777777" w:rsidR="000D0D2D" w:rsidRDefault="000D0D2D" w:rsidP="000D0D2D">
      <w:pPr>
        <w:pStyle w:val="FootnoteText"/>
      </w:pPr>
      <w:r>
        <w:rPr>
          <w:rStyle w:val="FootnoteReference"/>
        </w:rPr>
        <w:footnoteRef/>
      </w:r>
      <w:r>
        <w:t xml:space="preserve"> Malaria threats map. </w:t>
      </w:r>
      <w:hyperlink r:id="rId5" w:history="1">
        <w:r w:rsidRPr="000B43D6">
          <w:rPr>
            <w:rStyle w:val="Hyperlink"/>
          </w:rPr>
          <w:t>https://apps.who.int/malaria/maps/threats/</w:t>
        </w:r>
      </w:hyperlink>
      <w:r>
        <w:t xml:space="preserve"> </w:t>
      </w:r>
    </w:p>
  </w:footnote>
  <w:footnote w:id="13">
    <w:p w14:paraId="25F039BC" w14:textId="2E48FFF2" w:rsidR="000D0D2D" w:rsidRDefault="000D0D2D" w:rsidP="000D0D2D">
      <w:pPr>
        <w:rPr>
          <w:sz w:val="16"/>
          <w:szCs w:val="16"/>
        </w:rPr>
      </w:pPr>
      <w:r>
        <w:rPr>
          <w:rStyle w:val="FootnoteReference"/>
        </w:rPr>
        <w:footnoteRef/>
      </w:r>
      <w:r>
        <w:rPr>
          <w:sz w:val="16"/>
          <w:szCs w:val="16"/>
        </w:rPr>
        <w:t xml:space="preserve"> </w:t>
      </w:r>
      <w:r w:rsidRPr="00B66972">
        <w:rPr>
          <w:sz w:val="16"/>
          <w:szCs w:val="16"/>
        </w:rPr>
        <w:t>Plucinski et al.</w:t>
      </w:r>
      <w:hyperlink r:id="rId6">
        <w:r>
          <w:rPr>
            <w:color w:val="214B63"/>
            <w:sz w:val="16"/>
            <w:szCs w:val="16"/>
          </w:rPr>
          <w:t xml:space="preserve"> </w:t>
        </w:r>
      </w:hyperlink>
      <w:hyperlink r:id="rId7">
        <w:r>
          <w:rPr>
            <w:color w:val="1155CC"/>
            <w:sz w:val="16"/>
            <w:szCs w:val="16"/>
            <w:u w:val="single"/>
          </w:rPr>
          <w:t>https://journals.asm.org/doi/epub/10.1128/JCM.00875-19</w:t>
        </w:r>
      </w:hyperlink>
      <w:r>
        <w:rPr>
          <w:color w:val="214B63"/>
          <w:sz w:val="16"/>
          <w:szCs w:val="16"/>
        </w:rPr>
        <w:t xml:space="preserve">  </w:t>
      </w:r>
    </w:p>
  </w:footnote>
  <w:footnote w:id="14">
    <w:p w14:paraId="0BE3A5C9" w14:textId="77777777" w:rsidR="000D0D2D" w:rsidRDefault="000D0D2D" w:rsidP="000D0D2D">
      <w:pPr>
        <w:rPr>
          <w:sz w:val="16"/>
          <w:szCs w:val="16"/>
        </w:rPr>
      </w:pPr>
      <w:r>
        <w:rPr>
          <w:rStyle w:val="FootnoteReference"/>
        </w:rPr>
        <w:footnoteRef/>
      </w:r>
      <w:r w:rsidRPr="009070F8">
        <w:rPr>
          <w:sz w:val="16"/>
          <w:szCs w:val="16"/>
        </w:rPr>
        <w:t xml:space="preserve"> PMI, VectorWorks. </w:t>
      </w:r>
      <w:r>
        <w:rPr>
          <w:i/>
          <w:sz w:val="16"/>
          <w:szCs w:val="16"/>
        </w:rPr>
        <w:t>Durability Monitoring of LLINs in Mozambique.</w:t>
      </w:r>
      <w:r>
        <w:rPr>
          <w:sz w:val="16"/>
          <w:szCs w:val="16"/>
        </w:rPr>
        <w:t xml:space="preserve"> December 2018</w:t>
      </w:r>
    </w:p>
    <w:p w14:paraId="375BC43F" w14:textId="77777777" w:rsidR="000D0D2D" w:rsidRDefault="000D0D2D" w:rsidP="000D0D2D">
      <w:pPr>
        <w:rPr>
          <w:sz w:val="20"/>
          <w:szCs w:val="20"/>
        </w:rPr>
      </w:pPr>
    </w:p>
  </w:footnote>
  <w:footnote w:id="15">
    <w:p w14:paraId="56846F84" w14:textId="77777777" w:rsidR="000D0D2D" w:rsidRDefault="000D0D2D" w:rsidP="000D0D2D">
      <w:pPr>
        <w:pStyle w:val="FootnoteText"/>
      </w:pPr>
      <w:r>
        <w:rPr>
          <w:rStyle w:val="FootnoteReference"/>
        </w:rPr>
        <w:footnoteRef/>
      </w:r>
      <w:r>
        <w:t xml:space="preserve"> Chaccour et all. Malaria Journal, 2021.  </w:t>
      </w:r>
      <w:hyperlink r:id="rId8" w:history="1">
        <w:r w:rsidRPr="000B43D6">
          <w:rPr>
            <w:rStyle w:val="Hyperlink"/>
          </w:rPr>
          <w:t>https://malariajournal.biomedcentral.com/articles/10.1186/s12936-021-03611-7</w:t>
        </w:r>
      </w:hyperlink>
      <w:r>
        <w:t xml:space="preserve"> </w:t>
      </w:r>
    </w:p>
  </w:footnote>
  <w:footnote w:id="16">
    <w:p w14:paraId="1D2A730F" w14:textId="6598B9B7" w:rsidR="00A87DE1" w:rsidRDefault="00A87DE1">
      <w:pPr>
        <w:pStyle w:val="FootnoteText"/>
      </w:pPr>
      <w:r>
        <w:rPr>
          <w:rStyle w:val="FootnoteReference"/>
        </w:rPr>
        <w:footnoteRef/>
      </w:r>
      <w:r>
        <w:t xml:space="preserve"> </w:t>
      </w:r>
      <w:r w:rsidRPr="00A87DE1">
        <w:t>2023-2028 Global Fund Strategy</w:t>
      </w:r>
      <w:r>
        <w:t xml:space="preserve"> - </w:t>
      </w:r>
      <w:hyperlink r:id="rId9" w:history="1">
        <w:r w:rsidR="003F5F82" w:rsidRPr="008621DB">
          <w:rPr>
            <w:rStyle w:val="Hyperlink"/>
          </w:rPr>
          <w:t>https://www.theglobalfund.org/media/11612/strategy_globalfund2023-2028_narrative_en.pdf</w:t>
        </w:r>
      </w:hyperlink>
      <w:r w:rsidR="003F5F82">
        <w:t xml:space="preserve"> </w:t>
      </w:r>
    </w:p>
  </w:footnote>
  <w:footnote w:id="17">
    <w:p w14:paraId="08CA5389" w14:textId="1BD7470B" w:rsidR="00A87DE1" w:rsidRDefault="00A87DE1">
      <w:pPr>
        <w:pStyle w:val="FootnoteText"/>
      </w:pPr>
      <w:r>
        <w:rPr>
          <w:rStyle w:val="FootnoteReference"/>
        </w:rPr>
        <w:footnoteRef/>
      </w:r>
      <w:r>
        <w:t xml:space="preserve"> </w:t>
      </w:r>
      <w:r w:rsidRPr="00A87DE1">
        <w:t>Review Criteria of the Technical Review Panel</w:t>
      </w:r>
      <w:r>
        <w:t xml:space="preserve"> - </w:t>
      </w:r>
      <w:hyperlink r:id="rId10" w:anchor="page=15" w:history="1">
        <w:r w:rsidR="003F5F82" w:rsidRPr="008621DB">
          <w:rPr>
            <w:rStyle w:val="Hyperlink"/>
          </w:rPr>
          <w:t>https://www.theglobalfund.org/media/3048/trp_technicalreviewpanel_tor_en.pdf#page=15</w:t>
        </w:r>
      </w:hyperlink>
      <w:r w:rsidR="003F5F82">
        <w:t xml:space="preserve"> </w:t>
      </w:r>
    </w:p>
  </w:footnote>
  <w:footnote w:id="18">
    <w:p w14:paraId="15CD394C" w14:textId="6C2247D2" w:rsidR="001A4865" w:rsidRDefault="001A4865">
      <w:pPr>
        <w:pStyle w:val="FootnoteText"/>
      </w:pPr>
      <w:r>
        <w:rPr>
          <w:rStyle w:val="FootnoteReference"/>
        </w:rPr>
        <w:footnoteRef/>
      </w:r>
      <w:r>
        <w:t xml:space="preserve"> Gender and Social Inclusion Analysis – Mozambique; 8 April 2022; PSI, Unitaid, LSHTM, and RC. </w:t>
      </w:r>
    </w:p>
  </w:footnote>
  <w:footnote w:id="19">
    <w:p w14:paraId="717C8AA9" w14:textId="439ADAFB" w:rsidR="00941A81" w:rsidRDefault="00941A81">
      <w:pPr>
        <w:pStyle w:val="FootnoteText"/>
      </w:pPr>
      <w:r>
        <w:rPr>
          <w:rStyle w:val="FootnoteReference"/>
        </w:rPr>
        <w:footnoteRef/>
      </w:r>
      <w:r>
        <w:t xml:space="preserve"> Full Review Instructions - </w:t>
      </w:r>
      <w:hyperlink r:id="rId11" w:history="1">
        <w:r w:rsidR="003F5F82" w:rsidRPr="008621DB">
          <w:rPr>
            <w:rStyle w:val="Hyperlink"/>
          </w:rPr>
          <w:t>https://www.theglobalfund.org/media/5743/fundingrequest_fullreview_instructions_en.pdf</w:t>
        </w:r>
      </w:hyperlink>
      <w:r w:rsidR="003F5F82">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1C7C2F" w14:paraId="54749D30" w14:textId="77777777" w:rsidTr="3AE6F0BB">
      <w:tc>
        <w:tcPr>
          <w:tcW w:w="3210" w:type="dxa"/>
        </w:tcPr>
        <w:p w14:paraId="1A51554E" w14:textId="77777777" w:rsidR="001C7C2F" w:rsidRDefault="001C7C2F" w:rsidP="3AE6F0BB">
          <w:pPr>
            <w:pStyle w:val="Header"/>
            <w:ind w:left="-115"/>
            <w:rPr>
              <w:szCs w:val="14"/>
            </w:rPr>
          </w:pPr>
        </w:p>
      </w:tc>
      <w:tc>
        <w:tcPr>
          <w:tcW w:w="3210" w:type="dxa"/>
        </w:tcPr>
        <w:p w14:paraId="3D42499C" w14:textId="77777777" w:rsidR="001C7C2F" w:rsidRDefault="001C7C2F" w:rsidP="3AE6F0BB">
          <w:pPr>
            <w:pStyle w:val="Header"/>
            <w:jc w:val="center"/>
            <w:rPr>
              <w:szCs w:val="14"/>
            </w:rPr>
          </w:pPr>
        </w:p>
      </w:tc>
      <w:tc>
        <w:tcPr>
          <w:tcW w:w="3210" w:type="dxa"/>
        </w:tcPr>
        <w:p w14:paraId="330EA8F5" w14:textId="77777777" w:rsidR="001C7C2F" w:rsidRDefault="001C7C2F" w:rsidP="3AE6F0BB">
          <w:pPr>
            <w:pStyle w:val="Header"/>
            <w:ind w:right="-115"/>
            <w:jc w:val="right"/>
            <w:rPr>
              <w:szCs w:val="14"/>
            </w:rPr>
          </w:pPr>
        </w:p>
      </w:tc>
    </w:tr>
  </w:tbl>
  <w:p w14:paraId="18BF20A4" w14:textId="77777777" w:rsidR="001C7C2F" w:rsidRDefault="001C7C2F" w:rsidP="3AE6F0BB">
    <w:pPr>
      <w:pStyle w:val="Header"/>
      <w:rPr>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
      <w:tblW w:w="5000" w:type="pct"/>
      <w:tblLook w:val="04A0" w:firstRow="1" w:lastRow="0" w:firstColumn="1" w:lastColumn="0" w:noHBand="0" w:noVBand="1"/>
    </w:tblPr>
    <w:tblGrid>
      <w:gridCol w:w="2400"/>
      <w:gridCol w:w="7804"/>
    </w:tblGrid>
    <w:tr w:rsidR="001C7C2F" w14:paraId="46E93334" w14:textId="77777777" w:rsidTr="00AD5B71">
      <w:trPr>
        <w:trHeight w:val="2551"/>
      </w:trPr>
      <w:tc>
        <w:tcPr>
          <w:tcW w:w="1176" w:type="pct"/>
        </w:tcPr>
        <w:p w14:paraId="5982C706" w14:textId="77777777" w:rsidR="001C7C2F" w:rsidRDefault="001C7C2F">
          <w:pPr>
            <w:pStyle w:val="Header"/>
          </w:pPr>
        </w:p>
      </w:tc>
      <w:tc>
        <w:tcPr>
          <w:tcW w:w="3824" w:type="pct"/>
        </w:tcPr>
        <w:p w14:paraId="091A0973" w14:textId="77777777" w:rsidR="001C7C2F" w:rsidRDefault="001C7C2F">
          <w:pPr>
            <w:pStyle w:val="Header"/>
          </w:pPr>
        </w:p>
      </w:tc>
    </w:tr>
    <w:tr w:rsidR="001C7C2F" w14:paraId="58F4A61B" w14:textId="77777777" w:rsidTr="00803FEB">
      <w:trPr>
        <w:trHeight w:val="864"/>
      </w:trPr>
      <w:sdt>
        <w:sdtPr>
          <w:alias w:val="Form.DocLang.Logo_stacked_black"/>
          <w:tag w:val="{&quot;templafy&quot;:{&quot;id&quot;:&quot;49598a8a-1609-4e0f-877c-71289e796f97&quot;}}"/>
          <w:id w:val="-1242175912"/>
          <w:picture/>
        </w:sdtPr>
        <w:sdtContent>
          <w:tc>
            <w:tcPr>
              <w:tcW w:w="1176" w:type="pct"/>
              <w:vAlign w:val="center"/>
            </w:tcPr>
            <w:p w14:paraId="7B5E3518" w14:textId="77777777" w:rsidR="001C7C2F" w:rsidRDefault="001C7C2F" w:rsidP="00803FEB">
              <w:pPr>
                <w:pStyle w:val="Header"/>
                <w:jc w:val="center"/>
              </w:pPr>
              <w:r>
                <w:rPr>
                  <w:noProof/>
                </w:rPr>
                <w:drawing>
                  <wp:inline distT="0" distB="0" distL="0" distR="0" wp14:anchorId="71C5939C" wp14:editId="32DD2823">
                    <wp:extent cx="1435608" cy="493776"/>
                    <wp:effectExtent l="0" t="0" r="0" b="1905"/>
                    <wp:docPr id="765346534" name="Picture 24"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2095689773" name="Picture 24"/>
                            <pic:cNvPicPr/>
                          </pic:nvPicPr>
                          <pic:blipFill>
                            <a:blip r:embed="rId1"/>
                            <a:srcRect/>
                            <a:stretch/>
                          </pic:blipFill>
                          <pic:spPr>
                            <a:xfrm>
                              <a:off x="0" y="0"/>
                              <a:ext cx="1435608" cy="493776"/>
                            </a:xfrm>
                            <a:prstGeom prst="rect">
                              <a:avLst/>
                            </a:prstGeom>
                          </pic:spPr>
                        </pic:pic>
                      </a:graphicData>
                    </a:graphic>
                  </wp:inline>
                </w:drawing>
              </w:r>
            </w:p>
          </w:tc>
        </w:sdtContent>
      </w:sdt>
      <w:tc>
        <w:tcPr>
          <w:tcW w:w="3824" w:type="pct"/>
        </w:tcPr>
        <w:p w14:paraId="6827C670" w14:textId="77777777" w:rsidR="001C7C2F" w:rsidRDefault="001C7C2F">
          <w:pPr>
            <w:pStyle w:val="Header"/>
          </w:pPr>
        </w:p>
      </w:tc>
    </w:tr>
    <w:tr w:rsidR="001C7C2F" w14:paraId="4CFCC0A2" w14:textId="77777777" w:rsidTr="00AD5B71">
      <w:trPr>
        <w:trHeight w:val="1417"/>
      </w:trPr>
      <w:tc>
        <w:tcPr>
          <w:tcW w:w="1176" w:type="pct"/>
        </w:tcPr>
        <w:p w14:paraId="3C953778" w14:textId="77777777" w:rsidR="001C7C2F" w:rsidRDefault="001C7C2F">
          <w:pPr>
            <w:pStyle w:val="Header"/>
          </w:pPr>
        </w:p>
      </w:tc>
      <w:tc>
        <w:tcPr>
          <w:tcW w:w="3824" w:type="pct"/>
        </w:tcPr>
        <w:p w14:paraId="437DD262" w14:textId="77777777" w:rsidR="001C7C2F" w:rsidRDefault="001C7C2F">
          <w:pPr>
            <w:pStyle w:val="Header"/>
          </w:pPr>
        </w:p>
      </w:tc>
    </w:tr>
  </w:tbl>
  <w:p w14:paraId="1776E830" w14:textId="77777777" w:rsidR="001C7C2F" w:rsidRDefault="001C7C2F">
    <w:pPr>
      <w:pStyle w:val="Header"/>
    </w:pPr>
    <w:r>
      <w:rPr>
        <w:noProof/>
      </w:rPr>
      <w:drawing>
        <wp:anchor distT="0" distB="0" distL="114300" distR="114300" simplePos="0" relativeHeight="251658240" behindDoc="1" locked="0" layoutInCell="1" allowOverlap="1" wp14:anchorId="3B4CD9B5" wp14:editId="0E48CB39">
          <wp:simplePos x="0" y="0"/>
          <wp:positionH relativeFrom="page">
            <wp:posOffset>0</wp:posOffset>
          </wp:positionH>
          <wp:positionV relativeFrom="page">
            <wp:posOffset>0</wp:posOffset>
          </wp:positionV>
          <wp:extent cx="7558560" cy="1571040"/>
          <wp:effectExtent l="0" t="0" r="4445" b="0"/>
          <wp:wrapNone/>
          <wp:docPr id="765346535" name="Picture 76534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
                    <a:extLst>
                      <a:ext uri="{28A0092B-C50C-407E-A947-70E740481C1C}">
                        <a14:useLocalDpi xmlns:a14="http://schemas.microsoft.com/office/drawing/2010/main" val="0"/>
                      </a:ext>
                    </a:extLst>
                  </a:blip>
                  <a:stretch>
                    <a:fillRect/>
                  </a:stretch>
                </pic:blipFill>
                <pic:spPr>
                  <a:xfrm>
                    <a:off x="0" y="0"/>
                    <a:ext cx="7558560" cy="157104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FDBB4" w14:textId="77777777" w:rsidR="00927A97" w:rsidRDefault="00927A97" w:rsidP="3AE6F0BB">
    <w:pPr>
      <w:pStyle w:val="Header"/>
      <w:rPr>
        <w:szCs w:val="1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87B62" w14:textId="3233AB3F" w:rsidR="00142169" w:rsidRPr="00556E55" w:rsidRDefault="00142169" w:rsidP="00556E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7C000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93A29C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D24CE3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D34B94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83ABB1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C8CFD1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0E4C62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5241CD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01F30921"/>
    <w:multiLevelType w:val="multilevel"/>
    <w:tmpl w:val="77A8083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2BB78EF"/>
    <w:multiLevelType w:val="multilevel"/>
    <w:tmpl w:val="85E0874A"/>
    <w:lvl w:ilvl="0">
      <w:start w:val="2"/>
      <w:numFmt w:val="decimal"/>
      <w:lvlText w:val="Section %1."/>
      <w:lvlJc w:val="left"/>
      <w:pPr>
        <w:ind w:left="8820" w:hanging="1800"/>
      </w:pPr>
      <w:rPr>
        <w:rFonts w:hint="default"/>
      </w:rPr>
    </w:lvl>
    <w:lvl w:ilvl="1">
      <w:start w:val="1"/>
      <w:numFmt w:val="decimal"/>
      <w:lvlText w:val="1.%2"/>
      <w:lvlJc w:val="left"/>
      <w:pPr>
        <w:ind w:left="7380" w:hanging="360"/>
      </w:pPr>
      <w:rPr>
        <w:rFonts w:hint="default"/>
      </w:rPr>
    </w:lvl>
    <w:lvl w:ilvl="2">
      <w:start w:val="1"/>
      <w:numFmt w:val="upperLetter"/>
      <w:lvlText w:val="%3."/>
      <w:lvlJc w:val="left"/>
      <w:pPr>
        <w:ind w:left="7380" w:hanging="360"/>
      </w:pPr>
    </w:lvl>
    <w:lvl w:ilvl="3">
      <w:start w:val="1"/>
      <w:numFmt w:val="decimal"/>
      <w:lvlText w:val="%1.%2.%3.%4"/>
      <w:lvlJc w:val="left"/>
      <w:pPr>
        <w:ind w:left="7984" w:hanging="964"/>
      </w:pPr>
      <w:rPr>
        <w:rFonts w:hint="default"/>
      </w:rPr>
    </w:lvl>
    <w:lvl w:ilvl="4">
      <w:start w:val="1"/>
      <w:numFmt w:val="decimal"/>
      <w:lvlText w:val="%1.%2.%3.%4.%5"/>
      <w:lvlJc w:val="left"/>
      <w:pPr>
        <w:ind w:left="8211" w:hanging="1191"/>
      </w:pPr>
      <w:rPr>
        <w:rFonts w:hint="default"/>
      </w:rPr>
    </w:lvl>
    <w:lvl w:ilvl="5">
      <w:start w:val="1"/>
      <w:numFmt w:val="none"/>
      <w:lvlText w:val=""/>
      <w:lvlJc w:val="left"/>
      <w:pPr>
        <w:ind w:left="7020" w:firstLine="0"/>
      </w:pPr>
      <w:rPr>
        <w:rFonts w:hint="default"/>
      </w:rPr>
    </w:lvl>
    <w:lvl w:ilvl="6">
      <w:start w:val="1"/>
      <w:numFmt w:val="none"/>
      <w:lvlText w:val=""/>
      <w:lvlJc w:val="left"/>
      <w:pPr>
        <w:ind w:left="7020" w:firstLine="0"/>
      </w:pPr>
      <w:rPr>
        <w:rFonts w:hint="default"/>
      </w:rPr>
    </w:lvl>
    <w:lvl w:ilvl="7">
      <w:start w:val="1"/>
      <w:numFmt w:val="none"/>
      <w:lvlText w:val=""/>
      <w:lvlJc w:val="left"/>
      <w:pPr>
        <w:ind w:left="7020" w:firstLine="0"/>
      </w:pPr>
      <w:rPr>
        <w:rFonts w:hint="default"/>
      </w:rPr>
    </w:lvl>
    <w:lvl w:ilvl="8">
      <w:start w:val="1"/>
      <w:numFmt w:val="none"/>
      <w:lvlText w:val=""/>
      <w:lvlJc w:val="left"/>
      <w:pPr>
        <w:ind w:left="7020" w:firstLine="0"/>
      </w:pPr>
      <w:rPr>
        <w:rFonts w:hint="default"/>
      </w:rPr>
    </w:lvl>
  </w:abstractNum>
  <w:abstractNum w:abstractNumId="10" w15:restartNumberingAfterBreak="0">
    <w:nsid w:val="03521432"/>
    <w:multiLevelType w:val="hybridMultilevel"/>
    <w:tmpl w:val="0F9E7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15319B"/>
    <w:multiLevelType w:val="hybridMultilevel"/>
    <w:tmpl w:val="7E06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1A6DE8"/>
    <w:multiLevelType w:val="hybridMultilevel"/>
    <w:tmpl w:val="69AEC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DD151F"/>
    <w:multiLevelType w:val="hybridMultilevel"/>
    <w:tmpl w:val="8D300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896389"/>
    <w:multiLevelType w:val="multilevel"/>
    <w:tmpl w:val="B4DAA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0B375DDB"/>
    <w:multiLevelType w:val="hybridMultilevel"/>
    <w:tmpl w:val="CC9E507A"/>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BF27C28"/>
    <w:multiLevelType w:val="multilevel"/>
    <w:tmpl w:val="B35EB7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CEC5D9B"/>
    <w:multiLevelType w:val="hybridMultilevel"/>
    <w:tmpl w:val="9D3C7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4469A3"/>
    <w:multiLevelType w:val="multilevel"/>
    <w:tmpl w:val="F4AC0FD8"/>
    <w:styleLink w:val="ListHeading"/>
    <w:lvl w:ilvl="0">
      <w:start w:val="1"/>
      <w:numFmt w:val="decimal"/>
      <w:lvlText w:val="%1."/>
      <w:lvlJc w:val="left"/>
      <w:pPr>
        <w:ind w:left="454" w:hanging="454"/>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964" w:hanging="964"/>
      </w:pPr>
      <w:rPr>
        <w:rFonts w:hint="default"/>
      </w:rPr>
    </w:lvl>
    <w:lvl w:ilvl="4">
      <w:start w:val="1"/>
      <w:numFmt w:val="decimal"/>
      <w:lvlText w:val="%1.%2.%3.%4.%5"/>
      <w:lvlJc w:val="left"/>
      <w:pPr>
        <w:ind w:left="1191" w:hanging="1191"/>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0FDF0D3A"/>
    <w:multiLevelType w:val="multilevel"/>
    <w:tmpl w:val="43684B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116D24BB"/>
    <w:multiLevelType w:val="hybridMultilevel"/>
    <w:tmpl w:val="3692FF30"/>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19F33F9"/>
    <w:multiLevelType w:val="multilevel"/>
    <w:tmpl w:val="89749AF0"/>
    <w:lvl w:ilvl="0">
      <w:start w:val="1"/>
      <w:numFmt w:val="upperLetter"/>
      <w:lvlText w:val="%1."/>
      <w:lvlJc w:val="left"/>
      <w:pPr>
        <w:ind w:left="1800" w:hanging="1800"/>
      </w:pPr>
      <w:rPr>
        <w:rFonts w:hint="default"/>
      </w:rPr>
    </w:lvl>
    <w:lvl w:ilvl="1">
      <w:start w:val="1"/>
      <w:numFmt w:val="decimal"/>
      <w:pStyle w:val="ListHeading2"/>
      <w:lvlText w:val="1.%2"/>
      <w:lvlJc w:val="left"/>
      <w:pPr>
        <w:ind w:left="360" w:hanging="360"/>
      </w:pPr>
      <w:rPr>
        <w:rFonts w:hint="default"/>
      </w:rPr>
    </w:lvl>
    <w:lvl w:ilvl="2">
      <w:start w:val="1"/>
      <w:numFmt w:val="upperLetter"/>
      <w:lvlText w:val="%3."/>
      <w:lvlJc w:val="left"/>
      <w:pPr>
        <w:ind w:left="851" w:hanging="851"/>
      </w:pPr>
      <w:rPr>
        <w:rFonts w:hint="default"/>
      </w:rPr>
    </w:lvl>
    <w:lvl w:ilvl="3">
      <w:start w:val="1"/>
      <w:numFmt w:val="decimal"/>
      <w:lvlText w:val="%1.%2.%3.%4"/>
      <w:lvlJc w:val="left"/>
      <w:pPr>
        <w:ind w:left="964" w:hanging="964"/>
      </w:pPr>
      <w:rPr>
        <w:rFonts w:hint="default"/>
      </w:rPr>
    </w:lvl>
    <w:lvl w:ilvl="4">
      <w:start w:val="1"/>
      <w:numFmt w:val="decimal"/>
      <w:lvlText w:val="%1.%2.%3.%4.%5"/>
      <w:lvlJc w:val="left"/>
      <w:pPr>
        <w:ind w:left="1191" w:hanging="1191"/>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156F6952"/>
    <w:multiLevelType w:val="multilevel"/>
    <w:tmpl w:val="538EC63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16461EC8"/>
    <w:multiLevelType w:val="multilevel"/>
    <w:tmpl w:val="22A2152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720"/>
      </w:pPr>
      <w:rPr>
        <w:b/>
        <w:sz w:val="22"/>
        <w:szCs w:val="22"/>
      </w:rPr>
    </w:lvl>
    <w:lvl w:ilvl="2">
      <w:start w:val="1"/>
      <w:numFmt w:val="decimal"/>
      <w:lvlText w:val="●.%2.%3."/>
      <w:lvlJc w:val="left"/>
      <w:pPr>
        <w:ind w:left="1080" w:hanging="720"/>
      </w:pPr>
      <w:rPr>
        <w:b/>
        <w:sz w:val="22"/>
        <w:szCs w:val="22"/>
      </w:rPr>
    </w:lvl>
    <w:lvl w:ilvl="3">
      <w:start w:val="1"/>
      <w:numFmt w:val="decimal"/>
      <w:lvlText w:val="●.%2.%3.%4."/>
      <w:lvlJc w:val="left"/>
      <w:pPr>
        <w:ind w:left="1440" w:hanging="1080"/>
      </w:pPr>
      <w:rPr>
        <w:b/>
        <w:sz w:val="22"/>
        <w:szCs w:val="22"/>
      </w:rPr>
    </w:lvl>
    <w:lvl w:ilvl="4">
      <w:start w:val="1"/>
      <w:numFmt w:val="decimal"/>
      <w:lvlText w:val="●.%2.%3.%4.%5."/>
      <w:lvlJc w:val="left"/>
      <w:pPr>
        <w:ind w:left="1440" w:hanging="1080"/>
      </w:pPr>
      <w:rPr>
        <w:b/>
        <w:sz w:val="22"/>
        <w:szCs w:val="22"/>
      </w:rPr>
    </w:lvl>
    <w:lvl w:ilvl="5">
      <w:start w:val="1"/>
      <w:numFmt w:val="decimal"/>
      <w:lvlText w:val="●.%2.%3.%4.%5.%6."/>
      <w:lvlJc w:val="left"/>
      <w:pPr>
        <w:ind w:left="1800" w:hanging="1440"/>
      </w:pPr>
      <w:rPr>
        <w:b/>
        <w:sz w:val="22"/>
        <w:szCs w:val="22"/>
      </w:rPr>
    </w:lvl>
    <w:lvl w:ilvl="6">
      <w:start w:val="1"/>
      <w:numFmt w:val="decimal"/>
      <w:lvlText w:val="●.%2.%3.%4.%5.%6.%7."/>
      <w:lvlJc w:val="left"/>
      <w:pPr>
        <w:ind w:left="1800" w:hanging="1440"/>
      </w:pPr>
      <w:rPr>
        <w:b/>
        <w:sz w:val="22"/>
        <w:szCs w:val="22"/>
      </w:rPr>
    </w:lvl>
    <w:lvl w:ilvl="7">
      <w:start w:val="1"/>
      <w:numFmt w:val="decimal"/>
      <w:lvlText w:val="●.%2.%3.%4.%5.%6.%7.%8."/>
      <w:lvlJc w:val="left"/>
      <w:pPr>
        <w:ind w:left="2160" w:hanging="1800"/>
      </w:pPr>
      <w:rPr>
        <w:b/>
        <w:sz w:val="22"/>
        <w:szCs w:val="22"/>
      </w:rPr>
    </w:lvl>
    <w:lvl w:ilvl="8">
      <w:start w:val="1"/>
      <w:numFmt w:val="decimal"/>
      <w:lvlText w:val="●.%2.%3.%4.%5.%6.%7.%8.%9."/>
      <w:lvlJc w:val="left"/>
      <w:pPr>
        <w:ind w:left="2520" w:hanging="2160"/>
      </w:pPr>
      <w:rPr>
        <w:b/>
        <w:sz w:val="22"/>
        <w:szCs w:val="22"/>
      </w:rPr>
    </w:lvl>
  </w:abstractNum>
  <w:abstractNum w:abstractNumId="24" w15:restartNumberingAfterBreak="0">
    <w:nsid w:val="16527185"/>
    <w:multiLevelType w:val="multilevel"/>
    <w:tmpl w:val="D4100746"/>
    <w:lvl w:ilvl="0">
      <w:start w:val="1"/>
      <w:numFmt w:val="decimal"/>
      <w:lvlText w:val="Section %1"/>
      <w:lvlJc w:val="left"/>
      <w:pPr>
        <w:ind w:left="1800" w:hanging="1800"/>
      </w:pPr>
      <w:rPr>
        <w:rFonts w:hint="default"/>
      </w:rPr>
    </w:lvl>
    <w:lvl w:ilvl="1">
      <w:start w:val="1"/>
      <w:numFmt w:val="decimal"/>
      <w:pStyle w:val="Heading2"/>
      <w:lvlText w:val="1.%2"/>
      <w:lvlJc w:val="left"/>
      <w:pPr>
        <w:ind w:left="360" w:hanging="360"/>
      </w:pPr>
      <w:rPr>
        <w:rFonts w:hint="default"/>
      </w:rPr>
    </w:lvl>
    <w:lvl w:ilvl="2">
      <w:start w:val="1"/>
      <w:numFmt w:val="upperLetter"/>
      <w:lvlText w:val="%3."/>
      <w:lvlJc w:val="left"/>
      <w:pPr>
        <w:ind w:left="851" w:hanging="851"/>
      </w:pPr>
      <w:rPr>
        <w:rFonts w:hint="default"/>
      </w:rPr>
    </w:lvl>
    <w:lvl w:ilvl="3">
      <w:start w:val="1"/>
      <w:numFmt w:val="decimal"/>
      <w:lvlText w:val="%1.%2.%3.%4"/>
      <w:lvlJc w:val="left"/>
      <w:pPr>
        <w:ind w:left="964" w:hanging="964"/>
      </w:pPr>
      <w:rPr>
        <w:rFonts w:hint="default"/>
      </w:rPr>
    </w:lvl>
    <w:lvl w:ilvl="4">
      <w:start w:val="1"/>
      <w:numFmt w:val="decimal"/>
      <w:lvlText w:val="%1.%2.%3.%4.%5"/>
      <w:lvlJc w:val="left"/>
      <w:pPr>
        <w:ind w:left="1191" w:hanging="1191"/>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18E94A17"/>
    <w:multiLevelType w:val="hybridMultilevel"/>
    <w:tmpl w:val="4CAA6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E5612F0"/>
    <w:multiLevelType w:val="multilevel"/>
    <w:tmpl w:val="77A8083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b/>
        <w:sz w:val="22"/>
        <w:szCs w:val="22"/>
      </w:rPr>
    </w:lvl>
    <w:lvl w:ilvl="2">
      <w:start w:val="1"/>
      <w:numFmt w:val="lowerRoman"/>
      <w:lvlText w:val="%3."/>
      <w:lvlJc w:val="right"/>
      <w:pPr>
        <w:ind w:left="2160" w:hanging="180"/>
      </w:pPr>
      <w:rPr>
        <w:b/>
        <w:sz w:val="22"/>
        <w:szCs w:val="22"/>
      </w:rPr>
    </w:lvl>
    <w:lvl w:ilvl="3">
      <w:start w:val="1"/>
      <w:numFmt w:val="decimal"/>
      <w:lvlText w:val="%4."/>
      <w:lvlJc w:val="left"/>
      <w:pPr>
        <w:ind w:left="2880" w:hanging="360"/>
      </w:pPr>
      <w:rPr>
        <w:b/>
        <w:sz w:val="22"/>
        <w:szCs w:val="22"/>
      </w:rPr>
    </w:lvl>
    <w:lvl w:ilvl="4">
      <w:start w:val="1"/>
      <w:numFmt w:val="lowerLetter"/>
      <w:lvlText w:val="%5."/>
      <w:lvlJc w:val="left"/>
      <w:pPr>
        <w:ind w:left="3600" w:hanging="360"/>
      </w:pPr>
      <w:rPr>
        <w:b/>
        <w:sz w:val="22"/>
        <w:szCs w:val="22"/>
      </w:rPr>
    </w:lvl>
    <w:lvl w:ilvl="5">
      <w:start w:val="1"/>
      <w:numFmt w:val="lowerRoman"/>
      <w:lvlText w:val="%6."/>
      <w:lvlJc w:val="right"/>
      <w:pPr>
        <w:ind w:left="4320" w:hanging="180"/>
      </w:pPr>
      <w:rPr>
        <w:b/>
        <w:sz w:val="22"/>
        <w:szCs w:val="22"/>
      </w:rPr>
    </w:lvl>
    <w:lvl w:ilvl="6">
      <w:start w:val="1"/>
      <w:numFmt w:val="decimal"/>
      <w:lvlText w:val="%7."/>
      <w:lvlJc w:val="left"/>
      <w:pPr>
        <w:ind w:left="5040" w:hanging="360"/>
      </w:pPr>
      <w:rPr>
        <w:b/>
        <w:sz w:val="22"/>
        <w:szCs w:val="22"/>
      </w:rPr>
    </w:lvl>
    <w:lvl w:ilvl="7">
      <w:start w:val="1"/>
      <w:numFmt w:val="lowerLetter"/>
      <w:lvlText w:val="%8."/>
      <w:lvlJc w:val="left"/>
      <w:pPr>
        <w:ind w:left="5760" w:hanging="360"/>
      </w:pPr>
      <w:rPr>
        <w:b/>
        <w:sz w:val="22"/>
        <w:szCs w:val="22"/>
      </w:rPr>
    </w:lvl>
    <w:lvl w:ilvl="8">
      <w:start w:val="1"/>
      <w:numFmt w:val="lowerRoman"/>
      <w:lvlText w:val="%9."/>
      <w:lvlJc w:val="right"/>
      <w:pPr>
        <w:ind w:left="6480" w:hanging="180"/>
      </w:pPr>
      <w:rPr>
        <w:b/>
        <w:sz w:val="22"/>
        <w:szCs w:val="22"/>
      </w:rPr>
    </w:lvl>
  </w:abstractNum>
  <w:abstractNum w:abstractNumId="27" w15:restartNumberingAfterBreak="0">
    <w:nsid w:val="205A51C0"/>
    <w:multiLevelType w:val="multilevel"/>
    <w:tmpl w:val="D4D0E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20F3F52"/>
    <w:multiLevelType w:val="hybridMultilevel"/>
    <w:tmpl w:val="B8EA9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AC2FC2"/>
    <w:multiLevelType w:val="hybridMultilevel"/>
    <w:tmpl w:val="58E2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F24435"/>
    <w:multiLevelType w:val="multilevel"/>
    <w:tmpl w:val="BF48C5B0"/>
    <w:numStyleLink w:val="ListNumbers"/>
  </w:abstractNum>
  <w:abstractNum w:abstractNumId="31" w15:restartNumberingAfterBreak="0">
    <w:nsid w:val="27701FCC"/>
    <w:multiLevelType w:val="multilevel"/>
    <w:tmpl w:val="70D4F4BE"/>
    <w:numStyleLink w:val="AlphaList"/>
  </w:abstractNum>
  <w:abstractNum w:abstractNumId="32" w15:restartNumberingAfterBreak="0">
    <w:nsid w:val="2A7207CA"/>
    <w:multiLevelType w:val="multilevel"/>
    <w:tmpl w:val="E5B4E14C"/>
    <w:lvl w:ilvl="0">
      <w:start w:val="2"/>
      <w:numFmt w:val="decimal"/>
      <w:lvlText w:val="Section %1."/>
      <w:lvlJc w:val="left"/>
      <w:pPr>
        <w:ind w:left="1800" w:hanging="1800"/>
      </w:pPr>
      <w:rPr>
        <w:rFonts w:hint="default"/>
      </w:rPr>
    </w:lvl>
    <w:lvl w:ilvl="1">
      <w:start w:val="1"/>
      <w:numFmt w:val="decimal"/>
      <w:lvlText w:val="1.%2"/>
      <w:lvlJc w:val="left"/>
      <w:pPr>
        <w:ind w:left="360" w:hanging="360"/>
      </w:pPr>
      <w:rPr>
        <w:rFonts w:hint="default"/>
      </w:rPr>
    </w:lvl>
    <w:lvl w:ilvl="2">
      <w:start w:val="1"/>
      <w:numFmt w:val="upperLetter"/>
      <w:lvlText w:val="%3."/>
      <w:lvlJc w:val="left"/>
      <w:pPr>
        <w:ind w:left="851" w:hanging="851"/>
      </w:pPr>
      <w:rPr>
        <w:rFonts w:hint="default"/>
      </w:rPr>
    </w:lvl>
    <w:lvl w:ilvl="3">
      <w:start w:val="1"/>
      <w:numFmt w:val="decimal"/>
      <w:lvlText w:val="%1.%2.%3.%4"/>
      <w:lvlJc w:val="left"/>
      <w:pPr>
        <w:ind w:left="964" w:hanging="964"/>
      </w:pPr>
      <w:rPr>
        <w:rFonts w:hint="default"/>
      </w:rPr>
    </w:lvl>
    <w:lvl w:ilvl="4">
      <w:start w:val="1"/>
      <w:numFmt w:val="decimal"/>
      <w:lvlText w:val="%1.%2.%3.%4.%5"/>
      <w:lvlJc w:val="left"/>
      <w:pPr>
        <w:ind w:left="1191" w:hanging="1191"/>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2BE52EC9"/>
    <w:multiLevelType w:val="multilevel"/>
    <w:tmpl w:val="776250E0"/>
    <w:lvl w:ilvl="0">
      <w:start w:val="1"/>
      <w:numFmt w:val="decimal"/>
      <w:lvlText w:val="Section %1."/>
      <w:lvlJc w:val="left"/>
      <w:pPr>
        <w:ind w:left="454" w:hanging="454"/>
      </w:pPr>
      <w:rPr>
        <w:rFonts w:hint="default"/>
      </w:rPr>
    </w:lvl>
    <w:lvl w:ilvl="1">
      <w:start w:val="1"/>
      <w:numFmt w:val="decimal"/>
      <w:lvlText w:val="%1.%2"/>
      <w:lvlJc w:val="left"/>
      <w:pPr>
        <w:ind w:left="624" w:hanging="624"/>
      </w:pPr>
      <w:rPr>
        <w:rFonts w:hint="default"/>
      </w:rPr>
    </w:lvl>
    <w:lvl w:ilvl="2">
      <w:start w:val="1"/>
      <w:numFmt w:val="upperLetter"/>
      <w:pStyle w:val="ListHeading3"/>
      <w:lvlText w:val="%1.%2.%3"/>
      <w:lvlJc w:val="left"/>
      <w:pPr>
        <w:ind w:left="851" w:hanging="851"/>
      </w:pPr>
      <w:rPr>
        <w:rFonts w:hint="default"/>
      </w:rPr>
    </w:lvl>
    <w:lvl w:ilvl="3">
      <w:start w:val="1"/>
      <w:numFmt w:val="decimal"/>
      <w:pStyle w:val="ListHeading4"/>
      <w:lvlText w:val="%1.%2.%3.%4"/>
      <w:lvlJc w:val="left"/>
      <w:pPr>
        <w:ind w:left="964" w:hanging="964"/>
      </w:pPr>
      <w:rPr>
        <w:rFonts w:hint="default"/>
      </w:rPr>
    </w:lvl>
    <w:lvl w:ilvl="4">
      <w:start w:val="1"/>
      <w:numFmt w:val="decimal"/>
      <w:pStyle w:val="ListHeading5"/>
      <w:lvlText w:val="%1.%2.%3.%4.%5"/>
      <w:lvlJc w:val="left"/>
      <w:pPr>
        <w:ind w:left="1191" w:hanging="1191"/>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2E21729F"/>
    <w:multiLevelType w:val="hybridMultilevel"/>
    <w:tmpl w:val="CF50E20E"/>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0268FD6">
      <w:numFmt w:val="bullet"/>
      <w:lvlText w:val="•"/>
      <w:lvlJc w:val="left"/>
      <w:pPr>
        <w:ind w:left="2340" w:hanging="360"/>
      </w:pPr>
      <w:rPr>
        <w:rFonts w:ascii="Arial" w:eastAsiaTheme="minorHAnsi" w:hAnsi="Arial" w:cs="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FED563D"/>
    <w:multiLevelType w:val="multilevel"/>
    <w:tmpl w:val="77A8083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0671960"/>
    <w:multiLevelType w:val="multilevel"/>
    <w:tmpl w:val="EDAA2416"/>
    <w:numStyleLink w:val="ListBullets"/>
  </w:abstractNum>
  <w:abstractNum w:abstractNumId="37" w15:restartNumberingAfterBreak="0">
    <w:nsid w:val="32506137"/>
    <w:multiLevelType w:val="hybridMultilevel"/>
    <w:tmpl w:val="8CB4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2BA3603"/>
    <w:multiLevelType w:val="hybridMultilevel"/>
    <w:tmpl w:val="CC9E507A"/>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5460E9A"/>
    <w:multiLevelType w:val="multilevel"/>
    <w:tmpl w:val="77A8083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5EC6AFE"/>
    <w:multiLevelType w:val="multilevel"/>
    <w:tmpl w:val="A8D0D2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366B7587"/>
    <w:multiLevelType w:val="hybridMultilevel"/>
    <w:tmpl w:val="1E4CC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5919E9"/>
    <w:multiLevelType w:val="multilevel"/>
    <w:tmpl w:val="2514E47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9CB6AA2"/>
    <w:multiLevelType w:val="hybridMultilevel"/>
    <w:tmpl w:val="28162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9E84230"/>
    <w:multiLevelType w:val="multilevel"/>
    <w:tmpl w:val="77A8083C"/>
    <w:lvl w:ilvl="0">
      <w:start w:val="1"/>
      <w:numFmt w:val="bullet"/>
      <w:lvlText w:val=""/>
      <w:lvlJc w:val="left"/>
      <w:pPr>
        <w:ind w:left="720" w:hanging="360"/>
      </w:pPr>
      <w:rPr>
        <w:rFonts w:ascii="Symbol" w:hAnsi="Symbol"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DBC2269"/>
    <w:multiLevelType w:val="hybridMultilevel"/>
    <w:tmpl w:val="90F82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E1D2FCB"/>
    <w:multiLevelType w:val="multilevel"/>
    <w:tmpl w:val="77A8083C"/>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7" w15:restartNumberingAfterBreak="0">
    <w:nsid w:val="3EC67A40"/>
    <w:multiLevelType w:val="hybridMultilevel"/>
    <w:tmpl w:val="928EF794"/>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numFmt w:val="bullet"/>
      <w:lvlText w:val="•"/>
      <w:lvlJc w:val="left"/>
      <w:pPr>
        <w:ind w:left="2340" w:hanging="360"/>
      </w:pPr>
      <w:rPr>
        <w:rFonts w:ascii="Arial" w:eastAsiaTheme="minorHAnsi" w:hAnsi="Arial" w:cs="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3A25A2F"/>
    <w:multiLevelType w:val="multilevel"/>
    <w:tmpl w:val="0F988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44C4BCF"/>
    <w:multiLevelType w:val="multilevel"/>
    <w:tmpl w:val="E5B4E14C"/>
    <w:lvl w:ilvl="0">
      <w:start w:val="2"/>
      <w:numFmt w:val="decimal"/>
      <w:lvlText w:val="Section %1."/>
      <w:lvlJc w:val="left"/>
      <w:pPr>
        <w:ind w:left="1800" w:hanging="1800"/>
      </w:pPr>
      <w:rPr>
        <w:rFonts w:hint="default"/>
      </w:rPr>
    </w:lvl>
    <w:lvl w:ilvl="1">
      <w:start w:val="1"/>
      <w:numFmt w:val="decimal"/>
      <w:lvlText w:val="1.%2"/>
      <w:lvlJc w:val="left"/>
      <w:pPr>
        <w:ind w:left="360" w:hanging="360"/>
      </w:pPr>
      <w:rPr>
        <w:rFonts w:hint="default"/>
      </w:rPr>
    </w:lvl>
    <w:lvl w:ilvl="2">
      <w:start w:val="1"/>
      <w:numFmt w:val="upperLetter"/>
      <w:lvlText w:val="%3."/>
      <w:lvlJc w:val="left"/>
      <w:pPr>
        <w:ind w:left="851" w:hanging="851"/>
      </w:pPr>
      <w:rPr>
        <w:rFonts w:hint="default"/>
      </w:rPr>
    </w:lvl>
    <w:lvl w:ilvl="3">
      <w:start w:val="1"/>
      <w:numFmt w:val="decimal"/>
      <w:lvlText w:val="%1.%2.%3.%4"/>
      <w:lvlJc w:val="left"/>
      <w:pPr>
        <w:ind w:left="964" w:hanging="964"/>
      </w:pPr>
      <w:rPr>
        <w:rFonts w:hint="default"/>
      </w:rPr>
    </w:lvl>
    <w:lvl w:ilvl="4">
      <w:start w:val="1"/>
      <w:numFmt w:val="decimal"/>
      <w:lvlText w:val="%1.%2.%3.%4.%5"/>
      <w:lvlJc w:val="left"/>
      <w:pPr>
        <w:ind w:left="1191" w:hanging="1191"/>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0" w15:restartNumberingAfterBreak="0">
    <w:nsid w:val="459F3148"/>
    <w:multiLevelType w:val="multilevel"/>
    <w:tmpl w:val="C89A6D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87B6895"/>
    <w:multiLevelType w:val="multilevel"/>
    <w:tmpl w:val="C554CD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49F8757A"/>
    <w:multiLevelType w:val="multilevel"/>
    <w:tmpl w:val="4998C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DF57664"/>
    <w:multiLevelType w:val="multilevel"/>
    <w:tmpl w:val="EDAA2416"/>
    <w:styleLink w:val="ListBullets"/>
    <w:lvl w:ilvl="0">
      <w:start w:val="1"/>
      <w:numFmt w:val="bullet"/>
      <w:lvlRestart w:val="0"/>
      <w:pStyle w:val="ListBullet"/>
      <w:lvlText w:val="•"/>
      <w:lvlJc w:val="left"/>
      <w:pPr>
        <w:ind w:left="397" w:hanging="397"/>
      </w:pPr>
      <w:rPr>
        <w:rFonts w:ascii="Calibri" w:hAnsi="Calibri" w:hint="default"/>
        <w:color w:val="auto"/>
      </w:rPr>
    </w:lvl>
    <w:lvl w:ilvl="1">
      <w:start w:val="1"/>
      <w:numFmt w:val="bullet"/>
      <w:lvlText w:val="•"/>
      <w:lvlJc w:val="left"/>
      <w:pPr>
        <w:ind w:left="794" w:hanging="397"/>
      </w:pPr>
      <w:rPr>
        <w:rFonts w:ascii="Calibri" w:hAnsi="Calibri" w:hint="default"/>
        <w:color w:val="auto"/>
      </w:rPr>
    </w:lvl>
    <w:lvl w:ilvl="2">
      <w:start w:val="1"/>
      <w:numFmt w:val="bullet"/>
      <w:lvlText w:val="•"/>
      <w:lvlJc w:val="left"/>
      <w:pPr>
        <w:ind w:left="1191" w:hanging="397"/>
      </w:pPr>
      <w:rPr>
        <w:rFonts w:ascii="Calibri" w:hAnsi="Calibri" w:hint="default"/>
        <w:color w:val="auto"/>
      </w:rPr>
    </w:lvl>
    <w:lvl w:ilvl="3">
      <w:start w:val="1"/>
      <w:numFmt w:val="bullet"/>
      <w:lvlText w:val="•"/>
      <w:lvlJc w:val="left"/>
      <w:pPr>
        <w:ind w:left="1588" w:hanging="397"/>
      </w:pPr>
      <w:rPr>
        <w:rFonts w:ascii="Calibri" w:hAnsi="Calibri" w:hint="default"/>
        <w:color w:val="auto"/>
      </w:rPr>
    </w:lvl>
    <w:lvl w:ilvl="4">
      <w:start w:val="1"/>
      <w:numFmt w:val="bullet"/>
      <w:lvlText w:val="•"/>
      <w:lvlJc w:val="left"/>
      <w:pPr>
        <w:tabs>
          <w:tab w:val="num" w:pos="1588"/>
        </w:tabs>
        <w:ind w:left="1985" w:hanging="397"/>
      </w:pPr>
      <w:rPr>
        <w:rFonts w:ascii="Calibri" w:hAnsi="Calibri" w:hint="default"/>
        <w:color w:val="auto"/>
      </w:rPr>
    </w:lvl>
    <w:lvl w:ilvl="5">
      <w:start w:val="1"/>
      <w:numFmt w:val="bullet"/>
      <w:lvlText w:val="•"/>
      <w:lvlJc w:val="left"/>
      <w:pPr>
        <w:tabs>
          <w:tab w:val="num" w:pos="1985"/>
        </w:tabs>
        <w:ind w:left="2381" w:hanging="396"/>
      </w:pPr>
      <w:rPr>
        <w:rFonts w:ascii="Calibri" w:hAnsi="Calibri" w:hint="default"/>
        <w:color w:val="auto"/>
      </w:rPr>
    </w:lvl>
    <w:lvl w:ilvl="6">
      <w:start w:val="1"/>
      <w:numFmt w:val="bullet"/>
      <w:lvlText w:val="•"/>
      <w:lvlJc w:val="left"/>
      <w:pPr>
        <w:tabs>
          <w:tab w:val="num" w:pos="2381"/>
        </w:tabs>
        <w:ind w:left="2778" w:hanging="397"/>
      </w:pPr>
      <w:rPr>
        <w:rFonts w:ascii="Calibri" w:hAnsi="Calibri" w:hint="default"/>
        <w:color w:val="auto"/>
      </w:rPr>
    </w:lvl>
    <w:lvl w:ilvl="7">
      <w:start w:val="1"/>
      <w:numFmt w:val="bullet"/>
      <w:lvlText w:val="•"/>
      <w:lvlJc w:val="left"/>
      <w:pPr>
        <w:tabs>
          <w:tab w:val="num" w:pos="2778"/>
        </w:tabs>
        <w:ind w:left="3175" w:hanging="397"/>
      </w:pPr>
      <w:rPr>
        <w:rFonts w:ascii="Calibri" w:hAnsi="Calibri" w:hint="default"/>
        <w:color w:val="auto"/>
      </w:rPr>
    </w:lvl>
    <w:lvl w:ilvl="8">
      <w:start w:val="1"/>
      <w:numFmt w:val="bullet"/>
      <w:lvlText w:val="•"/>
      <w:lvlJc w:val="left"/>
      <w:pPr>
        <w:ind w:left="3572" w:hanging="397"/>
      </w:pPr>
      <w:rPr>
        <w:rFonts w:ascii="Calibri" w:hAnsi="Calibri" w:hint="default"/>
        <w:color w:val="auto"/>
      </w:rPr>
    </w:lvl>
  </w:abstractNum>
  <w:abstractNum w:abstractNumId="54" w15:restartNumberingAfterBreak="0">
    <w:nsid w:val="4EF60758"/>
    <w:multiLevelType w:val="multilevel"/>
    <w:tmpl w:val="CB203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2402CD7"/>
    <w:multiLevelType w:val="multilevel"/>
    <w:tmpl w:val="77A8083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5167C82"/>
    <w:multiLevelType w:val="multilevel"/>
    <w:tmpl w:val="AE208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6170B7A"/>
    <w:multiLevelType w:val="hybridMultilevel"/>
    <w:tmpl w:val="F084A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6B77263"/>
    <w:multiLevelType w:val="multilevel"/>
    <w:tmpl w:val="352681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9" w15:restartNumberingAfterBreak="0">
    <w:nsid w:val="59876141"/>
    <w:multiLevelType w:val="hybridMultilevel"/>
    <w:tmpl w:val="5D342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98B630E"/>
    <w:multiLevelType w:val="multilevel"/>
    <w:tmpl w:val="77A8083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AFE0832"/>
    <w:multiLevelType w:val="multilevel"/>
    <w:tmpl w:val="0E425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B1279B6"/>
    <w:multiLevelType w:val="multilevel"/>
    <w:tmpl w:val="0F207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D0E1E69"/>
    <w:multiLevelType w:val="hybridMultilevel"/>
    <w:tmpl w:val="9DF0A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D346DF0"/>
    <w:multiLevelType w:val="hybridMultilevel"/>
    <w:tmpl w:val="0C789894"/>
    <w:lvl w:ilvl="0" w:tplc="CC289950">
      <w:numFmt w:val="bullet"/>
      <w:lvlText w:val="-"/>
      <w:lvlJc w:val="left"/>
      <w:pPr>
        <w:ind w:left="418" w:hanging="360"/>
      </w:pPr>
      <w:rPr>
        <w:rFonts w:ascii="Arial" w:eastAsia="Arial" w:hAnsi="Arial" w:cs="Arial" w:hint="default"/>
      </w:rPr>
    </w:lvl>
    <w:lvl w:ilvl="1" w:tplc="04090003">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65" w15:restartNumberingAfterBreak="0">
    <w:nsid w:val="5D997EAD"/>
    <w:multiLevelType w:val="multilevel"/>
    <w:tmpl w:val="25FED564"/>
    <w:lvl w:ilvl="0">
      <w:start w:val="1"/>
      <w:numFmt w:val="decimal"/>
      <w:pStyle w:val="Heading1"/>
      <w:lvlText w:val="Section %1."/>
      <w:lvlJc w:val="left"/>
      <w:pPr>
        <w:ind w:left="1800" w:hanging="1800"/>
      </w:pPr>
      <w:rPr>
        <w:rFonts w:hint="default"/>
      </w:rPr>
    </w:lvl>
    <w:lvl w:ilvl="1">
      <w:start w:val="1"/>
      <w:numFmt w:val="decimal"/>
      <w:lvlText w:val="1.%2"/>
      <w:lvlJc w:val="left"/>
      <w:pPr>
        <w:ind w:left="360" w:hanging="360"/>
      </w:pPr>
      <w:rPr>
        <w:rFonts w:hint="default"/>
      </w:rPr>
    </w:lvl>
    <w:lvl w:ilvl="2">
      <w:start w:val="1"/>
      <w:numFmt w:val="upperLetter"/>
      <w:lvlText w:val="%3."/>
      <w:lvlJc w:val="left"/>
      <w:pPr>
        <w:ind w:left="851" w:hanging="851"/>
      </w:pPr>
      <w:rPr>
        <w:rFonts w:hint="default"/>
      </w:rPr>
    </w:lvl>
    <w:lvl w:ilvl="3">
      <w:start w:val="1"/>
      <w:numFmt w:val="decimal"/>
      <w:lvlText w:val="%1.%2.%3.%4"/>
      <w:lvlJc w:val="left"/>
      <w:pPr>
        <w:ind w:left="964" w:hanging="964"/>
      </w:pPr>
      <w:rPr>
        <w:rFonts w:hint="default"/>
      </w:rPr>
    </w:lvl>
    <w:lvl w:ilvl="4">
      <w:start w:val="1"/>
      <w:numFmt w:val="decimal"/>
      <w:lvlText w:val="%1.%2.%3.%4.%5"/>
      <w:lvlJc w:val="left"/>
      <w:pPr>
        <w:ind w:left="1191" w:hanging="1191"/>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6" w15:restartNumberingAfterBreak="0">
    <w:nsid w:val="5F5C1F11"/>
    <w:multiLevelType w:val="hybridMultilevel"/>
    <w:tmpl w:val="BCD841C4"/>
    <w:lvl w:ilvl="0" w:tplc="F9F84C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FB03B15"/>
    <w:multiLevelType w:val="multilevel"/>
    <w:tmpl w:val="77A8083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254760B"/>
    <w:multiLevelType w:val="multilevel"/>
    <w:tmpl w:val="77A8083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44623DD"/>
    <w:multiLevelType w:val="multilevel"/>
    <w:tmpl w:val="38CEC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4BB378D"/>
    <w:multiLevelType w:val="multilevel"/>
    <w:tmpl w:val="B5701C60"/>
    <w:lvl w:ilvl="0">
      <w:start w:val="1"/>
      <w:numFmt w:val="bullet"/>
      <w:lvlText w:val="-"/>
      <w:lvlJc w:val="left"/>
      <w:pPr>
        <w:ind w:left="1250" w:hanging="360"/>
      </w:pPr>
      <w:rPr>
        <w:rFonts w:ascii="Garamond" w:eastAsia="Garamond" w:hAnsi="Garamond" w:cs="Garamond"/>
      </w:rPr>
    </w:lvl>
    <w:lvl w:ilvl="1">
      <w:start w:val="1"/>
      <w:numFmt w:val="bullet"/>
      <w:lvlText w:val="o"/>
      <w:lvlJc w:val="left"/>
      <w:pPr>
        <w:ind w:left="1970" w:hanging="360"/>
      </w:pPr>
      <w:rPr>
        <w:rFonts w:ascii="Courier New" w:eastAsia="Courier New" w:hAnsi="Courier New" w:cs="Courier New"/>
      </w:rPr>
    </w:lvl>
    <w:lvl w:ilvl="2">
      <w:start w:val="1"/>
      <w:numFmt w:val="bullet"/>
      <w:lvlText w:val="▪"/>
      <w:lvlJc w:val="left"/>
      <w:pPr>
        <w:ind w:left="2690" w:hanging="360"/>
      </w:pPr>
      <w:rPr>
        <w:rFonts w:ascii="Noto Sans Symbols" w:eastAsia="Noto Sans Symbols" w:hAnsi="Noto Sans Symbols" w:cs="Noto Sans Symbols"/>
      </w:rPr>
    </w:lvl>
    <w:lvl w:ilvl="3">
      <w:start w:val="1"/>
      <w:numFmt w:val="bullet"/>
      <w:lvlText w:val="●"/>
      <w:lvlJc w:val="left"/>
      <w:pPr>
        <w:ind w:left="3410" w:hanging="360"/>
      </w:pPr>
      <w:rPr>
        <w:rFonts w:ascii="Noto Sans Symbols" w:eastAsia="Noto Sans Symbols" w:hAnsi="Noto Sans Symbols" w:cs="Noto Sans Symbols"/>
      </w:rPr>
    </w:lvl>
    <w:lvl w:ilvl="4">
      <w:start w:val="1"/>
      <w:numFmt w:val="bullet"/>
      <w:lvlText w:val="o"/>
      <w:lvlJc w:val="left"/>
      <w:pPr>
        <w:ind w:left="4130" w:hanging="360"/>
      </w:pPr>
      <w:rPr>
        <w:rFonts w:ascii="Courier New" w:eastAsia="Courier New" w:hAnsi="Courier New" w:cs="Courier New"/>
      </w:rPr>
    </w:lvl>
    <w:lvl w:ilvl="5">
      <w:start w:val="1"/>
      <w:numFmt w:val="bullet"/>
      <w:lvlText w:val="▪"/>
      <w:lvlJc w:val="left"/>
      <w:pPr>
        <w:ind w:left="4850" w:hanging="360"/>
      </w:pPr>
      <w:rPr>
        <w:rFonts w:ascii="Noto Sans Symbols" w:eastAsia="Noto Sans Symbols" w:hAnsi="Noto Sans Symbols" w:cs="Noto Sans Symbols"/>
      </w:rPr>
    </w:lvl>
    <w:lvl w:ilvl="6">
      <w:start w:val="1"/>
      <w:numFmt w:val="bullet"/>
      <w:lvlText w:val="●"/>
      <w:lvlJc w:val="left"/>
      <w:pPr>
        <w:ind w:left="5570" w:hanging="360"/>
      </w:pPr>
      <w:rPr>
        <w:rFonts w:ascii="Noto Sans Symbols" w:eastAsia="Noto Sans Symbols" w:hAnsi="Noto Sans Symbols" w:cs="Noto Sans Symbols"/>
      </w:rPr>
    </w:lvl>
    <w:lvl w:ilvl="7">
      <w:start w:val="1"/>
      <w:numFmt w:val="bullet"/>
      <w:lvlText w:val="o"/>
      <w:lvlJc w:val="left"/>
      <w:pPr>
        <w:ind w:left="6290" w:hanging="360"/>
      </w:pPr>
      <w:rPr>
        <w:rFonts w:ascii="Courier New" w:eastAsia="Courier New" w:hAnsi="Courier New" w:cs="Courier New"/>
      </w:rPr>
    </w:lvl>
    <w:lvl w:ilvl="8">
      <w:start w:val="1"/>
      <w:numFmt w:val="bullet"/>
      <w:lvlText w:val="▪"/>
      <w:lvlJc w:val="left"/>
      <w:pPr>
        <w:ind w:left="7010" w:hanging="360"/>
      </w:pPr>
      <w:rPr>
        <w:rFonts w:ascii="Noto Sans Symbols" w:eastAsia="Noto Sans Symbols" w:hAnsi="Noto Sans Symbols" w:cs="Noto Sans Symbols"/>
      </w:rPr>
    </w:lvl>
  </w:abstractNum>
  <w:abstractNum w:abstractNumId="71" w15:restartNumberingAfterBreak="0">
    <w:nsid w:val="64EF601B"/>
    <w:multiLevelType w:val="multilevel"/>
    <w:tmpl w:val="BF48C5B0"/>
    <w:styleLink w:val="ListNumbers"/>
    <w:lvl w:ilvl="0">
      <w:start w:val="1"/>
      <w:numFmt w:val="decimal"/>
      <w:lvlRestart w:val="0"/>
      <w:pStyle w:val="ListNumber"/>
      <w:lvlText w:val="%1."/>
      <w:lvlJc w:val="left"/>
      <w:pPr>
        <w:tabs>
          <w:tab w:val="num" w:pos="397"/>
        </w:tabs>
        <w:ind w:left="397" w:hanging="397"/>
      </w:pPr>
      <w:rPr>
        <w:rFonts w:hint="default"/>
      </w:rPr>
    </w:lvl>
    <w:lvl w:ilvl="1">
      <w:start w:val="1"/>
      <w:numFmt w:val="decimal"/>
      <w:lvlText w:val="%1.%2"/>
      <w:lvlJc w:val="left"/>
      <w:pPr>
        <w:tabs>
          <w:tab w:val="num" w:pos="1077"/>
        </w:tabs>
        <w:ind w:left="1077" w:hanging="623"/>
      </w:pPr>
      <w:rPr>
        <w:rFonts w:hint="default"/>
      </w:rPr>
    </w:lvl>
    <w:lvl w:ilvl="2">
      <w:start w:val="1"/>
      <w:numFmt w:val="decimal"/>
      <w:lvlText w:val="%1.%2.%3"/>
      <w:lvlJc w:val="left"/>
      <w:pPr>
        <w:tabs>
          <w:tab w:val="num" w:pos="1814"/>
        </w:tabs>
        <w:ind w:left="1871" w:hanging="794"/>
      </w:pPr>
      <w:rPr>
        <w:rFonts w:hint="default"/>
      </w:rPr>
    </w:lvl>
    <w:lvl w:ilvl="3">
      <w:start w:val="1"/>
      <w:numFmt w:val="decimal"/>
      <w:lvlText w:val="%1.%2.%3.%4"/>
      <w:lvlJc w:val="left"/>
      <w:pPr>
        <w:tabs>
          <w:tab w:val="num" w:pos="2835"/>
        </w:tabs>
        <w:ind w:left="2835" w:hanging="96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2" w15:restartNumberingAfterBreak="0">
    <w:nsid w:val="663C6219"/>
    <w:multiLevelType w:val="multilevel"/>
    <w:tmpl w:val="70D4F4BE"/>
    <w:styleLink w:val="AlphaList"/>
    <w:lvl w:ilvl="0">
      <w:start w:val="1"/>
      <w:numFmt w:val="lowerLetter"/>
      <w:pStyle w:val="ListAlpha"/>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73" w15:restartNumberingAfterBreak="0">
    <w:nsid w:val="6889182B"/>
    <w:multiLevelType w:val="multilevel"/>
    <w:tmpl w:val="D9F05FE4"/>
    <w:lvl w:ilvl="0">
      <w:start w:val="1"/>
      <w:numFmt w:val="bullet"/>
      <w:lvlText w:val="●"/>
      <w:lvlJc w:val="left"/>
      <w:pPr>
        <w:ind w:left="720" w:hanging="360"/>
      </w:pPr>
      <w:rPr>
        <w:u w:val="none"/>
      </w:rPr>
    </w:lvl>
    <w:lvl w:ilvl="1">
      <w:start w:val="1"/>
      <w:numFmt w:val="bullet"/>
      <w:lvlText w:val="○"/>
      <w:lvlJc w:val="left"/>
      <w:pPr>
        <w:ind w:left="1440" w:hanging="360"/>
      </w:pPr>
      <w:rPr>
        <w:u w:val="none"/>
        <w:shd w:val="clear" w:color="auto" w:fill="auto"/>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91936C6"/>
    <w:multiLevelType w:val="multilevel"/>
    <w:tmpl w:val="27903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A837932"/>
    <w:multiLevelType w:val="multilevel"/>
    <w:tmpl w:val="9390A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C281C17"/>
    <w:multiLevelType w:val="multilevel"/>
    <w:tmpl w:val="E5B4E14C"/>
    <w:lvl w:ilvl="0">
      <w:start w:val="2"/>
      <w:numFmt w:val="decimal"/>
      <w:lvlText w:val="Section %1."/>
      <w:lvlJc w:val="left"/>
      <w:pPr>
        <w:ind w:left="1800" w:hanging="1800"/>
      </w:pPr>
      <w:rPr>
        <w:rFonts w:hint="default"/>
      </w:rPr>
    </w:lvl>
    <w:lvl w:ilvl="1">
      <w:start w:val="1"/>
      <w:numFmt w:val="decimal"/>
      <w:lvlText w:val="1.%2"/>
      <w:lvlJc w:val="left"/>
      <w:pPr>
        <w:ind w:left="360" w:hanging="360"/>
      </w:pPr>
      <w:rPr>
        <w:rFonts w:hint="default"/>
      </w:rPr>
    </w:lvl>
    <w:lvl w:ilvl="2">
      <w:start w:val="1"/>
      <w:numFmt w:val="upperLetter"/>
      <w:lvlText w:val="%3."/>
      <w:lvlJc w:val="left"/>
      <w:pPr>
        <w:ind w:left="851" w:hanging="851"/>
      </w:pPr>
      <w:rPr>
        <w:rFonts w:hint="default"/>
      </w:rPr>
    </w:lvl>
    <w:lvl w:ilvl="3">
      <w:start w:val="1"/>
      <w:numFmt w:val="decimal"/>
      <w:lvlText w:val="%1.%2.%3.%4"/>
      <w:lvlJc w:val="left"/>
      <w:pPr>
        <w:ind w:left="964" w:hanging="964"/>
      </w:pPr>
      <w:rPr>
        <w:rFonts w:hint="default"/>
      </w:rPr>
    </w:lvl>
    <w:lvl w:ilvl="4">
      <w:start w:val="1"/>
      <w:numFmt w:val="decimal"/>
      <w:lvlText w:val="%1.%2.%3.%4.%5"/>
      <w:lvlJc w:val="left"/>
      <w:pPr>
        <w:ind w:left="1191" w:hanging="1191"/>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7" w15:restartNumberingAfterBreak="0">
    <w:nsid w:val="6F1F4FA7"/>
    <w:multiLevelType w:val="multilevel"/>
    <w:tmpl w:val="01F0BD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70A7754C"/>
    <w:multiLevelType w:val="multilevel"/>
    <w:tmpl w:val="4DF4EE16"/>
    <w:lvl w:ilvl="0">
      <w:start w:val="1"/>
      <w:numFmt w:val="bullet"/>
      <w:lvlText w:val="●"/>
      <w:lvlJc w:val="left"/>
      <w:pPr>
        <w:ind w:left="722" w:hanging="360"/>
      </w:pPr>
      <w:rPr>
        <w:rFonts w:ascii="Noto Sans Symbols" w:eastAsia="Noto Sans Symbols" w:hAnsi="Noto Sans Symbols" w:cs="Noto Sans Symbols"/>
        <w:b/>
      </w:rPr>
    </w:lvl>
    <w:lvl w:ilvl="1">
      <w:start w:val="1"/>
      <w:numFmt w:val="lowerLetter"/>
      <w:lvlText w:val="%2."/>
      <w:lvlJc w:val="left"/>
      <w:pPr>
        <w:ind w:left="1442" w:hanging="360"/>
      </w:pPr>
    </w:lvl>
    <w:lvl w:ilvl="2">
      <w:start w:val="1"/>
      <w:numFmt w:val="lowerRoman"/>
      <w:lvlText w:val="%3."/>
      <w:lvlJc w:val="right"/>
      <w:pPr>
        <w:ind w:left="2162" w:hanging="180"/>
      </w:pPr>
    </w:lvl>
    <w:lvl w:ilvl="3">
      <w:start w:val="1"/>
      <w:numFmt w:val="decimal"/>
      <w:lvlText w:val="%4."/>
      <w:lvlJc w:val="left"/>
      <w:pPr>
        <w:ind w:left="2882" w:hanging="360"/>
      </w:pPr>
    </w:lvl>
    <w:lvl w:ilvl="4">
      <w:start w:val="1"/>
      <w:numFmt w:val="lowerLetter"/>
      <w:lvlText w:val="%5."/>
      <w:lvlJc w:val="left"/>
      <w:pPr>
        <w:ind w:left="3602" w:hanging="360"/>
      </w:pPr>
    </w:lvl>
    <w:lvl w:ilvl="5">
      <w:start w:val="1"/>
      <w:numFmt w:val="lowerRoman"/>
      <w:lvlText w:val="%6."/>
      <w:lvlJc w:val="right"/>
      <w:pPr>
        <w:ind w:left="4322" w:hanging="180"/>
      </w:pPr>
    </w:lvl>
    <w:lvl w:ilvl="6">
      <w:start w:val="1"/>
      <w:numFmt w:val="decimal"/>
      <w:lvlText w:val="%7."/>
      <w:lvlJc w:val="left"/>
      <w:pPr>
        <w:ind w:left="5042" w:hanging="360"/>
      </w:pPr>
    </w:lvl>
    <w:lvl w:ilvl="7">
      <w:start w:val="1"/>
      <w:numFmt w:val="lowerLetter"/>
      <w:lvlText w:val="%8."/>
      <w:lvlJc w:val="left"/>
      <w:pPr>
        <w:ind w:left="5762" w:hanging="360"/>
      </w:pPr>
    </w:lvl>
    <w:lvl w:ilvl="8">
      <w:start w:val="1"/>
      <w:numFmt w:val="lowerRoman"/>
      <w:lvlText w:val="%9."/>
      <w:lvlJc w:val="right"/>
      <w:pPr>
        <w:ind w:left="6482" w:hanging="180"/>
      </w:pPr>
    </w:lvl>
  </w:abstractNum>
  <w:abstractNum w:abstractNumId="79" w15:restartNumberingAfterBreak="0">
    <w:nsid w:val="75EE06BC"/>
    <w:multiLevelType w:val="multilevel"/>
    <w:tmpl w:val="77A8083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6817C17"/>
    <w:multiLevelType w:val="multilevel"/>
    <w:tmpl w:val="77A8083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6FE3006"/>
    <w:multiLevelType w:val="multilevel"/>
    <w:tmpl w:val="3C9A2B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7C64567A"/>
    <w:multiLevelType w:val="multilevel"/>
    <w:tmpl w:val="BA7CC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7D405D89"/>
    <w:multiLevelType w:val="multilevel"/>
    <w:tmpl w:val="4CB42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DA15A81"/>
    <w:multiLevelType w:val="hybridMultilevel"/>
    <w:tmpl w:val="A404A344"/>
    <w:lvl w:ilvl="0" w:tplc="C78CF61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E531ABA"/>
    <w:multiLevelType w:val="multilevel"/>
    <w:tmpl w:val="0B4C9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E722DA4"/>
    <w:multiLevelType w:val="multilevel"/>
    <w:tmpl w:val="399450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E9918D8"/>
    <w:multiLevelType w:val="multilevel"/>
    <w:tmpl w:val="816C8CC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739519573">
    <w:abstractNumId w:val="53"/>
  </w:num>
  <w:num w:numId="2" w16cid:durableId="2116094331">
    <w:abstractNumId w:val="71"/>
  </w:num>
  <w:num w:numId="3" w16cid:durableId="1185902868">
    <w:abstractNumId w:val="30"/>
  </w:num>
  <w:num w:numId="4" w16cid:durableId="672299997">
    <w:abstractNumId w:val="36"/>
  </w:num>
  <w:num w:numId="5" w16cid:durableId="1345978667">
    <w:abstractNumId w:val="18"/>
  </w:num>
  <w:num w:numId="6" w16cid:durableId="1054428830">
    <w:abstractNumId w:val="33"/>
  </w:num>
  <w:num w:numId="7" w16cid:durableId="1056393909">
    <w:abstractNumId w:val="72"/>
  </w:num>
  <w:num w:numId="8" w16cid:durableId="2144154967">
    <w:abstractNumId w:val="31"/>
  </w:num>
  <w:num w:numId="9" w16cid:durableId="2104497628">
    <w:abstractNumId w:val="34"/>
  </w:num>
  <w:num w:numId="10" w16cid:durableId="277688692">
    <w:abstractNumId w:val="38"/>
  </w:num>
  <w:num w:numId="11" w16cid:durableId="1301155014">
    <w:abstractNumId w:val="15"/>
  </w:num>
  <w:num w:numId="12" w16cid:durableId="291208499">
    <w:abstractNumId w:val="20"/>
  </w:num>
  <w:num w:numId="13" w16cid:durableId="1620985315">
    <w:abstractNumId w:val="65"/>
  </w:num>
  <w:num w:numId="14" w16cid:durableId="1045717004">
    <w:abstractNumId w:val="76"/>
  </w:num>
  <w:num w:numId="15" w16cid:durableId="1504784221">
    <w:abstractNumId w:val="32"/>
  </w:num>
  <w:num w:numId="16" w16cid:durableId="433089044">
    <w:abstractNumId w:val="24"/>
  </w:num>
  <w:num w:numId="17" w16cid:durableId="294916184">
    <w:abstractNumId w:val="65"/>
    <w:lvlOverride w:ilvl="0">
      <w:lvl w:ilvl="0">
        <w:start w:val="1"/>
        <w:numFmt w:val="decimal"/>
        <w:pStyle w:val="Heading1"/>
        <w:lvlText w:val="Section %1."/>
        <w:lvlJc w:val="left"/>
        <w:pPr>
          <w:ind w:left="1800" w:hanging="1800"/>
        </w:pPr>
        <w:rPr>
          <w:rFonts w:hint="default"/>
        </w:rPr>
      </w:lvl>
    </w:lvlOverride>
    <w:lvlOverride w:ilvl="1">
      <w:lvl w:ilvl="1">
        <w:start w:val="1"/>
        <w:numFmt w:val="decimal"/>
        <w:lvlRestart w:val="0"/>
        <w:lvlText w:val="%1.%2"/>
        <w:lvlJc w:val="left"/>
        <w:pPr>
          <w:ind w:left="360" w:hanging="360"/>
        </w:pPr>
        <w:rPr>
          <w:rFonts w:hint="default"/>
          <w:lang w:val="en-GB"/>
        </w:rPr>
      </w:lvl>
    </w:lvlOverride>
    <w:lvlOverride w:ilvl="2">
      <w:lvl w:ilvl="2">
        <w:start w:val="1"/>
        <w:numFmt w:val="upperLetter"/>
        <w:lvlText w:val="%3."/>
        <w:lvlJc w:val="left"/>
        <w:pPr>
          <w:ind w:left="851" w:hanging="851"/>
        </w:pPr>
        <w:rPr>
          <w:rFonts w:hint="default"/>
        </w:rPr>
      </w:lvl>
    </w:lvlOverride>
    <w:lvlOverride w:ilvl="3">
      <w:lvl w:ilvl="3">
        <w:start w:val="1"/>
        <w:numFmt w:val="decimal"/>
        <w:lvlText w:val="%1.%2.%3.%4"/>
        <w:lvlJc w:val="left"/>
        <w:pPr>
          <w:ind w:left="964" w:hanging="964"/>
        </w:pPr>
        <w:rPr>
          <w:rFonts w:hint="default"/>
        </w:rPr>
      </w:lvl>
    </w:lvlOverride>
    <w:lvlOverride w:ilvl="4">
      <w:lvl w:ilvl="4">
        <w:start w:val="1"/>
        <w:numFmt w:val="decimal"/>
        <w:lvlText w:val="%1.%2.%3.%4.%5"/>
        <w:lvlJc w:val="left"/>
        <w:pPr>
          <w:ind w:left="1191" w:hanging="1191"/>
        </w:pPr>
        <w:rPr>
          <w:rFonts w:hint="default"/>
        </w:rPr>
      </w:lvl>
    </w:lvlOverride>
    <w:lvlOverride w:ilvl="5">
      <w:lvl w:ilvl="5">
        <w:start w:val="1"/>
        <w:numFmt w:val="none"/>
        <w:lvlText w:val=""/>
        <w:lvlJc w:val="lef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18" w16cid:durableId="1921941246">
    <w:abstractNumId w:val="21"/>
    <w:lvlOverride w:ilvl="0">
      <w:lvl w:ilvl="0">
        <w:start w:val="1"/>
        <w:numFmt w:val="decimal"/>
        <w:lvlText w:val="Section %1."/>
        <w:lvlJc w:val="left"/>
        <w:pPr>
          <w:ind w:left="1800" w:hanging="1800"/>
        </w:pPr>
        <w:rPr>
          <w:rFonts w:hint="default"/>
        </w:rPr>
      </w:lvl>
    </w:lvlOverride>
    <w:lvlOverride w:ilvl="1">
      <w:lvl w:ilvl="1">
        <w:start w:val="1"/>
        <w:numFmt w:val="decimal"/>
        <w:pStyle w:val="ListHeading2"/>
        <w:lvlText w:val="%1.%2"/>
        <w:lvlJc w:val="left"/>
        <w:pPr>
          <w:ind w:left="624" w:hanging="624"/>
        </w:pPr>
        <w:rPr>
          <w:rFonts w:hint="default"/>
        </w:rPr>
      </w:lvl>
    </w:lvlOverride>
    <w:lvlOverride w:ilvl="2">
      <w:lvl w:ilvl="2">
        <w:start w:val="1"/>
        <w:numFmt w:val="upperLetter"/>
        <w:lvlText w:val="%1.%2.%3"/>
        <w:lvlJc w:val="left"/>
        <w:pPr>
          <w:ind w:left="851" w:hanging="851"/>
        </w:pPr>
        <w:rPr>
          <w:rFonts w:hint="default"/>
        </w:rPr>
      </w:lvl>
    </w:lvlOverride>
    <w:lvlOverride w:ilvl="3">
      <w:lvl w:ilvl="3">
        <w:start w:val="1"/>
        <w:numFmt w:val="decimal"/>
        <w:lvlText w:val="%1.%2.%3.%4"/>
        <w:lvlJc w:val="left"/>
        <w:pPr>
          <w:ind w:left="964" w:hanging="964"/>
        </w:pPr>
        <w:rPr>
          <w:rFonts w:hint="default"/>
        </w:rPr>
      </w:lvl>
    </w:lvlOverride>
    <w:lvlOverride w:ilvl="4">
      <w:lvl w:ilvl="4">
        <w:start w:val="1"/>
        <w:numFmt w:val="decimal"/>
        <w:lvlText w:val="%1.%2.%3.%4.%5"/>
        <w:lvlJc w:val="left"/>
        <w:pPr>
          <w:ind w:left="1191" w:hanging="1191"/>
        </w:pPr>
        <w:rPr>
          <w:rFonts w:hint="default"/>
        </w:rPr>
      </w:lvl>
    </w:lvlOverride>
    <w:lvlOverride w:ilvl="5">
      <w:lvl w:ilvl="5">
        <w:start w:val="1"/>
        <w:numFmt w:val="none"/>
        <w:lvlText w:val=""/>
        <w:lvlJc w:val="lef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19" w16cid:durableId="1170291809">
    <w:abstractNumId w:val="9"/>
  </w:num>
  <w:num w:numId="20" w16cid:durableId="119226301">
    <w:abstractNumId w:val="49"/>
  </w:num>
  <w:num w:numId="21" w16cid:durableId="2034762990">
    <w:abstractNumId w:val="7"/>
  </w:num>
  <w:num w:numId="22" w16cid:durableId="412967560">
    <w:abstractNumId w:val="6"/>
  </w:num>
  <w:num w:numId="23" w16cid:durableId="1152139475">
    <w:abstractNumId w:val="5"/>
  </w:num>
  <w:num w:numId="24" w16cid:durableId="1229535937">
    <w:abstractNumId w:val="4"/>
  </w:num>
  <w:num w:numId="25" w16cid:durableId="1200514833">
    <w:abstractNumId w:val="3"/>
  </w:num>
  <w:num w:numId="26" w16cid:durableId="89739514">
    <w:abstractNumId w:val="2"/>
  </w:num>
  <w:num w:numId="27" w16cid:durableId="167327459">
    <w:abstractNumId w:val="1"/>
  </w:num>
  <w:num w:numId="28" w16cid:durableId="13921277">
    <w:abstractNumId w:val="0"/>
  </w:num>
  <w:num w:numId="29" w16cid:durableId="1721324158">
    <w:abstractNumId w:val="85"/>
  </w:num>
  <w:num w:numId="30" w16cid:durableId="83964068">
    <w:abstractNumId w:val="74"/>
  </w:num>
  <w:num w:numId="31" w16cid:durableId="1227836066">
    <w:abstractNumId w:val="51"/>
  </w:num>
  <w:num w:numId="32" w16cid:durableId="1912885194">
    <w:abstractNumId w:val="86"/>
  </w:num>
  <w:num w:numId="33" w16cid:durableId="822042472">
    <w:abstractNumId w:val="27"/>
  </w:num>
  <w:num w:numId="34" w16cid:durableId="1798327564">
    <w:abstractNumId w:val="19"/>
  </w:num>
  <w:num w:numId="35" w16cid:durableId="289476560">
    <w:abstractNumId w:val="87"/>
  </w:num>
  <w:num w:numId="36" w16cid:durableId="1166625156">
    <w:abstractNumId w:val="73"/>
  </w:num>
  <w:num w:numId="37" w16cid:durableId="15084816">
    <w:abstractNumId w:val="82"/>
  </w:num>
  <w:num w:numId="38" w16cid:durableId="103040091">
    <w:abstractNumId w:val="69"/>
  </w:num>
  <w:num w:numId="39" w16cid:durableId="250163807">
    <w:abstractNumId w:val="75"/>
  </w:num>
  <w:num w:numId="40" w16cid:durableId="600140943">
    <w:abstractNumId w:val="40"/>
  </w:num>
  <w:num w:numId="41" w16cid:durableId="85157210">
    <w:abstractNumId w:val="56"/>
  </w:num>
  <w:num w:numId="42" w16cid:durableId="101581250">
    <w:abstractNumId w:val="62"/>
  </w:num>
  <w:num w:numId="43" w16cid:durableId="301273380">
    <w:abstractNumId w:val="54"/>
  </w:num>
  <w:num w:numId="44" w16cid:durableId="889729047">
    <w:abstractNumId w:val="61"/>
  </w:num>
  <w:num w:numId="45" w16cid:durableId="637760724">
    <w:abstractNumId w:val="52"/>
  </w:num>
  <w:num w:numId="46" w16cid:durableId="812020700">
    <w:abstractNumId w:val="64"/>
  </w:num>
  <w:num w:numId="47" w16cid:durableId="837616981">
    <w:abstractNumId w:val="83"/>
  </w:num>
  <w:num w:numId="48" w16cid:durableId="1324161053">
    <w:abstractNumId w:val="14"/>
  </w:num>
  <w:num w:numId="49" w16cid:durableId="696928056">
    <w:abstractNumId w:val="66"/>
  </w:num>
  <w:num w:numId="50" w16cid:durableId="938877582">
    <w:abstractNumId w:val="47"/>
  </w:num>
  <w:num w:numId="51" w16cid:durableId="569123285">
    <w:abstractNumId w:val="25"/>
  </w:num>
  <w:num w:numId="52" w16cid:durableId="1847093689">
    <w:abstractNumId w:val="28"/>
  </w:num>
  <w:num w:numId="53" w16cid:durableId="478615317">
    <w:abstractNumId w:val="29"/>
  </w:num>
  <w:num w:numId="54" w16cid:durableId="730615178">
    <w:abstractNumId w:val="59"/>
  </w:num>
  <w:num w:numId="55" w16cid:durableId="1749616710">
    <w:abstractNumId w:val="12"/>
  </w:num>
  <w:num w:numId="56" w16cid:durableId="1349408143">
    <w:abstractNumId w:val="13"/>
  </w:num>
  <w:num w:numId="57" w16cid:durableId="113906767">
    <w:abstractNumId w:val="63"/>
  </w:num>
  <w:num w:numId="58" w16cid:durableId="343168435">
    <w:abstractNumId w:val="17"/>
  </w:num>
  <w:num w:numId="59" w16cid:durableId="1874809878">
    <w:abstractNumId w:val="84"/>
  </w:num>
  <w:num w:numId="60" w16cid:durableId="493421709">
    <w:abstractNumId w:val="43"/>
  </w:num>
  <w:num w:numId="61" w16cid:durableId="586572973">
    <w:abstractNumId w:val="48"/>
  </w:num>
  <w:num w:numId="62" w16cid:durableId="43601636">
    <w:abstractNumId w:val="81"/>
  </w:num>
  <w:num w:numId="63" w16cid:durableId="1301691725">
    <w:abstractNumId w:val="16"/>
  </w:num>
  <w:num w:numId="64" w16cid:durableId="1798446448">
    <w:abstractNumId w:val="11"/>
  </w:num>
  <w:num w:numId="65" w16cid:durableId="294801097">
    <w:abstractNumId w:val="77"/>
  </w:num>
  <w:num w:numId="66" w16cid:durableId="562910447">
    <w:abstractNumId w:val="44"/>
  </w:num>
  <w:num w:numId="67" w16cid:durableId="369846812">
    <w:abstractNumId w:val="8"/>
  </w:num>
  <w:num w:numId="68" w16cid:durableId="211424199">
    <w:abstractNumId w:val="50"/>
  </w:num>
  <w:num w:numId="69" w16cid:durableId="1840316703">
    <w:abstractNumId w:val="60"/>
  </w:num>
  <w:num w:numId="70" w16cid:durableId="668365777">
    <w:abstractNumId w:val="46"/>
  </w:num>
  <w:num w:numId="71" w16cid:durableId="1069381867">
    <w:abstractNumId w:val="35"/>
  </w:num>
  <w:num w:numId="72" w16cid:durableId="78525175">
    <w:abstractNumId w:val="68"/>
  </w:num>
  <w:num w:numId="73" w16cid:durableId="1374773549">
    <w:abstractNumId w:val="55"/>
  </w:num>
  <w:num w:numId="74" w16cid:durableId="836921330">
    <w:abstractNumId w:val="79"/>
  </w:num>
  <w:num w:numId="75" w16cid:durableId="2080786482">
    <w:abstractNumId w:val="67"/>
  </w:num>
  <w:num w:numId="76" w16cid:durableId="1698697333">
    <w:abstractNumId w:val="78"/>
  </w:num>
  <w:num w:numId="77" w16cid:durableId="679965519">
    <w:abstractNumId w:val="80"/>
  </w:num>
  <w:num w:numId="78" w16cid:durableId="373192239">
    <w:abstractNumId w:val="39"/>
  </w:num>
  <w:num w:numId="79" w16cid:durableId="1472484326">
    <w:abstractNumId w:val="23"/>
  </w:num>
  <w:num w:numId="80" w16cid:durableId="1954629073">
    <w:abstractNumId w:val="70"/>
  </w:num>
  <w:num w:numId="81" w16cid:durableId="517037531">
    <w:abstractNumId w:val="26"/>
  </w:num>
  <w:num w:numId="82" w16cid:durableId="2013606219">
    <w:abstractNumId w:val="58"/>
  </w:num>
  <w:num w:numId="83" w16cid:durableId="1260262795">
    <w:abstractNumId w:val="37"/>
  </w:num>
  <w:num w:numId="84" w16cid:durableId="1408070366">
    <w:abstractNumId w:val="22"/>
  </w:num>
  <w:num w:numId="85" w16cid:durableId="1185827434">
    <w:abstractNumId w:val="42"/>
  </w:num>
  <w:num w:numId="86" w16cid:durableId="681274476">
    <w:abstractNumId w:val="45"/>
  </w:num>
  <w:num w:numId="87" w16cid:durableId="1841651345">
    <w:abstractNumId w:val="41"/>
  </w:num>
  <w:num w:numId="88" w16cid:durableId="819620227">
    <w:abstractNumId w:val="10"/>
  </w:num>
  <w:num w:numId="89" w16cid:durableId="1749880481">
    <w:abstractNumId w:val="5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edit="readOnly" w:enforcement="0"/>
  <w:defaultTabStop w:val="720"/>
  <w:hyphenationZone w:val="425"/>
  <w:defaultTableStyle w:val="Plai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c1tzAwMLAwMjIxMjdQ0lEKTi0uzszPAykwM6sFAPCCSSctAAAA"/>
  </w:docVars>
  <w:rsids>
    <w:rsidRoot w:val="00E54D23"/>
    <w:rsid w:val="000001E7"/>
    <w:rsid w:val="00000812"/>
    <w:rsid w:val="000013E6"/>
    <w:rsid w:val="0000144A"/>
    <w:rsid w:val="00001A5E"/>
    <w:rsid w:val="00001DFB"/>
    <w:rsid w:val="00001F81"/>
    <w:rsid w:val="0000251F"/>
    <w:rsid w:val="00002BAE"/>
    <w:rsid w:val="00003132"/>
    <w:rsid w:val="00003C4B"/>
    <w:rsid w:val="00004512"/>
    <w:rsid w:val="00004643"/>
    <w:rsid w:val="00004B05"/>
    <w:rsid w:val="000050E1"/>
    <w:rsid w:val="00005133"/>
    <w:rsid w:val="000051DC"/>
    <w:rsid w:val="000053FE"/>
    <w:rsid w:val="00005562"/>
    <w:rsid w:val="000060FD"/>
    <w:rsid w:val="00006391"/>
    <w:rsid w:val="00006BDC"/>
    <w:rsid w:val="00006F06"/>
    <w:rsid w:val="00006F31"/>
    <w:rsid w:val="00007521"/>
    <w:rsid w:val="000101DC"/>
    <w:rsid w:val="00010264"/>
    <w:rsid w:val="00010938"/>
    <w:rsid w:val="00010E41"/>
    <w:rsid w:val="0001181E"/>
    <w:rsid w:val="00011DE1"/>
    <w:rsid w:val="00012484"/>
    <w:rsid w:val="00012DD9"/>
    <w:rsid w:val="00012DDA"/>
    <w:rsid w:val="00013072"/>
    <w:rsid w:val="000131CD"/>
    <w:rsid w:val="00013503"/>
    <w:rsid w:val="00014D01"/>
    <w:rsid w:val="00015AA5"/>
    <w:rsid w:val="00015C0E"/>
    <w:rsid w:val="00016307"/>
    <w:rsid w:val="0001671E"/>
    <w:rsid w:val="000169FD"/>
    <w:rsid w:val="00016CF8"/>
    <w:rsid w:val="00017C30"/>
    <w:rsid w:val="0002143F"/>
    <w:rsid w:val="00021E3F"/>
    <w:rsid w:val="000232E1"/>
    <w:rsid w:val="000234D7"/>
    <w:rsid w:val="000239A0"/>
    <w:rsid w:val="00024268"/>
    <w:rsid w:val="0002481C"/>
    <w:rsid w:val="00024A66"/>
    <w:rsid w:val="00024CE3"/>
    <w:rsid w:val="000250F1"/>
    <w:rsid w:val="000251B6"/>
    <w:rsid w:val="00025DCB"/>
    <w:rsid w:val="0002648C"/>
    <w:rsid w:val="00026B7C"/>
    <w:rsid w:val="00026F4B"/>
    <w:rsid w:val="000277B4"/>
    <w:rsid w:val="00027C2B"/>
    <w:rsid w:val="0003084D"/>
    <w:rsid w:val="00030C1B"/>
    <w:rsid w:val="00030CA9"/>
    <w:rsid w:val="00031B39"/>
    <w:rsid w:val="00031F21"/>
    <w:rsid w:val="000326D2"/>
    <w:rsid w:val="000327FC"/>
    <w:rsid w:val="00032C9C"/>
    <w:rsid w:val="00033BA5"/>
    <w:rsid w:val="00033F06"/>
    <w:rsid w:val="00034ECC"/>
    <w:rsid w:val="0003599E"/>
    <w:rsid w:val="000361E5"/>
    <w:rsid w:val="00036B0D"/>
    <w:rsid w:val="0004025C"/>
    <w:rsid w:val="00040C76"/>
    <w:rsid w:val="00040CC6"/>
    <w:rsid w:val="00040E25"/>
    <w:rsid w:val="00040FD1"/>
    <w:rsid w:val="000416D7"/>
    <w:rsid w:val="00041D9D"/>
    <w:rsid w:val="000420AA"/>
    <w:rsid w:val="0004216D"/>
    <w:rsid w:val="00043491"/>
    <w:rsid w:val="00043F99"/>
    <w:rsid w:val="00043FAF"/>
    <w:rsid w:val="000444C1"/>
    <w:rsid w:val="00044E00"/>
    <w:rsid w:val="00044F8C"/>
    <w:rsid w:val="000454DC"/>
    <w:rsid w:val="000458D9"/>
    <w:rsid w:val="00046514"/>
    <w:rsid w:val="00046F10"/>
    <w:rsid w:val="0005048F"/>
    <w:rsid w:val="000504AB"/>
    <w:rsid w:val="000515CF"/>
    <w:rsid w:val="000519FC"/>
    <w:rsid w:val="00051B91"/>
    <w:rsid w:val="00051CCA"/>
    <w:rsid w:val="00051D07"/>
    <w:rsid w:val="000522C9"/>
    <w:rsid w:val="000537F8"/>
    <w:rsid w:val="00053C0B"/>
    <w:rsid w:val="000549F6"/>
    <w:rsid w:val="00054DF7"/>
    <w:rsid w:val="00055EC8"/>
    <w:rsid w:val="000569A2"/>
    <w:rsid w:val="00057ECB"/>
    <w:rsid w:val="000606A8"/>
    <w:rsid w:val="00060741"/>
    <w:rsid w:val="00061030"/>
    <w:rsid w:val="000613F1"/>
    <w:rsid w:val="00061511"/>
    <w:rsid w:val="00061752"/>
    <w:rsid w:val="00061901"/>
    <w:rsid w:val="00061AE4"/>
    <w:rsid w:val="00061CDB"/>
    <w:rsid w:val="00061ED0"/>
    <w:rsid w:val="00062EF0"/>
    <w:rsid w:val="00063077"/>
    <w:rsid w:val="0006320E"/>
    <w:rsid w:val="0006331B"/>
    <w:rsid w:val="000656AA"/>
    <w:rsid w:val="00065A72"/>
    <w:rsid w:val="00065B32"/>
    <w:rsid w:val="000669BB"/>
    <w:rsid w:val="00066CE4"/>
    <w:rsid w:val="00067B71"/>
    <w:rsid w:val="00067E66"/>
    <w:rsid w:val="000700C2"/>
    <w:rsid w:val="00070250"/>
    <w:rsid w:val="000706ED"/>
    <w:rsid w:val="000709EA"/>
    <w:rsid w:val="000720F5"/>
    <w:rsid w:val="00072560"/>
    <w:rsid w:val="00072F69"/>
    <w:rsid w:val="00073A1B"/>
    <w:rsid w:val="00073ED8"/>
    <w:rsid w:val="000740C0"/>
    <w:rsid w:val="00074FDD"/>
    <w:rsid w:val="0007536B"/>
    <w:rsid w:val="0007541D"/>
    <w:rsid w:val="000754C3"/>
    <w:rsid w:val="000760C0"/>
    <w:rsid w:val="000761E1"/>
    <w:rsid w:val="00077036"/>
    <w:rsid w:val="000771A2"/>
    <w:rsid w:val="0007721B"/>
    <w:rsid w:val="00077786"/>
    <w:rsid w:val="000777C9"/>
    <w:rsid w:val="00077B85"/>
    <w:rsid w:val="000800D0"/>
    <w:rsid w:val="0008012A"/>
    <w:rsid w:val="0008016D"/>
    <w:rsid w:val="0008084A"/>
    <w:rsid w:val="000810B6"/>
    <w:rsid w:val="00082AC8"/>
    <w:rsid w:val="00083610"/>
    <w:rsid w:val="00083D0B"/>
    <w:rsid w:val="00083F64"/>
    <w:rsid w:val="00084C3A"/>
    <w:rsid w:val="00085058"/>
    <w:rsid w:val="0008556B"/>
    <w:rsid w:val="00085828"/>
    <w:rsid w:val="0008594D"/>
    <w:rsid w:val="00087613"/>
    <w:rsid w:val="00090775"/>
    <w:rsid w:val="00090CA3"/>
    <w:rsid w:val="00091B3A"/>
    <w:rsid w:val="000923A8"/>
    <w:rsid w:val="00093860"/>
    <w:rsid w:val="00093A1A"/>
    <w:rsid w:val="00093E07"/>
    <w:rsid w:val="00094015"/>
    <w:rsid w:val="00094522"/>
    <w:rsid w:val="000946AD"/>
    <w:rsid w:val="00095738"/>
    <w:rsid w:val="000961F0"/>
    <w:rsid w:val="000A0826"/>
    <w:rsid w:val="000A0856"/>
    <w:rsid w:val="000A0B9B"/>
    <w:rsid w:val="000A17C4"/>
    <w:rsid w:val="000A1A32"/>
    <w:rsid w:val="000A1FC7"/>
    <w:rsid w:val="000A26F3"/>
    <w:rsid w:val="000A2BE9"/>
    <w:rsid w:val="000A302A"/>
    <w:rsid w:val="000A3550"/>
    <w:rsid w:val="000A377D"/>
    <w:rsid w:val="000A391D"/>
    <w:rsid w:val="000A47A7"/>
    <w:rsid w:val="000A61CC"/>
    <w:rsid w:val="000A67F5"/>
    <w:rsid w:val="000A6FA0"/>
    <w:rsid w:val="000A79E0"/>
    <w:rsid w:val="000A7E19"/>
    <w:rsid w:val="000B02BE"/>
    <w:rsid w:val="000B0425"/>
    <w:rsid w:val="000B058C"/>
    <w:rsid w:val="000B0855"/>
    <w:rsid w:val="000B1056"/>
    <w:rsid w:val="000B1120"/>
    <w:rsid w:val="000B17D6"/>
    <w:rsid w:val="000B1968"/>
    <w:rsid w:val="000B1BBF"/>
    <w:rsid w:val="000B1FDF"/>
    <w:rsid w:val="000B2030"/>
    <w:rsid w:val="000B223B"/>
    <w:rsid w:val="000B23A3"/>
    <w:rsid w:val="000B2A04"/>
    <w:rsid w:val="000B439D"/>
    <w:rsid w:val="000B5DF2"/>
    <w:rsid w:val="000B63AE"/>
    <w:rsid w:val="000B6BB9"/>
    <w:rsid w:val="000B6E19"/>
    <w:rsid w:val="000B7DED"/>
    <w:rsid w:val="000C0319"/>
    <w:rsid w:val="000C177A"/>
    <w:rsid w:val="000C1881"/>
    <w:rsid w:val="000C2DAB"/>
    <w:rsid w:val="000C3447"/>
    <w:rsid w:val="000C3652"/>
    <w:rsid w:val="000C3812"/>
    <w:rsid w:val="000C48EE"/>
    <w:rsid w:val="000C4A67"/>
    <w:rsid w:val="000C4CBB"/>
    <w:rsid w:val="000C4F0B"/>
    <w:rsid w:val="000C6049"/>
    <w:rsid w:val="000C6A18"/>
    <w:rsid w:val="000C6A3D"/>
    <w:rsid w:val="000C6D8A"/>
    <w:rsid w:val="000C7708"/>
    <w:rsid w:val="000C7ECE"/>
    <w:rsid w:val="000D018E"/>
    <w:rsid w:val="000D0D2D"/>
    <w:rsid w:val="000D19DB"/>
    <w:rsid w:val="000D2A91"/>
    <w:rsid w:val="000D2BD8"/>
    <w:rsid w:val="000D3BE9"/>
    <w:rsid w:val="000D3CD2"/>
    <w:rsid w:val="000D4630"/>
    <w:rsid w:val="000D46D8"/>
    <w:rsid w:val="000D4CA9"/>
    <w:rsid w:val="000D5A5A"/>
    <w:rsid w:val="000D5B11"/>
    <w:rsid w:val="000D6770"/>
    <w:rsid w:val="000D6F58"/>
    <w:rsid w:val="000E0425"/>
    <w:rsid w:val="000E0776"/>
    <w:rsid w:val="000E187C"/>
    <w:rsid w:val="000E1C61"/>
    <w:rsid w:val="000E27A9"/>
    <w:rsid w:val="000E31EE"/>
    <w:rsid w:val="000E35B5"/>
    <w:rsid w:val="000E45FE"/>
    <w:rsid w:val="000E4941"/>
    <w:rsid w:val="000E5D95"/>
    <w:rsid w:val="000E5E96"/>
    <w:rsid w:val="000E5F8F"/>
    <w:rsid w:val="000E6042"/>
    <w:rsid w:val="000E7326"/>
    <w:rsid w:val="000E790E"/>
    <w:rsid w:val="000F0277"/>
    <w:rsid w:val="000F093C"/>
    <w:rsid w:val="000F1D50"/>
    <w:rsid w:val="000F1EC7"/>
    <w:rsid w:val="000F289F"/>
    <w:rsid w:val="000F2B78"/>
    <w:rsid w:val="000F337C"/>
    <w:rsid w:val="000F36B1"/>
    <w:rsid w:val="000F3A72"/>
    <w:rsid w:val="000F3F54"/>
    <w:rsid w:val="000F47DF"/>
    <w:rsid w:val="000F492D"/>
    <w:rsid w:val="000F4CED"/>
    <w:rsid w:val="000F760E"/>
    <w:rsid w:val="00100C33"/>
    <w:rsid w:val="00100F29"/>
    <w:rsid w:val="00101072"/>
    <w:rsid w:val="0010138C"/>
    <w:rsid w:val="0010145A"/>
    <w:rsid w:val="00101883"/>
    <w:rsid w:val="00102158"/>
    <w:rsid w:val="00102C6B"/>
    <w:rsid w:val="00102F67"/>
    <w:rsid w:val="00103165"/>
    <w:rsid w:val="00104666"/>
    <w:rsid w:val="00104902"/>
    <w:rsid w:val="00105559"/>
    <w:rsid w:val="001055AC"/>
    <w:rsid w:val="001059BC"/>
    <w:rsid w:val="00106C9B"/>
    <w:rsid w:val="00106FCA"/>
    <w:rsid w:val="0010789A"/>
    <w:rsid w:val="00107CFB"/>
    <w:rsid w:val="00107F73"/>
    <w:rsid w:val="00110008"/>
    <w:rsid w:val="0011086C"/>
    <w:rsid w:val="00110A9C"/>
    <w:rsid w:val="00110B7F"/>
    <w:rsid w:val="001114DA"/>
    <w:rsid w:val="00112634"/>
    <w:rsid w:val="00112AB1"/>
    <w:rsid w:val="0011351F"/>
    <w:rsid w:val="00113A67"/>
    <w:rsid w:val="00113F39"/>
    <w:rsid w:val="001142B7"/>
    <w:rsid w:val="00114408"/>
    <w:rsid w:val="0011479A"/>
    <w:rsid w:val="001148A0"/>
    <w:rsid w:val="00114B3F"/>
    <w:rsid w:val="00114BBF"/>
    <w:rsid w:val="001152A2"/>
    <w:rsid w:val="0011546A"/>
    <w:rsid w:val="00115734"/>
    <w:rsid w:val="00116F38"/>
    <w:rsid w:val="0011762F"/>
    <w:rsid w:val="00117672"/>
    <w:rsid w:val="00117A80"/>
    <w:rsid w:val="001215E0"/>
    <w:rsid w:val="001219FE"/>
    <w:rsid w:val="00121AE1"/>
    <w:rsid w:val="00122C5C"/>
    <w:rsid w:val="0012339E"/>
    <w:rsid w:val="001236AF"/>
    <w:rsid w:val="00123FB3"/>
    <w:rsid w:val="00124000"/>
    <w:rsid w:val="00124B68"/>
    <w:rsid w:val="00125603"/>
    <w:rsid w:val="001260A5"/>
    <w:rsid w:val="00126159"/>
    <w:rsid w:val="00126392"/>
    <w:rsid w:val="0012644A"/>
    <w:rsid w:val="00127C84"/>
    <w:rsid w:val="00127F33"/>
    <w:rsid w:val="001300F9"/>
    <w:rsid w:val="00130438"/>
    <w:rsid w:val="0013055B"/>
    <w:rsid w:val="00130799"/>
    <w:rsid w:val="00130A6E"/>
    <w:rsid w:val="00130B23"/>
    <w:rsid w:val="00131014"/>
    <w:rsid w:val="00131740"/>
    <w:rsid w:val="00131F34"/>
    <w:rsid w:val="00132889"/>
    <w:rsid w:val="00132BDC"/>
    <w:rsid w:val="001338B1"/>
    <w:rsid w:val="0013447F"/>
    <w:rsid w:val="001368FC"/>
    <w:rsid w:val="00137209"/>
    <w:rsid w:val="00140B0C"/>
    <w:rsid w:val="0014117E"/>
    <w:rsid w:val="001416F4"/>
    <w:rsid w:val="001418B6"/>
    <w:rsid w:val="00141FA2"/>
    <w:rsid w:val="00142169"/>
    <w:rsid w:val="00142430"/>
    <w:rsid w:val="00142A66"/>
    <w:rsid w:val="001436C3"/>
    <w:rsid w:val="00144185"/>
    <w:rsid w:val="00145477"/>
    <w:rsid w:val="0014702E"/>
    <w:rsid w:val="001474E5"/>
    <w:rsid w:val="00147B58"/>
    <w:rsid w:val="00147F08"/>
    <w:rsid w:val="0015067F"/>
    <w:rsid w:val="00150A64"/>
    <w:rsid w:val="00151706"/>
    <w:rsid w:val="00151BD2"/>
    <w:rsid w:val="00151FF1"/>
    <w:rsid w:val="00152B9B"/>
    <w:rsid w:val="001532F6"/>
    <w:rsid w:val="00153867"/>
    <w:rsid w:val="0015498B"/>
    <w:rsid w:val="00156C6C"/>
    <w:rsid w:val="001577E6"/>
    <w:rsid w:val="00157938"/>
    <w:rsid w:val="001605A6"/>
    <w:rsid w:val="00160D9E"/>
    <w:rsid w:val="00161516"/>
    <w:rsid w:val="00161944"/>
    <w:rsid w:val="00162233"/>
    <w:rsid w:val="00162BC1"/>
    <w:rsid w:val="00162E24"/>
    <w:rsid w:val="001646D3"/>
    <w:rsid w:val="00164B83"/>
    <w:rsid w:val="001653B2"/>
    <w:rsid w:val="00166A06"/>
    <w:rsid w:val="001671F5"/>
    <w:rsid w:val="00170549"/>
    <w:rsid w:val="00170CFA"/>
    <w:rsid w:val="00171072"/>
    <w:rsid w:val="001713BD"/>
    <w:rsid w:val="001714F2"/>
    <w:rsid w:val="00171A8F"/>
    <w:rsid w:val="00171EE8"/>
    <w:rsid w:val="0017202F"/>
    <w:rsid w:val="001729AA"/>
    <w:rsid w:val="001731C3"/>
    <w:rsid w:val="001735A6"/>
    <w:rsid w:val="00173BA8"/>
    <w:rsid w:val="00173D3A"/>
    <w:rsid w:val="00174322"/>
    <w:rsid w:val="0017471D"/>
    <w:rsid w:val="0017562A"/>
    <w:rsid w:val="00175BE1"/>
    <w:rsid w:val="00176CAE"/>
    <w:rsid w:val="001773AC"/>
    <w:rsid w:val="00180560"/>
    <w:rsid w:val="00180B94"/>
    <w:rsid w:val="0018182D"/>
    <w:rsid w:val="00181E0C"/>
    <w:rsid w:val="00182055"/>
    <w:rsid w:val="001821E6"/>
    <w:rsid w:val="00182CF4"/>
    <w:rsid w:val="00183176"/>
    <w:rsid w:val="0018384F"/>
    <w:rsid w:val="001841C4"/>
    <w:rsid w:val="00184236"/>
    <w:rsid w:val="001845DA"/>
    <w:rsid w:val="001848E1"/>
    <w:rsid w:val="00184FAE"/>
    <w:rsid w:val="001861FC"/>
    <w:rsid w:val="001907A3"/>
    <w:rsid w:val="0019080C"/>
    <w:rsid w:val="0019126B"/>
    <w:rsid w:val="0019170B"/>
    <w:rsid w:val="00192228"/>
    <w:rsid w:val="00192812"/>
    <w:rsid w:val="00192C4F"/>
    <w:rsid w:val="00193AD4"/>
    <w:rsid w:val="00193AD7"/>
    <w:rsid w:val="00193F0D"/>
    <w:rsid w:val="00194116"/>
    <w:rsid w:val="00194309"/>
    <w:rsid w:val="00194B28"/>
    <w:rsid w:val="001951F4"/>
    <w:rsid w:val="00195467"/>
    <w:rsid w:val="001956D8"/>
    <w:rsid w:val="0019620B"/>
    <w:rsid w:val="00196F14"/>
    <w:rsid w:val="00196FDE"/>
    <w:rsid w:val="00197B0D"/>
    <w:rsid w:val="00197B52"/>
    <w:rsid w:val="001A0018"/>
    <w:rsid w:val="001A0989"/>
    <w:rsid w:val="001A1101"/>
    <w:rsid w:val="001A1AEE"/>
    <w:rsid w:val="001A222C"/>
    <w:rsid w:val="001A2BF6"/>
    <w:rsid w:val="001A30BA"/>
    <w:rsid w:val="001A3407"/>
    <w:rsid w:val="001A349F"/>
    <w:rsid w:val="001A4865"/>
    <w:rsid w:val="001A4C9F"/>
    <w:rsid w:val="001A50B7"/>
    <w:rsid w:val="001A5641"/>
    <w:rsid w:val="001A5ADC"/>
    <w:rsid w:val="001A5EC9"/>
    <w:rsid w:val="001A5F0E"/>
    <w:rsid w:val="001A6209"/>
    <w:rsid w:val="001A6527"/>
    <w:rsid w:val="001A664A"/>
    <w:rsid w:val="001A6B3B"/>
    <w:rsid w:val="001B115A"/>
    <w:rsid w:val="001B141C"/>
    <w:rsid w:val="001B15E3"/>
    <w:rsid w:val="001B16F8"/>
    <w:rsid w:val="001B1D78"/>
    <w:rsid w:val="001B2372"/>
    <w:rsid w:val="001B2B48"/>
    <w:rsid w:val="001B2E91"/>
    <w:rsid w:val="001B34AD"/>
    <w:rsid w:val="001B3BCA"/>
    <w:rsid w:val="001B4001"/>
    <w:rsid w:val="001B4603"/>
    <w:rsid w:val="001B493D"/>
    <w:rsid w:val="001B49C4"/>
    <w:rsid w:val="001B4E06"/>
    <w:rsid w:val="001B6C76"/>
    <w:rsid w:val="001B701A"/>
    <w:rsid w:val="001B7212"/>
    <w:rsid w:val="001B79F1"/>
    <w:rsid w:val="001B7B40"/>
    <w:rsid w:val="001C082B"/>
    <w:rsid w:val="001C13DA"/>
    <w:rsid w:val="001C18FF"/>
    <w:rsid w:val="001C21D4"/>
    <w:rsid w:val="001C23F6"/>
    <w:rsid w:val="001C258D"/>
    <w:rsid w:val="001C264F"/>
    <w:rsid w:val="001C284D"/>
    <w:rsid w:val="001C2978"/>
    <w:rsid w:val="001C2FB8"/>
    <w:rsid w:val="001C32E4"/>
    <w:rsid w:val="001C3B32"/>
    <w:rsid w:val="001C4388"/>
    <w:rsid w:val="001C45C0"/>
    <w:rsid w:val="001C5030"/>
    <w:rsid w:val="001C50EE"/>
    <w:rsid w:val="001C565A"/>
    <w:rsid w:val="001C58E0"/>
    <w:rsid w:val="001C5A8A"/>
    <w:rsid w:val="001C61CA"/>
    <w:rsid w:val="001C6374"/>
    <w:rsid w:val="001C67F9"/>
    <w:rsid w:val="001C6B18"/>
    <w:rsid w:val="001C6FC6"/>
    <w:rsid w:val="001C72E3"/>
    <w:rsid w:val="001C7387"/>
    <w:rsid w:val="001C759A"/>
    <w:rsid w:val="001C7C2F"/>
    <w:rsid w:val="001D003D"/>
    <w:rsid w:val="001D03D1"/>
    <w:rsid w:val="001D0654"/>
    <w:rsid w:val="001D0D37"/>
    <w:rsid w:val="001D0D51"/>
    <w:rsid w:val="001D0E85"/>
    <w:rsid w:val="001D12FB"/>
    <w:rsid w:val="001D211E"/>
    <w:rsid w:val="001D2844"/>
    <w:rsid w:val="001D3C4C"/>
    <w:rsid w:val="001D4A66"/>
    <w:rsid w:val="001D5128"/>
    <w:rsid w:val="001D5149"/>
    <w:rsid w:val="001D63E9"/>
    <w:rsid w:val="001D6C1F"/>
    <w:rsid w:val="001D6D0A"/>
    <w:rsid w:val="001D71A5"/>
    <w:rsid w:val="001D73CB"/>
    <w:rsid w:val="001D74FA"/>
    <w:rsid w:val="001E0313"/>
    <w:rsid w:val="001E08BE"/>
    <w:rsid w:val="001E1E81"/>
    <w:rsid w:val="001E242F"/>
    <w:rsid w:val="001E2A5B"/>
    <w:rsid w:val="001E2D00"/>
    <w:rsid w:val="001E3BDB"/>
    <w:rsid w:val="001E3C4F"/>
    <w:rsid w:val="001E3D2D"/>
    <w:rsid w:val="001E419B"/>
    <w:rsid w:val="001E488E"/>
    <w:rsid w:val="001E534B"/>
    <w:rsid w:val="001E5780"/>
    <w:rsid w:val="001E57F2"/>
    <w:rsid w:val="001E5E95"/>
    <w:rsid w:val="001E5ECD"/>
    <w:rsid w:val="001E5F25"/>
    <w:rsid w:val="001E60C4"/>
    <w:rsid w:val="001E6ACE"/>
    <w:rsid w:val="001E6C6E"/>
    <w:rsid w:val="001E741B"/>
    <w:rsid w:val="001E78F2"/>
    <w:rsid w:val="001F0163"/>
    <w:rsid w:val="001F0825"/>
    <w:rsid w:val="001F135E"/>
    <w:rsid w:val="001F1384"/>
    <w:rsid w:val="001F1E0B"/>
    <w:rsid w:val="001F242C"/>
    <w:rsid w:val="001F2BF9"/>
    <w:rsid w:val="001F3125"/>
    <w:rsid w:val="001F31C6"/>
    <w:rsid w:val="001F348F"/>
    <w:rsid w:val="001F362B"/>
    <w:rsid w:val="001F370F"/>
    <w:rsid w:val="001F3E55"/>
    <w:rsid w:val="001F47C4"/>
    <w:rsid w:val="001F51B3"/>
    <w:rsid w:val="001F5C58"/>
    <w:rsid w:val="001F5C9A"/>
    <w:rsid w:val="001F6071"/>
    <w:rsid w:val="001F6C0D"/>
    <w:rsid w:val="001F6C7F"/>
    <w:rsid w:val="001F6EFD"/>
    <w:rsid w:val="001F7DCB"/>
    <w:rsid w:val="001F7FFA"/>
    <w:rsid w:val="002003B2"/>
    <w:rsid w:val="00200CDE"/>
    <w:rsid w:val="002010FB"/>
    <w:rsid w:val="00201265"/>
    <w:rsid w:val="002013A0"/>
    <w:rsid w:val="0020165E"/>
    <w:rsid w:val="002018A2"/>
    <w:rsid w:val="0020234C"/>
    <w:rsid w:val="00202C66"/>
    <w:rsid w:val="0020302A"/>
    <w:rsid w:val="00203674"/>
    <w:rsid w:val="00203A10"/>
    <w:rsid w:val="00203FD7"/>
    <w:rsid w:val="00205252"/>
    <w:rsid w:val="00205655"/>
    <w:rsid w:val="0020567B"/>
    <w:rsid w:val="002057ED"/>
    <w:rsid w:val="00205A0B"/>
    <w:rsid w:val="0020630C"/>
    <w:rsid w:val="0020644E"/>
    <w:rsid w:val="00206A6B"/>
    <w:rsid w:val="002074E1"/>
    <w:rsid w:val="0021087D"/>
    <w:rsid w:val="00210B37"/>
    <w:rsid w:val="0021127A"/>
    <w:rsid w:val="00211AF9"/>
    <w:rsid w:val="00211DB4"/>
    <w:rsid w:val="002120DA"/>
    <w:rsid w:val="00212B23"/>
    <w:rsid w:val="00212D3B"/>
    <w:rsid w:val="00213897"/>
    <w:rsid w:val="00213F76"/>
    <w:rsid w:val="0021410B"/>
    <w:rsid w:val="00215744"/>
    <w:rsid w:val="0021637A"/>
    <w:rsid w:val="00216D88"/>
    <w:rsid w:val="00220A24"/>
    <w:rsid w:val="00220F70"/>
    <w:rsid w:val="002210F2"/>
    <w:rsid w:val="002211B1"/>
    <w:rsid w:val="0022151C"/>
    <w:rsid w:val="0022157E"/>
    <w:rsid w:val="00222505"/>
    <w:rsid w:val="002225FF"/>
    <w:rsid w:val="002226F7"/>
    <w:rsid w:val="002234D6"/>
    <w:rsid w:val="002245B8"/>
    <w:rsid w:val="00224784"/>
    <w:rsid w:val="002249A2"/>
    <w:rsid w:val="00225369"/>
    <w:rsid w:val="00225A4B"/>
    <w:rsid w:val="00226EED"/>
    <w:rsid w:val="00230636"/>
    <w:rsid w:val="00230B13"/>
    <w:rsid w:val="00230D83"/>
    <w:rsid w:val="00231D42"/>
    <w:rsid w:val="0023232D"/>
    <w:rsid w:val="002333FE"/>
    <w:rsid w:val="00233706"/>
    <w:rsid w:val="0023399E"/>
    <w:rsid w:val="00236098"/>
    <w:rsid w:val="00236284"/>
    <w:rsid w:val="002362DF"/>
    <w:rsid w:val="00236467"/>
    <w:rsid w:val="00236962"/>
    <w:rsid w:val="00236A23"/>
    <w:rsid w:val="0023782A"/>
    <w:rsid w:val="00237AD5"/>
    <w:rsid w:val="00237D2E"/>
    <w:rsid w:val="0024009C"/>
    <w:rsid w:val="0024041B"/>
    <w:rsid w:val="002404AB"/>
    <w:rsid w:val="002413AB"/>
    <w:rsid w:val="00241B4F"/>
    <w:rsid w:val="00241D70"/>
    <w:rsid w:val="002434F5"/>
    <w:rsid w:val="00245AD2"/>
    <w:rsid w:val="002466EF"/>
    <w:rsid w:val="00247026"/>
    <w:rsid w:val="00247B1B"/>
    <w:rsid w:val="00247C5B"/>
    <w:rsid w:val="00250239"/>
    <w:rsid w:val="0025054D"/>
    <w:rsid w:val="00250714"/>
    <w:rsid w:val="00250879"/>
    <w:rsid w:val="00250D00"/>
    <w:rsid w:val="00250DAB"/>
    <w:rsid w:val="002518F6"/>
    <w:rsid w:val="00253C94"/>
    <w:rsid w:val="002566D9"/>
    <w:rsid w:val="002569C0"/>
    <w:rsid w:val="00256CB1"/>
    <w:rsid w:val="00256F79"/>
    <w:rsid w:val="0025787F"/>
    <w:rsid w:val="00257A59"/>
    <w:rsid w:val="0026004E"/>
    <w:rsid w:val="0026133E"/>
    <w:rsid w:val="002615C3"/>
    <w:rsid w:val="00261A06"/>
    <w:rsid w:val="002620A6"/>
    <w:rsid w:val="002622E9"/>
    <w:rsid w:val="0026321B"/>
    <w:rsid w:val="00263BB9"/>
    <w:rsid w:val="00263F6F"/>
    <w:rsid w:val="00264046"/>
    <w:rsid w:val="00264489"/>
    <w:rsid w:val="00264925"/>
    <w:rsid w:val="00265E6B"/>
    <w:rsid w:val="00266A93"/>
    <w:rsid w:val="00267EE6"/>
    <w:rsid w:val="0027006A"/>
    <w:rsid w:val="002708B2"/>
    <w:rsid w:val="00270965"/>
    <w:rsid w:val="002717D2"/>
    <w:rsid w:val="00271B8B"/>
    <w:rsid w:val="00271DB2"/>
    <w:rsid w:val="002720AE"/>
    <w:rsid w:val="002723D8"/>
    <w:rsid w:val="0027255C"/>
    <w:rsid w:val="0027354E"/>
    <w:rsid w:val="002742CF"/>
    <w:rsid w:val="002742DC"/>
    <w:rsid w:val="00274AD3"/>
    <w:rsid w:val="00274C45"/>
    <w:rsid w:val="00274DD8"/>
    <w:rsid w:val="002768DC"/>
    <w:rsid w:val="00276F83"/>
    <w:rsid w:val="002771FF"/>
    <w:rsid w:val="00277386"/>
    <w:rsid w:val="00280ABB"/>
    <w:rsid w:val="00280C9E"/>
    <w:rsid w:val="00281116"/>
    <w:rsid w:val="002813AB"/>
    <w:rsid w:val="00281497"/>
    <w:rsid w:val="0028191A"/>
    <w:rsid w:val="00281AB7"/>
    <w:rsid w:val="002820D3"/>
    <w:rsid w:val="0028239E"/>
    <w:rsid w:val="00282B4C"/>
    <w:rsid w:val="00282FBA"/>
    <w:rsid w:val="002831EC"/>
    <w:rsid w:val="002835C3"/>
    <w:rsid w:val="00284C6A"/>
    <w:rsid w:val="00285351"/>
    <w:rsid w:val="002857F5"/>
    <w:rsid w:val="00285E02"/>
    <w:rsid w:val="002864FE"/>
    <w:rsid w:val="00286AC0"/>
    <w:rsid w:val="00286C57"/>
    <w:rsid w:val="00286E00"/>
    <w:rsid w:val="00287414"/>
    <w:rsid w:val="00287C17"/>
    <w:rsid w:val="00287CD9"/>
    <w:rsid w:val="0029014E"/>
    <w:rsid w:val="002905EF"/>
    <w:rsid w:val="002907E4"/>
    <w:rsid w:val="00290B62"/>
    <w:rsid w:val="00290D3C"/>
    <w:rsid w:val="00291940"/>
    <w:rsid w:val="0029291E"/>
    <w:rsid w:val="00293B9F"/>
    <w:rsid w:val="0029440E"/>
    <w:rsid w:val="00294793"/>
    <w:rsid w:val="0029591A"/>
    <w:rsid w:val="00295B86"/>
    <w:rsid w:val="00295FE7"/>
    <w:rsid w:val="0029653C"/>
    <w:rsid w:val="0029686E"/>
    <w:rsid w:val="00297344"/>
    <w:rsid w:val="0029754F"/>
    <w:rsid w:val="00297AF0"/>
    <w:rsid w:val="00297BEE"/>
    <w:rsid w:val="002A01EC"/>
    <w:rsid w:val="002A031D"/>
    <w:rsid w:val="002A0662"/>
    <w:rsid w:val="002A0D42"/>
    <w:rsid w:val="002A1AC1"/>
    <w:rsid w:val="002A1E01"/>
    <w:rsid w:val="002A2263"/>
    <w:rsid w:val="002A2749"/>
    <w:rsid w:val="002A406E"/>
    <w:rsid w:val="002A4624"/>
    <w:rsid w:val="002A4B93"/>
    <w:rsid w:val="002A4D32"/>
    <w:rsid w:val="002A5739"/>
    <w:rsid w:val="002A5848"/>
    <w:rsid w:val="002A6040"/>
    <w:rsid w:val="002A6181"/>
    <w:rsid w:val="002A6447"/>
    <w:rsid w:val="002A68CF"/>
    <w:rsid w:val="002A6C5B"/>
    <w:rsid w:val="002A7079"/>
    <w:rsid w:val="002A7584"/>
    <w:rsid w:val="002A76EC"/>
    <w:rsid w:val="002A76FD"/>
    <w:rsid w:val="002A77D8"/>
    <w:rsid w:val="002A7880"/>
    <w:rsid w:val="002B0F0F"/>
    <w:rsid w:val="002B1D41"/>
    <w:rsid w:val="002B1D9D"/>
    <w:rsid w:val="002B1F1A"/>
    <w:rsid w:val="002B20C7"/>
    <w:rsid w:val="002B22BA"/>
    <w:rsid w:val="002B2886"/>
    <w:rsid w:val="002B2C09"/>
    <w:rsid w:val="002B3852"/>
    <w:rsid w:val="002B3C9E"/>
    <w:rsid w:val="002B5662"/>
    <w:rsid w:val="002B6247"/>
    <w:rsid w:val="002B6760"/>
    <w:rsid w:val="002B6850"/>
    <w:rsid w:val="002B6A9B"/>
    <w:rsid w:val="002B721E"/>
    <w:rsid w:val="002B7235"/>
    <w:rsid w:val="002B732E"/>
    <w:rsid w:val="002B7735"/>
    <w:rsid w:val="002B7BC2"/>
    <w:rsid w:val="002B7C1F"/>
    <w:rsid w:val="002C07AF"/>
    <w:rsid w:val="002C0857"/>
    <w:rsid w:val="002C0B52"/>
    <w:rsid w:val="002C0B9E"/>
    <w:rsid w:val="002C0DF9"/>
    <w:rsid w:val="002C0E80"/>
    <w:rsid w:val="002C0EAC"/>
    <w:rsid w:val="002C1785"/>
    <w:rsid w:val="002C187E"/>
    <w:rsid w:val="002C212B"/>
    <w:rsid w:val="002C256D"/>
    <w:rsid w:val="002C2B0F"/>
    <w:rsid w:val="002C2C52"/>
    <w:rsid w:val="002C2C75"/>
    <w:rsid w:val="002C2D26"/>
    <w:rsid w:val="002C33B8"/>
    <w:rsid w:val="002C4503"/>
    <w:rsid w:val="002C4556"/>
    <w:rsid w:val="002C4CAA"/>
    <w:rsid w:val="002C4EDC"/>
    <w:rsid w:val="002C4F5C"/>
    <w:rsid w:val="002C4FD5"/>
    <w:rsid w:val="002C51B4"/>
    <w:rsid w:val="002C5284"/>
    <w:rsid w:val="002C55B5"/>
    <w:rsid w:val="002C59BC"/>
    <w:rsid w:val="002C61AA"/>
    <w:rsid w:val="002C62E1"/>
    <w:rsid w:val="002C6453"/>
    <w:rsid w:val="002C64DF"/>
    <w:rsid w:val="002C6882"/>
    <w:rsid w:val="002C6A09"/>
    <w:rsid w:val="002C758B"/>
    <w:rsid w:val="002C7D7C"/>
    <w:rsid w:val="002C7EBB"/>
    <w:rsid w:val="002D0243"/>
    <w:rsid w:val="002D03A1"/>
    <w:rsid w:val="002D054B"/>
    <w:rsid w:val="002D066A"/>
    <w:rsid w:val="002D098F"/>
    <w:rsid w:val="002D0BA1"/>
    <w:rsid w:val="002D12DA"/>
    <w:rsid w:val="002D1613"/>
    <w:rsid w:val="002D1ED5"/>
    <w:rsid w:val="002D2981"/>
    <w:rsid w:val="002D2A00"/>
    <w:rsid w:val="002D3C8C"/>
    <w:rsid w:val="002D3FE3"/>
    <w:rsid w:val="002D4B2D"/>
    <w:rsid w:val="002D4CBB"/>
    <w:rsid w:val="002D576A"/>
    <w:rsid w:val="002D5B78"/>
    <w:rsid w:val="002D61A1"/>
    <w:rsid w:val="002D65EE"/>
    <w:rsid w:val="002D679E"/>
    <w:rsid w:val="002D7318"/>
    <w:rsid w:val="002D7724"/>
    <w:rsid w:val="002D7DBE"/>
    <w:rsid w:val="002E13EE"/>
    <w:rsid w:val="002E1940"/>
    <w:rsid w:val="002E1CD6"/>
    <w:rsid w:val="002E2793"/>
    <w:rsid w:val="002E28A5"/>
    <w:rsid w:val="002E2CA3"/>
    <w:rsid w:val="002E344F"/>
    <w:rsid w:val="002E3D84"/>
    <w:rsid w:val="002E4956"/>
    <w:rsid w:val="002E5BF5"/>
    <w:rsid w:val="002E7486"/>
    <w:rsid w:val="002E7954"/>
    <w:rsid w:val="002E7AAA"/>
    <w:rsid w:val="002E7E11"/>
    <w:rsid w:val="002F06C1"/>
    <w:rsid w:val="002F20DB"/>
    <w:rsid w:val="002F3295"/>
    <w:rsid w:val="002F3D04"/>
    <w:rsid w:val="002F4103"/>
    <w:rsid w:val="002F4205"/>
    <w:rsid w:val="002F4F68"/>
    <w:rsid w:val="002F5792"/>
    <w:rsid w:val="002F6412"/>
    <w:rsid w:val="002F7A7B"/>
    <w:rsid w:val="0030033F"/>
    <w:rsid w:val="00300CBF"/>
    <w:rsid w:val="00301322"/>
    <w:rsid w:val="00301FAC"/>
    <w:rsid w:val="003026DD"/>
    <w:rsid w:val="0030293D"/>
    <w:rsid w:val="00303128"/>
    <w:rsid w:val="00303AA8"/>
    <w:rsid w:val="00303C43"/>
    <w:rsid w:val="00304438"/>
    <w:rsid w:val="003048D0"/>
    <w:rsid w:val="00304D4D"/>
    <w:rsid w:val="003053EA"/>
    <w:rsid w:val="003054E6"/>
    <w:rsid w:val="00305625"/>
    <w:rsid w:val="003059C0"/>
    <w:rsid w:val="00307380"/>
    <w:rsid w:val="003077E6"/>
    <w:rsid w:val="00310D3C"/>
    <w:rsid w:val="00310EBB"/>
    <w:rsid w:val="0031113A"/>
    <w:rsid w:val="003112D1"/>
    <w:rsid w:val="0031160E"/>
    <w:rsid w:val="00311F36"/>
    <w:rsid w:val="003120DF"/>
    <w:rsid w:val="00312275"/>
    <w:rsid w:val="003123AB"/>
    <w:rsid w:val="00312B74"/>
    <w:rsid w:val="00312DD4"/>
    <w:rsid w:val="003130C7"/>
    <w:rsid w:val="003151E7"/>
    <w:rsid w:val="00315378"/>
    <w:rsid w:val="00315AB7"/>
    <w:rsid w:val="00316215"/>
    <w:rsid w:val="00316786"/>
    <w:rsid w:val="00316F0D"/>
    <w:rsid w:val="00317328"/>
    <w:rsid w:val="0031792C"/>
    <w:rsid w:val="00317B7A"/>
    <w:rsid w:val="00320D36"/>
    <w:rsid w:val="00320F53"/>
    <w:rsid w:val="00320FB8"/>
    <w:rsid w:val="00321467"/>
    <w:rsid w:val="00321DE7"/>
    <w:rsid w:val="003224A0"/>
    <w:rsid w:val="003226BD"/>
    <w:rsid w:val="00322862"/>
    <w:rsid w:val="00322AC4"/>
    <w:rsid w:val="00323500"/>
    <w:rsid w:val="003235E3"/>
    <w:rsid w:val="003237DF"/>
    <w:rsid w:val="00324176"/>
    <w:rsid w:val="0032468C"/>
    <w:rsid w:val="0032523F"/>
    <w:rsid w:val="00326281"/>
    <w:rsid w:val="0033009E"/>
    <w:rsid w:val="00330A68"/>
    <w:rsid w:val="00331CC7"/>
    <w:rsid w:val="00331F9A"/>
    <w:rsid w:val="0033249B"/>
    <w:rsid w:val="0033251B"/>
    <w:rsid w:val="00332A8A"/>
    <w:rsid w:val="0033326A"/>
    <w:rsid w:val="00333422"/>
    <w:rsid w:val="003349E5"/>
    <w:rsid w:val="00334C65"/>
    <w:rsid w:val="003352CF"/>
    <w:rsid w:val="003358A7"/>
    <w:rsid w:val="00335C82"/>
    <w:rsid w:val="00335D14"/>
    <w:rsid w:val="0033688D"/>
    <w:rsid w:val="00337FF8"/>
    <w:rsid w:val="003403BF"/>
    <w:rsid w:val="0034079E"/>
    <w:rsid w:val="00340DA1"/>
    <w:rsid w:val="00340F21"/>
    <w:rsid w:val="00340F53"/>
    <w:rsid w:val="00341439"/>
    <w:rsid w:val="00341E36"/>
    <w:rsid w:val="00341E6A"/>
    <w:rsid w:val="00342479"/>
    <w:rsid w:val="0034291D"/>
    <w:rsid w:val="00343247"/>
    <w:rsid w:val="00343F09"/>
    <w:rsid w:val="00344AF7"/>
    <w:rsid w:val="00344CBB"/>
    <w:rsid w:val="00345BD2"/>
    <w:rsid w:val="00345EAE"/>
    <w:rsid w:val="003464DD"/>
    <w:rsid w:val="00346868"/>
    <w:rsid w:val="0034764E"/>
    <w:rsid w:val="00347DBA"/>
    <w:rsid w:val="00350155"/>
    <w:rsid w:val="00350419"/>
    <w:rsid w:val="0035111C"/>
    <w:rsid w:val="003518F2"/>
    <w:rsid w:val="00352BE2"/>
    <w:rsid w:val="003531B6"/>
    <w:rsid w:val="003532A4"/>
    <w:rsid w:val="00353891"/>
    <w:rsid w:val="00353B69"/>
    <w:rsid w:val="003540C5"/>
    <w:rsid w:val="00356D0F"/>
    <w:rsid w:val="00356DB5"/>
    <w:rsid w:val="00357001"/>
    <w:rsid w:val="0035712E"/>
    <w:rsid w:val="0035723F"/>
    <w:rsid w:val="00357AD7"/>
    <w:rsid w:val="003612A9"/>
    <w:rsid w:val="00361458"/>
    <w:rsid w:val="003627EE"/>
    <w:rsid w:val="00362800"/>
    <w:rsid w:val="00363593"/>
    <w:rsid w:val="00363FD3"/>
    <w:rsid w:val="0036460F"/>
    <w:rsid w:val="00364759"/>
    <w:rsid w:val="00365746"/>
    <w:rsid w:val="0036594E"/>
    <w:rsid w:val="00365D5A"/>
    <w:rsid w:val="00370D0A"/>
    <w:rsid w:val="00371694"/>
    <w:rsid w:val="00371D89"/>
    <w:rsid w:val="00371E85"/>
    <w:rsid w:val="00371FBB"/>
    <w:rsid w:val="003721C0"/>
    <w:rsid w:val="003724A0"/>
    <w:rsid w:val="00372981"/>
    <w:rsid w:val="00372C1A"/>
    <w:rsid w:val="00372F06"/>
    <w:rsid w:val="0037331A"/>
    <w:rsid w:val="0037394C"/>
    <w:rsid w:val="00374080"/>
    <w:rsid w:val="00374E71"/>
    <w:rsid w:val="00374ED7"/>
    <w:rsid w:val="003757EB"/>
    <w:rsid w:val="0037696B"/>
    <w:rsid w:val="00377108"/>
    <w:rsid w:val="00377416"/>
    <w:rsid w:val="003801BE"/>
    <w:rsid w:val="003804A8"/>
    <w:rsid w:val="003804BD"/>
    <w:rsid w:val="00380FD5"/>
    <w:rsid w:val="00381748"/>
    <w:rsid w:val="003818A9"/>
    <w:rsid w:val="00381B04"/>
    <w:rsid w:val="0038376C"/>
    <w:rsid w:val="00384A5C"/>
    <w:rsid w:val="00384E2D"/>
    <w:rsid w:val="003851E8"/>
    <w:rsid w:val="00385CE5"/>
    <w:rsid w:val="00385FDE"/>
    <w:rsid w:val="00386038"/>
    <w:rsid w:val="0038735E"/>
    <w:rsid w:val="003874B9"/>
    <w:rsid w:val="0039034E"/>
    <w:rsid w:val="00391AF8"/>
    <w:rsid w:val="00391EDB"/>
    <w:rsid w:val="0039229D"/>
    <w:rsid w:val="00392465"/>
    <w:rsid w:val="0039272B"/>
    <w:rsid w:val="00392A2A"/>
    <w:rsid w:val="003933BD"/>
    <w:rsid w:val="00393E98"/>
    <w:rsid w:val="00393F70"/>
    <w:rsid w:val="00394586"/>
    <w:rsid w:val="00394CCF"/>
    <w:rsid w:val="00394E51"/>
    <w:rsid w:val="00394EC6"/>
    <w:rsid w:val="003950EC"/>
    <w:rsid w:val="00395992"/>
    <w:rsid w:val="00395B94"/>
    <w:rsid w:val="0039615E"/>
    <w:rsid w:val="00396907"/>
    <w:rsid w:val="00396B67"/>
    <w:rsid w:val="00396D5E"/>
    <w:rsid w:val="003973CA"/>
    <w:rsid w:val="003974BF"/>
    <w:rsid w:val="00397B48"/>
    <w:rsid w:val="00397D50"/>
    <w:rsid w:val="003A0603"/>
    <w:rsid w:val="003A075C"/>
    <w:rsid w:val="003A202A"/>
    <w:rsid w:val="003A225D"/>
    <w:rsid w:val="003A2CC5"/>
    <w:rsid w:val="003A37F3"/>
    <w:rsid w:val="003A3B39"/>
    <w:rsid w:val="003A4EA2"/>
    <w:rsid w:val="003A5D77"/>
    <w:rsid w:val="003A71E7"/>
    <w:rsid w:val="003A7326"/>
    <w:rsid w:val="003A74D6"/>
    <w:rsid w:val="003A7B67"/>
    <w:rsid w:val="003A7B70"/>
    <w:rsid w:val="003A7CD4"/>
    <w:rsid w:val="003A7D2D"/>
    <w:rsid w:val="003A7D3B"/>
    <w:rsid w:val="003A7D98"/>
    <w:rsid w:val="003B0126"/>
    <w:rsid w:val="003B083C"/>
    <w:rsid w:val="003B0881"/>
    <w:rsid w:val="003B0BB7"/>
    <w:rsid w:val="003B1774"/>
    <w:rsid w:val="003B2A4D"/>
    <w:rsid w:val="003B2E89"/>
    <w:rsid w:val="003B4F7D"/>
    <w:rsid w:val="003B5112"/>
    <w:rsid w:val="003B5658"/>
    <w:rsid w:val="003B5B8B"/>
    <w:rsid w:val="003B5CE9"/>
    <w:rsid w:val="003B5D64"/>
    <w:rsid w:val="003B6495"/>
    <w:rsid w:val="003B68A3"/>
    <w:rsid w:val="003B6BD2"/>
    <w:rsid w:val="003B6CFA"/>
    <w:rsid w:val="003B726A"/>
    <w:rsid w:val="003B726F"/>
    <w:rsid w:val="003B77EF"/>
    <w:rsid w:val="003B7BEF"/>
    <w:rsid w:val="003B7EFC"/>
    <w:rsid w:val="003B7F70"/>
    <w:rsid w:val="003C0140"/>
    <w:rsid w:val="003C01E1"/>
    <w:rsid w:val="003C04CE"/>
    <w:rsid w:val="003C1574"/>
    <w:rsid w:val="003C15B4"/>
    <w:rsid w:val="003C17A9"/>
    <w:rsid w:val="003C1A8D"/>
    <w:rsid w:val="003C1BC0"/>
    <w:rsid w:val="003C1DC8"/>
    <w:rsid w:val="003C1EC1"/>
    <w:rsid w:val="003C213D"/>
    <w:rsid w:val="003C287D"/>
    <w:rsid w:val="003C2AEF"/>
    <w:rsid w:val="003C2B8E"/>
    <w:rsid w:val="003C305E"/>
    <w:rsid w:val="003C3230"/>
    <w:rsid w:val="003C333A"/>
    <w:rsid w:val="003C38B7"/>
    <w:rsid w:val="003C38D1"/>
    <w:rsid w:val="003C3B5F"/>
    <w:rsid w:val="003C482F"/>
    <w:rsid w:val="003C4EA7"/>
    <w:rsid w:val="003C6200"/>
    <w:rsid w:val="003C6438"/>
    <w:rsid w:val="003C652D"/>
    <w:rsid w:val="003C75F4"/>
    <w:rsid w:val="003D0460"/>
    <w:rsid w:val="003D0D98"/>
    <w:rsid w:val="003D10D2"/>
    <w:rsid w:val="003D1599"/>
    <w:rsid w:val="003D15C8"/>
    <w:rsid w:val="003D167F"/>
    <w:rsid w:val="003D19DC"/>
    <w:rsid w:val="003D1B76"/>
    <w:rsid w:val="003D2CB2"/>
    <w:rsid w:val="003D2D86"/>
    <w:rsid w:val="003D2E4F"/>
    <w:rsid w:val="003D39BC"/>
    <w:rsid w:val="003D3ABC"/>
    <w:rsid w:val="003D3D34"/>
    <w:rsid w:val="003D3D6A"/>
    <w:rsid w:val="003D477A"/>
    <w:rsid w:val="003D4933"/>
    <w:rsid w:val="003D4D0D"/>
    <w:rsid w:val="003D4E44"/>
    <w:rsid w:val="003D5143"/>
    <w:rsid w:val="003D514C"/>
    <w:rsid w:val="003D5353"/>
    <w:rsid w:val="003D60C3"/>
    <w:rsid w:val="003D676A"/>
    <w:rsid w:val="003D68B3"/>
    <w:rsid w:val="003D69E5"/>
    <w:rsid w:val="003D6BA0"/>
    <w:rsid w:val="003D6D28"/>
    <w:rsid w:val="003E013F"/>
    <w:rsid w:val="003E0A24"/>
    <w:rsid w:val="003E1346"/>
    <w:rsid w:val="003E2352"/>
    <w:rsid w:val="003E2EDD"/>
    <w:rsid w:val="003E2EF5"/>
    <w:rsid w:val="003E3CB0"/>
    <w:rsid w:val="003E3E27"/>
    <w:rsid w:val="003E532E"/>
    <w:rsid w:val="003E69D6"/>
    <w:rsid w:val="003E7132"/>
    <w:rsid w:val="003E76C3"/>
    <w:rsid w:val="003E7CA8"/>
    <w:rsid w:val="003E7D4A"/>
    <w:rsid w:val="003F0168"/>
    <w:rsid w:val="003F02B0"/>
    <w:rsid w:val="003F0C03"/>
    <w:rsid w:val="003F1C58"/>
    <w:rsid w:val="003F22FE"/>
    <w:rsid w:val="003F2799"/>
    <w:rsid w:val="003F331F"/>
    <w:rsid w:val="003F3A38"/>
    <w:rsid w:val="003F4657"/>
    <w:rsid w:val="003F4841"/>
    <w:rsid w:val="003F4A87"/>
    <w:rsid w:val="003F5F82"/>
    <w:rsid w:val="003F7988"/>
    <w:rsid w:val="003F79D9"/>
    <w:rsid w:val="003F7E5D"/>
    <w:rsid w:val="0040230F"/>
    <w:rsid w:val="00403FBD"/>
    <w:rsid w:val="004045DB"/>
    <w:rsid w:val="004047FB"/>
    <w:rsid w:val="00404CD1"/>
    <w:rsid w:val="00405EE3"/>
    <w:rsid w:val="00406193"/>
    <w:rsid w:val="004064D7"/>
    <w:rsid w:val="00406B43"/>
    <w:rsid w:val="004072B7"/>
    <w:rsid w:val="0040740B"/>
    <w:rsid w:val="0040755E"/>
    <w:rsid w:val="00407671"/>
    <w:rsid w:val="00407868"/>
    <w:rsid w:val="00407FD6"/>
    <w:rsid w:val="00411EE4"/>
    <w:rsid w:val="0041247E"/>
    <w:rsid w:val="0041252E"/>
    <w:rsid w:val="00412B71"/>
    <w:rsid w:val="004139BB"/>
    <w:rsid w:val="004150EB"/>
    <w:rsid w:val="00415EC5"/>
    <w:rsid w:val="00416136"/>
    <w:rsid w:val="0041643A"/>
    <w:rsid w:val="00416654"/>
    <w:rsid w:val="00416A18"/>
    <w:rsid w:val="00416F11"/>
    <w:rsid w:val="00417B05"/>
    <w:rsid w:val="004203FE"/>
    <w:rsid w:val="00420B4B"/>
    <w:rsid w:val="00421623"/>
    <w:rsid w:val="00421BC6"/>
    <w:rsid w:val="00421D89"/>
    <w:rsid w:val="00421FF8"/>
    <w:rsid w:val="00422440"/>
    <w:rsid w:val="0042345E"/>
    <w:rsid w:val="00423C2D"/>
    <w:rsid w:val="00423D85"/>
    <w:rsid w:val="0042453A"/>
    <w:rsid w:val="00424AEF"/>
    <w:rsid w:val="00424D41"/>
    <w:rsid w:val="00425817"/>
    <w:rsid w:val="004258A7"/>
    <w:rsid w:val="004262B7"/>
    <w:rsid w:val="004268D3"/>
    <w:rsid w:val="00426F3B"/>
    <w:rsid w:val="00426FA5"/>
    <w:rsid w:val="00427D4A"/>
    <w:rsid w:val="00430149"/>
    <w:rsid w:val="004303C0"/>
    <w:rsid w:val="00431095"/>
    <w:rsid w:val="00431532"/>
    <w:rsid w:val="004316DA"/>
    <w:rsid w:val="00431F93"/>
    <w:rsid w:val="00432051"/>
    <w:rsid w:val="004329AA"/>
    <w:rsid w:val="00433D36"/>
    <w:rsid w:val="00435467"/>
    <w:rsid w:val="00435564"/>
    <w:rsid w:val="00435700"/>
    <w:rsid w:val="00435A50"/>
    <w:rsid w:val="0043622B"/>
    <w:rsid w:val="004365BC"/>
    <w:rsid w:val="00436ED9"/>
    <w:rsid w:val="00436F16"/>
    <w:rsid w:val="00437A1E"/>
    <w:rsid w:val="00437EA2"/>
    <w:rsid w:val="00440422"/>
    <w:rsid w:val="00440877"/>
    <w:rsid w:val="00441E38"/>
    <w:rsid w:val="004425A6"/>
    <w:rsid w:val="0044486E"/>
    <w:rsid w:val="00445BB5"/>
    <w:rsid w:val="00445D2F"/>
    <w:rsid w:val="004469E2"/>
    <w:rsid w:val="00447A8D"/>
    <w:rsid w:val="00447B2A"/>
    <w:rsid w:val="00447E62"/>
    <w:rsid w:val="004500E1"/>
    <w:rsid w:val="00450533"/>
    <w:rsid w:val="00450C82"/>
    <w:rsid w:val="00450D83"/>
    <w:rsid w:val="00452181"/>
    <w:rsid w:val="004526E3"/>
    <w:rsid w:val="0045280B"/>
    <w:rsid w:val="00452A60"/>
    <w:rsid w:val="0045334F"/>
    <w:rsid w:val="004535D3"/>
    <w:rsid w:val="00453EEE"/>
    <w:rsid w:val="00454028"/>
    <w:rsid w:val="00454BB2"/>
    <w:rsid w:val="00454C34"/>
    <w:rsid w:val="00454C77"/>
    <w:rsid w:val="00455156"/>
    <w:rsid w:val="00455460"/>
    <w:rsid w:val="00456BB0"/>
    <w:rsid w:val="00457562"/>
    <w:rsid w:val="00457AE1"/>
    <w:rsid w:val="00460445"/>
    <w:rsid w:val="00460883"/>
    <w:rsid w:val="00460FD8"/>
    <w:rsid w:val="00461021"/>
    <w:rsid w:val="004628A4"/>
    <w:rsid w:val="00462B25"/>
    <w:rsid w:val="00463419"/>
    <w:rsid w:val="00463900"/>
    <w:rsid w:val="00463AC8"/>
    <w:rsid w:val="00464946"/>
    <w:rsid w:val="0046512B"/>
    <w:rsid w:val="00465ED4"/>
    <w:rsid w:val="0046602A"/>
    <w:rsid w:val="004660EE"/>
    <w:rsid w:val="004661EA"/>
    <w:rsid w:val="004663DA"/>
    <w:rsid w:val="00466BDE"/>
    <w:rsid w:val="00466C17"/>
    <w:rsid w:val="004671F4"/>
    <w:rsid w:val="00470540"/>
    <w:rsid w:val="00473D5C"/>
    <w:rsid w:val="00475986"/>
    <w:rsid w:val="00476D10"/>
    <w:rsid w:val="00476D5F"/>
    <w:rsid w:val="00476DAC"/>
    <w:rsid w:val="00476F19"/>
    <w:rsid w:val="004772CE"/>
    <w:rsid w:val="0047765A"/>
    <w:rsid w:val="00477D15"/>
    <w:rsid w:val="004801BF"/>
    <w:rsid w:val="004805A9"/>
    <w:rsid w:val="00481489"/>
    <w:rsid w:val="004817C0"/>
    <w:rsid w:val="0048180E"/>
    <w:rsid w:val="00481BA6"/>
    <w:rsid w:val="0048217D"/>
    <w:rsid w:val="00482933"/>
    <w:rsid w:val="00482BF7"/>
    <w:rsid w:val="00484A6E"/>
    <w:rsid w:val="004851D8"/>
    <w:rsid w:val="004852B4"/>
    <w:rsid w:val="00485D42"/>
    <w:rsid w:val="0048669D"/>
    <w:rsid w:val="004867E1"/>
    <w:rsid w:val="004873B5"/>
    <w:rsid w:val="004879C6"/>
    <w:rsid w:val="004908B8"/>
    <w:rsid w:val="00490E5F"/>
    <w:rsid w:val="0049135E"/>
    <w:rsid w:val="00491C4E"/>
    <w:rsid w:val="004928D1"/>
    <w:rsid w:val="00493722"/>
    <w:rsid w:val="00493888"/>
    <w:rsid w:val="00494B42"/>
    <w:rsid w:val="00494C0B"/>
    <w:rsid w:val="00496159"/>
    <w:rsid w:val="004964C7"/>
    <w:rsid w:val="00496590"/>
    <w:rsid w:val="00497279"/>
    <w:rsid w:val="00497E8D"/>
    <w:rsid w:val="00497FF5"/>
    <w:rsid w:val="004A1729"/>
    <w:rsid w:val="004A25C8"/>
    <w:rsid w:val="004A2872"/>
    <w:rsid w:val="004A2B0F"/>
    <w:rsid w:val="004A2BF2"/>
    <w:rsid w:val="004A374F"/>
    <w:rsid w:val="004A3A9B"/>
    <w:rsid w:val="004A5A93"/>
    <w:rsid w:val="004A5B27"/>
    <w:rsid w:val="004A5D8A"/>
    <w:rsid w:val="004A61F9"/>
    <w:rsid w:val="004A6363"/>
    <w:rsid w:val="004A6373"/>
    <w:rsid w:val="004A63E4"/>
    <w:rsid w:val="004A6855"/>
    <w:rsid w:val="004A6978"/>
    <w:rsid w:val="004A699F"/>
    <w:rsid w:val="004A6B30"/>
    <w:rsid w:val="004A6BD4"/>
    <w:rsid w:val="004A7073"/>
    <w:rsid w:val="004A7A8C"/>
    <w:rsid w:val="004B0367"/>
    <w:rsid w:val="004B03C3"/>
    <w:rsid w:val="004B0574"/>
    <w:rsid w:val="004B06C0"/>
    <w:rsid w:val="004B0C19"/>
    <w:rsid w:val="004B1195"/>
    <w:rsid w:val="004B1313"/>
    <w:rsid w:val="004B2152"/>
    <w:rsid w:val="004B2B52"/>
    <w:rsid w:val="004B2D17"/>
    <w:rsid w:val="004B2EE9"/>
    <w:rsid w:val="004B2F67"/>
    <w:rsid w:val="004B3E6B"/>
    <w:rsid w:val="004B3EF3"/>
    <w:rsid w:val="004B4594"/>
    <w:rsid w:val="004B47D2"/>
    <w:rsid w:val="004B4896"/>
    <w:rsid w:val="004B4A7D"/>
    <w:rsid w:val="004B4BE6"/>
    <w:rsid w:val="004B4EA8"/>
    <w:rsid w:val="004B5266"/>
    <w:rsid w:val="004B60F9"/>
    <w:rsid w:val="004B66E5"/>
    <w:rsid w:val="004B6986"/>
    <w:rsid w:val="004B7113"/>
    <w:rsid w:val="004B7243"/>
    <w:rsid w:val="004B737C"/>
    <w:rsid w:val="004B7565"/>
    <w:rsid w:val="004B7596"/>
    <w:rsid w:val="004C017D"/>
    <w:rsid w:val="004C0DFC"/>
    <w:rsid w:val="004C12C6"/>
    <w:rsid w:val="004C133E"/>
    <w:rsid w:val="004C138E"/>
    <w:rsid w:val="004C185F"/>
    <w:rsid w:val="004C2B96"/>
    <w:rsid w:val="004C375C"/>
    <w:rsid w:val="004C4661"/>
    <w:rsid w:val="004C4F03"/>
    <w:rsid w:val="004C5A9C"/>
    <w:rsid w:val="004C66B3"/>
    <w:rsid w:val="004C6823"/>
    <w:rsid w:val="004C6A4A"/>
    <w:rsid w:val="004C7455"/>
    <w:rsid w:val="004C78B4"/>
    <w:rsid w:val="004C7B56"/>
    <w:rsid w:val="004C7CB1"/>
    <w:rsid w:val="004D02C5"/>
    <w:rsid w:val="004D07D1"/>
    <w:rsid w:val="004D1157"/>
    <w:rsid w:val="004D33A2"/>
    <w:rsid w:val="004D3423"/>
    <w:rsid w:val="004D3DFF"/>
    <w:rsid w:val="004D4512"/>
    <w:rsid w:val="004D46A2"/>
    <w:rsid w:val="004D564D"/>
    <w:rsid w:val="004D56C9"/>
    <w:rsid w:val="004D627C"/>
    <w:rsid w:val="004D6306"/>
    <w:rsid w:val="004D686A"/>
    <w:rsid w:val="004D6B36"/>
    <w:rsid w:val="004D7BA6"/>
    <w:rsid w:val="004D7D74"/>
    <w:rsid w:val="004E0694"/>
    <w:rsid w:val="004E06C7"/>
    <w:rsid w:val="004E1751"/>
    <w:rsid w:val="004E1D82"/>
    <w:rsid w:val="004E320B"/>
    <w:rsid w:val="004E346F"/>
    <w:rsid w:val="004E3485"/>
    <w:rsid w:val="004E418B"/>
    <w:rsid w:val="004E43F0"/>
    <w:rsid w:val="004E4458"/>
    <w:rsid w:val="004E474F"/>
    <w:rsid w:val="004E493E"/>
    <w:rsid w:val="004E5485"/>
    <w:rsid w:val="004E5561"/>
    <w:rsid w:val="004E57C5"/>
    <w:rsid w:val="004E59DB"/>
    <w:rsid w:val="004E6057"/>
    <w:rsid w:val="004E7500"/>
    <w:rsid w:val="004F0165"/>
    <w:rsid w:val="004F199D"/>
    <w:rsid w:val="004F2007"/>
    <w:rsid w:val="004F2060"/>
    <w:rsid w:val="004F20F6"/>
    <w:rsid w:val="004F28F3"/>
    <w:rsid w:val="004F29DE"/>
    <w:rsid w:val="004F2FA2"/>
    <w:rsid w:val="004F373D"/>
    <w:rsid w:val="004F3920"/>
    <w:rsid w:val="004F46B9"/>
    <w:rsid w:val="004F4704"/>
    <w:rsid w:val="004F47DB"/>
    <w:rsid w:val="004F4CEB"/>
    <w:rsid w:val="004F5093"/>
    <w:rsid w:val="004F5237"/>
    <w:rsid w:val="004F5EA6"/>
    <w:rsid w:val="004F6A6E"/>
    <w:rsid w:val="004F6C3A"/>
    <w:rsid w:val="004F72BF"/>
    <w:rsid w:val="004F7314"/>
    <w:rsid w:val="004F7C88"/>
    <w:rsid w:val="004F7E13"/>
    <w:rsid w:val="00500C0A"/>
    <w:rsid w:val="00500D68"/>
    <w:rsid w:val="005019C4"/>
    <w:rsid w:val="00502BCB"/>
    <w:rsid w:val="00502D72"/>
    <w:rsid w:val="00504A1C"/>
    <w:rsid w:val="00504C14"/>
    <w:rsid w:val="00504E65"/>
    <w:rsid w:val="005050B7"/>
    <w:rsid w:val="00505293"/>
    <w:rsid w:val="00505B4F"/>
    <w:rsid w:val="00505D08"/>
    <w:rsid w:val="00505F33"/>
    <w:rsid w:val="005063BB"/>
    <w:rsid w:val="00506EA7"/>
    <w:rsid w:val="005070C8"/>
    <w:rsid w:val="00507FF7"/>
    <w:rsid w:val="005105BD"/>
    <w:rsid w:val="00510ABF"/>
    <w:rsid w:val="0051174B"/>
    <w:rsid w:val="00512225"/>
    <w:rsid w:val="0051227B"/>
    <w:rsid w:val="00512B60"/>
    <w:rsid w:val="00512CF1"/>
    <w:rsid w:val="0051347C"/>
    <w:rsid w:val="0051363F"/>
    <w:rsid w:val="00513C53"/>
    <w:rsid w:val="00514307"/>
    <w:rsid w:val="00514DC2"/>
    <w:rsid w:val="005154CB"/>
    <w:rsid w:val="00515E7D"/>
    <w:rsid w:val="005160AF"/>
    <w:rsid w:val="0051621C"/>
    <w:rsid w:val="0051654F"/>
    <w:rsid w:val="005172E3"/>
    <w:rsid w:val="005172F1"/>
    <w:rsid w:val="0051781D"/>
    <w:rsid w:val="00517B6B"/>
    <w:rsid w:val="00521C1F"/>
    <w:rsid w:val="00521E63"/>
    <w:rsid w:val="00522345"/>
    <w:rsid w:val="005223E3"/>
    <w:rsid w:val="005223EB"/>
    <w:rsid w:val="005236CD"/>
    <w:rsid w:val="0052383B"/>
    <w:rsid w:val="00523DFF"/>
    <w:rsid w:val="005243FC"/>
    <w:rsid w:val="005246E7"/>
    <w:rsid w:val="00524A5E"/>
    <w:rsid w:val="00524CA4"/>
    <w:rsid w:val="00524D55"/>
    <w:rsid w:val="00524FC8"/>
    <w:rsid w:val="00525D2E"/>
    <w:rsid w:val="005266C8"/>
    <w:rsid w:val="0052696C"/>
    <w:rsid w:val="00526B1D"/>
    <w:rsid w:val="00526EAD"/>
    <w:rsid w:val="00526FAE"/>
    <w:rsid w:val="00527023"/>
    <w:rsid w:val="00527594"/>
    <w:rsid w:val="00527A28"/>
    <w:rsid w:val="00527C0A"/>
    <w:rsid w:val="005305FD"/>
    <w:rsid w:val="0053117F"/>
    <w:rsid w:val="00531420"/>
    <w:rsid w:val="00531E2A"/>
    <w:rsid w:val="00532361"/>
    <w:rsid w:val="00532830"/>
    <w:rsid w:val="00532A4C"/>
    <w:rsid w:val="00532AB5"/>
    <w:rsid w:val="00532FC9"/>
    <w:rsid w:val="00533229"/>
    <w:rsid w:val="005332A8"/>
    <w:rsid w:val="00533AE1"/>
    <w:rsid w:val="00533C11"/>
    <w:rsid w:val="005362E7"/>
    <w:rsid w:val="005367A2"/>
    <w:rsid w:val="0053790F"/>
    <w:rsid w:val="00537B69"/>
    <w:rsid w:val="00537E03"/>
    <w:rsid w:val="00541C90"/>
    <w:rsid w:val="00542144"/>
    <w:rsid w:val="00542605"/>
    <w:rsid w:val="005445BE"/>
    <w:rsid w:val="00544625"/>
    <w:rsid w:val="00544BA3"/>
    <w:rsid w:val="00544E8B"/>
    <w:rsid w:val="005463AF"/>
    <w:rsid w:val="005468E1"/>
    <w:rsid w:val="00546E9C"/>
    <w:rsid w:val="00547418"/>
    <w:rsid w:val="005475EF"/>
    <w:rsid w:val="00547662"/>
    <w:rsid w:val="0054768E"/>
    <w:rsid w:val="00547C27"/>
    <w:rsid w:val="0055031F"/>
    <w:rsid w:val="005508CA"/>
    <w:rsid w:val="00550BAD"/>
    <w:rsid w:val="00550D41"/>
    <w:rsid w:val="00550F6B"/>
    <w:rsid w:val="005517B5"/>
    <w:rsid w:val="00551FBB"/>
    <w:rsid w:val="00552632"/>
    <w:rsid w:val="00553421"/>
    <w:rsid w:val="00554E1B"/>
    <w:rsid w:val="00555282"/>
    <w:rsid w:val="00555601"/>
    <w:rsid w:val="0055584D"/>
    <w:rsid w:val="0055692E"/>
    <w:rsid w:val="00556E55"/>
    <w:rsid w:val="005573D1"/>
    <w:rsid w:val="005603CA"/>
    <w:rsid w:val="0056045A"/>
    <w:rsid w:val="005607BC"/>
    <w:rsid w:val="00561B0A"/>
    <w:rsid w:val="00562597"/>
    <w:rsid w:val="00562A36"/>
    <w:rsid w:val="00562DFE"/>
    <w:rsid w:val="00562FA8"/>
    <w:rsid w:val="0056309D"/>
    <w:rsid w:val="0056358F"/>
    <w:rsid w:val="00563D6A"/>
    <w:rsid w:val="00563F08"/>
    <w:rsid w:val="00564759"/>
    <w:rsid w:val="00565437"/>
    <w:rsid w:val="005654CF"/>
    <w:rsid w:val="00565A3D"/>
    <w:rsid w:val="00565BB1"/>
    <w:rsid w:val="005661D9"/>
    <w:rsid w:val="005668B2"/>
    <w:rsid w:val="005670C9"/>
    <w:rsid w:val="00567A30"/>
    <w:rsid w:val="00567A8A"/>
    <w:rsid w:val="00567EB2"/>
    <w:rsid w:val="005704EC"/>
    <w:rsid w:val="00570C9A"/>
    <w:rsid w:val="0057113D"/>
    <w:rsid w:val="005711B7"/>
    <w:rsid w:val="0057128A"/>
    <w:rsid w:val="0057157C"/>
    <w:rsid w:val="00571F53"/>
    <w:rsid w:val="00572306"/>
    <w:rsid w:val="00572308"/>
    <w:rsid w:val="00573319"/>
    <w:rsid w:val="00573497"/>
    <w:rsid w:val="00573D4B"/>
    <w:rsid w:val="00573D79"/>
    <w:rsid w:val="0057405E"/>
    <w:rsid w:val="00574C98"/>
    <w:rsid w:val="0057605D"/>
    <w:rsid w:val="005774A7"/>
    <w:rsid w:val="005806D7"/>
    <w:rsid w:val="0058168F"/>
    <w:rsid w:val="00581ABA"/>
    <w:rsid w:val="00582134"/>
    <w:rsid w:val="00582619"/>
    <w:rsid w:val="00583479"/>
    <w:rsid w:val="005836D1"/>
    <w:rsid w:val="00584379"/>
    <w:rsid w:val="00585553"/>
    <w:rsid w:val="00585A6E"/>
    <w:rsid w:val="00587836"/>
    <w:rsid w:val="00587D83"/>
    <w:rsid w:val="00587D86"/>
    <w:rsid w:val="00590872"/>
    <w:rsid w:val="00590E0E"/>
    <w:rsid w:val="005910DF"/>
    <w:rsid w:val="0059199B"/>
    <w:rsid w:val="005919AC"/>
    <w:rsid w:val="00592098"/>
    <w:rsid w:val="00592403"/>
    <w:rsid w:val="005932FC"/>
    <w:rsid w:val="00594238"/>
    <w:rsid w:val="0059478C"/>
    <w:rsid w:val="00595424"/>
    <w:rsid w:val="00595B74"/>
    <w:rsid w:val="00595F8F"/>
    <w:rsid w:val="00595FBB"/>
    <w:rsid w:val="00595FCD"/>
    <w:rsid w:val="00596584"/>
    <w:rsid w:val="00596B17"/>
    <w:rsid w:val="005970C5"/>
    <w:rsid w:val="0059738C"/>
    <w:rsid w:val="00597A2F"/>
    <w:rsid w:val="00597CB4"/>
    <w:rsid w:val="005A0281"/>
    <w:rsid w:val="005A0B05"/>
    <w:rsid w:val="005A0C06"/>
    <w:rsid w:val="005A142A"/>
    <w:rsid w:val="005A1F8D"/>
    <w:rsid w:val="005A23F8"/>
    <w:rsid w:val="005A2686"/>
    <w:rsid w:val="005A297C"/>
    <w:rsid w:val="005A2A59"/>
    <w:rsid w:val="005A2D28"/>
    <w:rsid w:val="005A2FF7"/>
    <w:rsid w:val="005A3155"/>
    <w:rsid w:val="005A337A"/>
    <w:rsid w:val="005A3861"/>
    <w:rsid w:val="005A3DCB"/>
    <w:rsid w:val="005A3ED7"/>
    <w:rsid w:val="005A46C2"/>
    <w:rsid w:val="005A4787"/>
    <w:rsid w:val="005A5A1A"/>
    <w:rsid w:val="005A5FAE"/>
    <w:rsid w:val="005A6020"/>
    <w:rsid w:val="005A6342"/>
    <w:rsid w:val="005A670E"/>
    <w:rsid w:val="005A6F63"/>
    <w:rsid w:val="005A7147"/>
    <w:rsid w:val="005A734A"/>
    <w:rsid w:val="005A7418"/>
    <w:rsid w:val="005A77C4"/>
    <w:rsid w:val="005A7F60"/>
    <w:rsid w:val="005B0D7A"/>
    <w:rsid w:val="005B0DFF"/>
    <w:rsid w:val="005B16C5"/>
    <w:rsid w:val="005B1C69"/>
    <w:rsid w:val="005B2838"/>
    <w:rsid w:val="005B4D4B"/>
    <w:rsid w:val="005B5EF1"/>
    <w:rsid w:val="005B6C96"/>
    <w:rsid w:val="005B7009"/>
    <w:rsid w:val="005B72D9"/>
    <w:rsid w:val="005C1314"/>
    <w:rsid w:val="005C1E91"/>
    <w:rsid w:val="005C2461"/>
    <w:rsid w:val="005C2843"/>
    <w:rsid w:val="005C38FA"/>
    <w:rsid w:val="005C3D5C"/>
    <w:rsid w:val="005C43BA"/>
    <w:rsid w:val="005C477D"/>
    <w:rsid w:val="005C47B7"/>
    <w:rsid w:val="005C4A3B"/>
    <w:rsid w:val="005C521B"/>
    <w:rsid w:val="005C5764"/>
    <w:rsid w:val="005C60E9"/>
    <w:rsid w:val="005C6575"/>
    <w:rsid w:val="005C6C62"/>
    <w:rsid w:val="005C7E80"/>
    <w:rsid w:val="005D0310"/>
    <w:rsid w:val="005D03D1"/>
    <w:rsid w:val="005D0B8E"/>
    <w:rsid w:val="005D0D8C"/>
    <w:rsid w:val="005D0FFE"/>
    <w:rsid w:val="005D11A0"/>
    <w:rsid w:val="005D15D0"/>
    <w:rsid w:val="005D283B"/>
    <w:rsid w:val="005D4239"/>
    <w:rsid w:val="005D49CA"/>
    <w:rsid w:val="005D55A5"/>
    <w:rsid w:val="005D593F"/>
    <w:rsid w:val="005D5B0B"/>
    <w:rsid w:val="005D5C80"/>
    <w:rsid w:val="005D5D75"/>
    <w:rsid w:val="005D7B1E"/>
    <w:rsid w:val="005E0689"/>
    <w:rsid w:val="005E0787"/>
    <w:rsid w:val="005E1392"/>
    <w:rsid w:val="005E1907"/>
    <w:rsid w:val="005E25BF"/>
    <w:rsid w:val="005E292E"/>
    <w:rsid w:val="005E3F85"/>
    <w:rsid w:val="005E4460"/>
    <w:rsid w:val="005E542D"/>
    <w:rsid w:val="005E56AA"/>
    <w:rsid w:val="005E5AF2"/>
    <w:rsid w:val="005E5D63"/>
    <w:rsid w:val="005E6DC1"/>
    <w:rsid w:val="005E7513"/>
    <w:rsid w:val="005E790B"/>
    <w:rsid w:val="005E7FC3"/>
    <w:rsid w:val="005F027E"/>
    <w:rsid w:val="005F0A67"/>
    <w:rsid w:val="005F124B"/>
    <w:rsid w:val="005F1E5F"/>
    <w:rsid w:val="005F2C45"/>
    <w:rsid w:val="005F3D9C"/>
    <w:rsid w:val="005F4221"/>
    <w:rsid w:val="005F56F0"/>
    <w:rsid w:val="005F6687"/>
    <w:rsid w:val="005F6856"/>
    <w:rsid w:val="005F6CCD"/>
    <w:rsid w:val="005F6FAA"/>
    <w:rsid w:val="005F716E"/>
    <w:rsid w:val="005F79E5"/>
    <w:rsid w:val="005F7BF7"/>
    <w:rsid w:val="0060030B"/>
    <w:rsid w:val="00600CDD"/>
    <w:rsid w:val="00600FD1"/>
    <w:rsid w:val="00601A60"/>
    <w:rsid w:val="00601DC1"/>
    <w:rsid w:val="00603A6B"/>
    <w:rsid w:val="00604F01"/>
    <w:rsid w:val="00606521"/>
    <w:rsid w:val="00606896"/>
    <w:rsid w:val="006068BA"/>
    <w:rsid w:val="00606914"/>
    <w:rsid w:val="00607049"/>
    <w:rsid w:val="0061143C"/>
    <w:rsid w:val="00611A4F"/>
    <w:rsid w:val="00611CEC"/>
    <w:rsid w:val="00611FA0"/>
    <w:rsid w:val="0061243A"/>
    <w:rsid w:val="00612502"/>
    <w:rsid w:val="00612913"/>
    <w:rsid w:val="00612B4F"/>
    <w:rsid w:val="006135CD"/>
    <w:rsid w:val="006148E9"/>
    <w:rsid w:val="00615C9A"/>
    <w:rsid w:val="006163B5"/>
    <w:rsid w:val="0061761A"/>
    <w:rsid w:val="00621197"/>
    <w:rsid w:val="0062183E"/>
    <w:rsid w:val="006218A2"/>
    <w:rsid w:val="00621F12"/>
    <w:rsid w:val="006221AF"/>
    <w:rsid w:val="006227EE"/>
    <w:rsid w:val="0062292D"/>
    <w:rsid w:val="00622F60"/>
    <w:rsid w:val="006238BF"/>
    <w:rsid w:val="00623E33"/>
    <w:rsid w:val="00624BED"/>
    <w:rsid w:val="0062537F"/>
    <w:rsid w:val="00625BE6"/>
    <w:rsid w:val="00626DB4"/>
    <w:rsid w:val="006277B7"/>
    <w:rsid w:val="00627DEA"/>
    <w:rsid w:val="00627DFF"/>
    <w:rsid w:val="00630440"/>
    <w:rsid w:val="00630568"/>
    <w:rsid w:val="0063108A"/>
    <w:rsid w:val="00631567"/>
    <w:rsid w:val="006316CF"/>
    <w:rsid w:val="00632395"/>
    <w:rsid w:val="0063373E"/>
    <w:rsid w:val="006341D5"/>
    <w:rsid w:val="006346A8"/>
    <w:rsid w:val="00635366"/>
    <w:rsid w:val="0063545D"/>
    <w:rsid w:val="00635A60"/>
    <w:rsid w:val="00635CB4"/>
    <w:rsid w:val="00635DBA"/>
    <w:rsid w:val="00637DA6"/>
    <w:rsid w:val="006404DB"/>
    <w:rsid w:val="00640F69"/>
    <w:rsid w:val="00640FF8"/>
    <w:rsid w:val="00641156"/>
    <w:rsid w:val="006412BD"/>
    <w:rsid w:val="00641918"/>
    <w:rsid w:val="00643B3E"/>
    <w:rsid w:val="00644215"/>
    <w:rsid w:val="006442BE"/>
    <w:rsid w:val="0064448E"/>
    <w:rsid w:val="0064467B"/>
    <w:rsid w:val="00644AEB"/>
    <w:rsid w:val="0064533C"/>
    <w:rsid w:val="0064682E"/>
    <w:rsid w:val="00646A0E"/>
    <w:rsid w:val="006473E0"/>
    <w:rsid w:val="00647A1D"/>
    <w:rsid w:val="00647EF0"/>
    <w:rsid w:val="00650604"/>
    <w:rsid w:val="00650633"/>
    <w:rsid w:val="00650D7F"/>
    <w:rsid w:val="00650DD2"/>
    <w:rsid w:val="00650F6B"/>
    <w:rsid w:val="0065188D"/>
    <w:rsid w:val="00651998"/>
    <w:rsid w:val="00651AA9"/>
    <w:rsid w:val="00651BED"/>
    <w:rsid w:val="00651C5F"/>
    <w:rsid w:val="00651C60"/>
    <w:rsid w:val="00651D92"/>
    <w:rsid w:val="006522A9"/>
    <w:rsid w:val="00652C9E"/>
    <w:rsid w:val="00652E02"/>
    <w:rsid w:val="00652F49"/>
    <w:rsid w:val="006533AB"/>
    <w:rsid w:val="006534C1"/>
    <w:rsid w:val="006536CC"/>
    <w:rsid w:val="00653DA7"/>
    <w:rsid w:val="00654F52"/>
    <w:rsid w:val="00655AAC"/>
    <w:rsid w:val="00655E37"/>
    <w:rsid w:val="00655E72"/>
    <w:rsid w:val="006560A5"/>
    <w:rsid w:val="00656333"/>
    <w:rsid w:val="006567EE"/>
    <w:rsid w:val="006571D9"/>
    <w:rsid w:val="00657234"/>
    <w:rsid w:val="00657579"/>
    <w:rsid w:val="006576A5"/>
    <w:rsid w:val="0066050B"/>
    <w:rsid w:val="00660AD2"/>
    <w:rsid w:val="0066130D"/>
    <w:rsid w:val="00661625"/>
    <w:rsid w:val="00661711"/>
    <w:rsid w:val="006618C0"/>
    <w:rsid w:val="0066217F"/>
    <w:rsid w:val="00662A9C"/>
    <w:rsid w:val="00662CAD"/>
    <w:rsid w:val="00662D33"/>
    <w:rsid w:val="0066317D"/>
    <w:rsid w:val="006637D1"/>
    <w:rsid w:val="0066412B"/>
    <w:rsid w:val="00664598"/>
    <w:rsid w:val="006647D4"/>
    <w:rsid w:val="00664ACD"/>
    <w:rsid w:val="0066559F"/>
    <w:rsid w:val="00665676"/>
    <w:rsid w:val="00665CE0"/>
    <w:rsid w:val="0066603F"/>
    <w:rsid w:val="0066607E"/>
    <w:rsid w:val="00666245"/>
    <w:rsid w:val="00666776"/>
    <w:rsid w:val="00666CEF"/>
    <w:rsid w:val="006678E0"/>
    <w:rsid w:val="00667A01"/>
    <w:rsid w:val="00667FCA"/>
    <w:rsid w:val="00670C97"/>
    <w:rsid w:val="0067129B"/>
    <w:rsid w:val="00671CE1"/>
    <w:rsid w:val="006720D3"/>
    <w:rsid w:val="0067223B"/>
    <w:rsid w:val="006732E8"/>
    <w:rsid w:val="00673489"/>
    <w:rsid w:val="0067357B"/>
    <w:rsid w:val="0067485F"/>
    <w:rsid w:val="00674BDF"/>
    <w:rsid w:val="006751EF"/>
    <w:rsid w:val="006757A5"/>
    <w:rsid w:val="00675AD0"/>
    <w:rsid w:val="00675E0F"/>
    <w:rsid w:val="006760CE"/>
    <w:rsid w:val="006761DC"/>
    <w:rsid w:val="0067652E"/>
    <w:rsid w:val="00677C2C"/>
    <w:rsid w:val="0068041A"/>
    <w:rsid w:val="00680C4B"/>
    <w:rsid w:val="00681C6F"/>
    <w:rsid w:val="006833D4"/>
    <w:rsid w:val="006834DC"/>
    <w:rsid w:val="00683C62"/>
    <w:rsid w:val="00683D42"/>
    <w:rsid w:val="0068429F"/>
    <w:rsid w:val="0068477C"/>
    <w:rsid w:val="00685571"/>
    <w:rsid w:val="00685BF5"/>
    <w:rsid w:val="006862F2"/>
    <w:rsid w:val="00686697"/>
    <w:rsid w:val="006868A7"/>
    <w:rsid w:val="00686B69"/>
    <w:rsid w:val="00687419"/>
    <w:rsid w:val="00687493"/>
    <w:rsid w:val="00687704"/>
    <w:rsid w:val="00687AF5"/>
    <w:rsid w:val="00687B64"/>
    <w:rsid w:val="00687D52"/>
    <w:rsid w:val="006904B6"/>
    <w:rsid w:val="00690B31"/>
    <w:rsid w:val="006913C6"/>
    <w:rsid w:val="00691453"/>
    <w:rsid w:val="00692395"/>
    <w:rsid w:val="00692EE3"/>
    <w:rsid w:val="006936EC"/>
    <w:rsid w:val="00693722"/>
    <w:rsid w:val="00693DA0"/>
    <w:rsid w:val="0069459B"/>
    <w:rsid w:val="006945F7"/>
    <w:rsid w:val="006947F7"/>
    <w:rsid w:val="00694B64"/>
    <w:rsid w:val="00694D36"/>
    <w:rsid w:val="00695663"/>
    <w:rsid w:val="00695FA0"/>
    <w:rsid w:val="00696245"/>
    <w:rsid w:val="00696789"/>
    <w:rsid w:val="00697026"/>
    <w:rsid w:val="006A03A3"/>
    <w:rsid w:val="006A0CBD"/>
    <w:rsid w:val="006A137F"/>
    <w:rsid w:val="006A1455"/>
    <w:rsid w:val="006A1974"/>
    <w:rsid w:val="006A20A0"/>
    <w:rsid w:val="006A215C"/>
    <w:rsid w:val="006A2704"/>
    <w:rsid w:val="006A2732"/>
    <w:rsid w:val="006A352E"/>
    <w:rsid w:val="006A386E"/>
    <w:rsid w:val="006A437D"/>
    <w:rsid w:val="006A4DE8"/>
    <w:rsid w:val="006A50CA"/>
    <w:rsid w:val="006A65FC"/>
    <w:rsid w:val="006A6823"/>
    <w:rsid w:val="006A78EA"/>
    <w:rsid w:val="006B0554"/>
    <w:rsid w:val="006B17DA"/>
    <w:rsid w:val="006B1CC9"/>
    <w:rsid w:val="006B23B7"/>
    <w:rsid w:val="006B2BB9"/>
    <w:rsid w:val="006B2C7F"/>
    <w:rsid w:val="006B3104"/>
    <w:rsid w:val="006B3156"/>
    <w:rsid w:val="006B3638"/>
    <w:rsid w:val="006B3776"/>
    <w:rsid w:val="006B4B69"/>
    <w:rsid w:val="006B4D4F"/>
    <w:rsid w:val="006B4ED5"/>
    <w:rsid w:val="006B5185"/>
    <w:rsid w:val="006B54F7"/>
    <w:rsid w:val="006B5747"/>
    <w:rsid w:val="006B5772"/>
    <w:rsid w:val="006B69D1"/>
    <w:rsid w:val="006B6BBB"/>
    <w:rsid w:val="006B79E4"/>
    <w:rsid w:val="006B7ACD"/>
    <w:rsid w:val="006B7F2B"/>
    <w:rsid w:val="006C0CFB"/>
    <w:rsid w:val="006C1B60"/>
    <w:rsid w:val="006C1CBC"/>
    <w:rsid w:val="006C24C2"/>
    <w:rsid w:val="006C2542"/>
    <w:rsid w:val="006C26AC"/>
    <w:rsid w:val="006C26E7"/>
    <w:rsid w:val="006C38BC"/>
    <w:rsid w:val="006C3A85"/>
    <w:rsid w:val="006C3DBE"/>
    <w:rsid w:val="006C47C8"/>
    <w:rsid w:val="006C4A04"/>
    <w:rsid w:val="006C4C11"/>
    <w:rsid w:val="006C5606"/>
    <w:rsid w:val="006C58B2"/>
    <w:rsid w:val="006C5979"/>
    <w:rsid w:val="006C5CD5"/>
    <w:rsid w:val="006C5CF3"/>
    <w:rsid w:val="006C5CF4"/>
    <w:rsid w:val="006C795A"/>
    <w:rsid w:val="006D0787"/>
    <w:rsid w:val="006D13C4"/>
    <w:rsid w:val="006D13FC"/>
    <w:rsid w:val="006D1D61"/>
    <w:rsid w:val="006D2395"/>
    <w:rsid w:val="006D244D"/>
    <w:rsid w:val="006D259C"/>
    <w:rsid w:val="006D3058"/>
    <w:rsid w:val="006D3077"/>
    <w:rsid w:val="006D36B1"/>
    <w:rsid w:val="006D36CC"/>
    <w:rsid w:val="006D3C9F"/>
    <w:rsid w:val="006D3CF6"/>
    <w:rsid w:val="006D4443"/>
    <w:rsid w:val="006D4DE3"/>
    <w:rsid w:val="006D5032"/>
    <w:rsid w:val="006D55AC"/>
    <w:rsid w:val="006D56F9"/>
    <w:rsid w:val="006D5A50"/>
    <w:rsid w:val="006D6208"/>
    <w:rsid w:val="006D64AF"/>
    <w:rsid w:val="006D67ED"/>
    <w:rsid w:val="006D6A59"/>
    <w:rsid w:val="006D7864"/>
    <w:rsid w:val="006E1426"/>
    <w:rsid w:val="006E17DB"/>
    <w:rsid w:val="006E244E"/>
    <w:rsid w:val="006E28AE"/>
    <w:rsid w:val="006E3A5B"/>
    <w:rsid w:val="006E3CB6"/>
    <w:rsid w:val="006E414C"/>
    <w:rsid w:val="006E41CA"/>
    <w:rsid w:val="006E468B"/>
    <w:rsid w:val="006E4D73"/>
    <w:rsid w:val="006E50F7"/>
    <w:rsid w:val="006E5862"/>
    <w:rsid w:val="006E5F05"/>
    <w:rsid w:val="006E5F9D"/>
    <w:rsid w:val="006E5FFE"/>
    <w:rsid w:val="006E61E9"/>
    <w:rsid w:val="006E6445"/>
    <w:rsid w:val="006E6646"/>
    <w:rsid w:val="006E6EA7"/>
    <w:rsid w:val="006F0B13"/>
    <w:rsid w:val="006F16F9"/>
    <w:rsid w:val="006F1B0E"/>
    <w:rsid w:val="006F1D06"/>
    <w:rsid w:val="006F22C0"/>
    <w:rsid w:val="006F2514"/>
    <w:rsid w:val="006F27C3"/>
    <w:rsid w:val="006F2AA1"/>
    <w:rsid w:val="006F3D70"/>
    <w:rsid w:val="006F4FE2"/>
    <w:rsid w:val="006F50D3"/>
    <w:rsid w:val="006F5871"/>
    <w:rsid w:val="006F5C81"/>
    <w:rsid w:val="006F622C"/>
    <w:rsid w:val="006F66FA"/>
    <w:rsid w:val="006F67EA"/>
    <w:rsid w:val="006F68F4"/>
    <w:rsid w:val="0070052C"/>
    <w:rsid w:val="00700B3A"/>
    <w:rsid w:val="00700DED"/>
    <w:rsid w:val="00701617"/>
    <w:rsid w:val="00701666"/>
    <w:rsid w:val="00701DC8"/>
    <w:rsid w:val="0070204B"/>
    <w:rsid w:val="00702230"/>
    <w:rsid w:val="007023D2"/>
    <w:rsid w:val="007027B8"/>
    <w:rsid w:val="00702907"/>
    <w:rsid w:val="007032E7"/>
    <w:rsid w:val="0070357C"/>
    <w:rsid w:val="00703595"/>
    <w:rsid w:val="0070372C"/>
    <w:rsid w:val="00703F4B"/>
    <w:rsid w:val="00704839"/>
    <w:rsid w:val="00704A60"/>
    <w:rsid w:val="00704C79"/>
    <w:rsid w:val="0070517B"/>
    <w:rsid w:val="007053FB"/>
    <w:rsid w:val="00705C52"/>
    <w:rsid w:val="00705D27"/>
    <w:rsid w:val="0070672E"/>
    <w:rsid w:val="007069BD"/>
    <w:rsid w:val="007073DD"/>
    <w:rsid w:val="007100A1"/>
    <w:rsid w:val="0071084E"/>
    <w:rsid w:val="007108F2"/>
    <w:rsid w:val="007109D1"/>
    <w:rsid w:val="00710D07"/>
    <w:rsid w:val="0071162B"/>
    <w:rsid w:val="007127C0"/>
    <w:rsid w:val="00712A4C"/>
    <w:rsid w:val="00713035"/>
    <w:rsid w:val="00713057"/>
    <w:rsid w:val="00713875"/>
    <w:rsid w:val="00713D4C"/>
    <w:rsid w:val="00713F8D"/>
    <w:rsid w:val="00714555"/>
    <w:rsid w:val="00715222"/>
    <w:rsid w:val="0071572E"/>
    <w:rsid w:val="0071587C"/>
    <w:rsid w:val="007166B3"/>
    <w:rsid w:val="007169E0"/>
    <w:rsid w:val="00716E9D"/>
    <w:rsid w:val="0071735E"/>
    <w:rsid w:val="00720216"/>
    <w:rsid w:val="00721497"/>
    <w:rsid w:val="007219A2"/>
    <w:rsid w:val="00722053"/>
    <w:rsid w:val="0072210A"/>
    <w:rsid w:val="0072216A"/>
    <w:rsid w:val="00722295"/>
    <w:rsid w:val="0072364B"/>
    <w:rsid w:val="00724215"/>
    <w:rsid w:val="00724D9A"/>
    <w:rsid w:val="00724FA5"/>
    <w:rsid w:val="0072567F"/>
    <w:rsid w:val="00726108"/>
    <w:rsid w:val="00726109"/>
    <w:rsid w:val="007274E1"/>
    <w:rsid w:val="00730E15"/>
    <w:rsid w:val="00731DC0"/>
    <w:rsid w:val="007324D2"/>
    <w:rsid w:val="00732E99"/>
    <w:rsid w:val="00732EF0"/>
    <w:rsid w:val="00733270"/>
    <w:rsid w:val="00733365"/>
    <w:rsid w:val="00733581"/>
    <w:rsid w:val="007339D1"/>
    <w:rsid w:val="00733B59"/>
    <w:rsid w:val="00733C4E"/>
    <w:rsid w:val="007354FA"/>
    <w:rsid w:val="00735D46"/>
    <w:rsid w:val="00735FAB"/>
    <w:rsid w:val="007363D2"/>
    <w:rsid w:val="00737411"/>
    <w:rsid w:val="00737518"/>
    <w:rsid w:val="00737986"/>
    <w:rsid w:val="00737E40"/>
    <w:rsid w:val="00737FCC"/>
    <w:rsid w:val="00740242"/>
    <w:rsid w:val="00740283"/>
    <w:rsid w:val="00740433"/>
    <w:rsid w:val="00740776"/>
    <w:rsid w:val="0074128C"/>
    <w:rsid w:val="0074131D"/>
    <w:rsid w:val="00742144"/>
    <w:rsid w:val="00742830"/>
    <w:rsid w:val="007429B0"/>
    <w:rsid w:val="007429C1"/>
    <w:rsid w:val="0074395A"/>
    <w:rsid w:val="007449AA"/>
    <w:rsid w:val="00745085"/>
    <w:rsid w:val="00745390"/>
    <w:rsid w:val="00745655"/>
    <w:rsid w:val="00745A09"/>
    <w:rsid w:val="00745AD5"/>
    <w:rsid w:val="00746874"/>
    <w:rsid w:val="00746902"/>
    <w:rsid w:val="00746ECA"/>
    <w:rsid w:val="007471DB"/>
    <w:rsid w:val="007472E8"/>
    <w:rsid w:val="00747846"/>
    <w:rsid w:val="00750FDC"/>
    <w:rsid w:val="007510B0"/>
    <w:rsid w:val="0075187C"/>
    <w:rsid w:val="00751D16"/>
    <w:rsid w:val="00751DB3"/>
    <w:rsid w:val="00751E14"/>
    <w:rsid w:val="007520CB"/>
    <w:rsid w:val="00752D18"/>
    <w:rsid w:val="0075301C"/>
    <w:rsid w:val="00753180"/>
    <w:rsid w:val="00753219"/>
    <w:rsid w:val="0075422A"/>
    <w:rsid w:val="00754E04"/>
    <w:rsid w:val="0075551B"/>
    <w:rsid w:val="00755B8A"/>
    <w:rsid w:val="00756576"/>
    <w:rsid w:val="0075683B"/>
    <w:rsid w:val="00756B82"/>
    <w:rsid w:val="00757ACE"/>
    <w:rsid w:val="00760A8A"/>
    <w:rsid w:val="00761118"/>
    <w:rsid w:val="0076205E"/>
    <w:rsid w:val="007626B4"/>
    <w:rsid w:val="007628BF"/>
    <w:rsid w:val="00762E50"/>
    <w:rsid w:val="00763D62"/>
    <w:rsid w:val="00763FD1"/>
    <w:rsid w:val="007640F0"/>
    <w:rsid w:val="00765A08"/>
    <w:rsid w:val="0076630F"/>
    <w:rsid w:val="007664E9"/>
    <w:rsid w:val="00766507"/>
    <w:rsid w:val="007665D0"/>
    <w:rsid w:val="00767163"/>
    <w:rsid w:val="00767AED"/>
    <w:rsid w:val="00770431"/>
    <w:rsid w:val="00770FDC"/>
    <w:rsid w:val="00771646"/>
    <w:rsid w:val="00771A61"/>
    <w:rsid w:val="00771DFE"/>
    <w:rsid w:val="00771E21"/>
    <w:rsid w:val="00771FDB"/>
    <w:rsid w:val="007728AD"/>
    <w:rsid w:val="00772915"/>
    <w:rsid w:val="00772B4E"/>
    <w:rsid w:val="00772EAD"/>
    <w:rsid w:val="00772F2D"/>
    <w:rsid w:val="00773557"/>
    <w:rsid w:val="00773906"/>
    <w:rsid w:val="00773A91"/>
    <w:rsid w:val="00773F6B"/>
    <w:rsid w:val="00774A03"/>
    <w:rsid w:val="00774DD3"/>
    <w:rsid w:val="00775794"/>
    <w:rsid w:val="00775A2A"/>
    <w:rsid w:val="0077674C"/>
    <w:rsid w:val="00776E19"/>
    <w:rsid w:val="0077760F"/>
    <w:rsid w:val="00777726"/>
    <w:rsid w:val="00777A2B"/>
    <w:rsid w:val="00780080"/>
    <w:rsid w:val="00780922"/>
    <w:rsid w:val="0078117C"/>
    <w:rsid w:val="00781373"/>
    <w:rsid w:val="007818FE"/>
    <w:rsid w:val="00781EFD"/>
    <w:rsid w:val="007827D4"/>
    <w:rsid w:val="00782C56"/>
    <w:rsid w:val="00782D89"/>
    <w:rsid w:val="00782FF3"/>
    <w:rsid w:val="0078317C"/>
    <w:rsid w:val="00783304"/>
    <w:rsid w:val="00783307"/>
    <w:rsid w:val="007837FC"/>
    <w:rsid w:val="007838DE"/>
    <w:rsid w:val="0078487D"/>
    <w:rsid w:val="00784C6B"/>
    <w:rsid w:val="007850EC"/>
    <w:rsid w:val="00785F58"/>
    <w:rsid w:val="007862BC"/>
    <w:rsid w:val="0078653A"/>
    <w:rsid w:val="007867D7"/>
    <w:rsid w:val="00786827"/>
    <w:rsid w:val="00786920"/>
    <w:rsid w:val="007918F1"/>
    <w:rsid w:val="0079193C"/>
    <w:rsid w:val="007920C9"/>
    <w:rsid w:val="00792454"/>
    <w:rsid w:val="00792B31"/>
    <w:rsid w:val="00792B76"/>
    <w:rsid w:val="00792BAC"/>
    <w:rsid w:val="00792F31"/>
    <w:rsid w:val="00792F7E"/>
    <w:rsid w:val="00793653"/>
    <w:rsid w:val="00793C05"/>
    <w:rsid w:val="00793E82"/>
    <w:rsid w:val="00794094"/>
    <w:rsid w:val="007947E9"/>
    <w:rsid w:val="00794DAA"/>
    <w:rsid w:val="00796230"/>
    <w:rsid w:val="00796811"/>
    <w:rsid w:val="007968D5"/>
    <w:rsid w:val="00796B78"/>
    <w:rsid w:val="00796BF3"/>
    <w:rsid w:val="00797B9B"/>
    <w:rsid w:val="00797E60"/>
    <w:rsid w:val="00797F4B"/>
    <w:rsid w:val="007A01C1"/>
    <w:rsid w:val="007A026C"/>
    <w:rsid w:val="007A0718"/>
    <w:rsid w:val="007A08C9"/>
    <w:rsid w:val="007A0996"/>
    <w:rsid w:val="007A0CB6"/>
    <w:rsid w:val="007A0FAF"/>
    <w:rsid w:val="007A1E3E"/>
    <w:rsid w:val="007A2335"/>
    <w:rsid w:val="007A2616"/>
    <w:rsid w:val="007A29EB"/>
    <w:rsid w:val="007A2C9B"/>
    <w:rsid w:val="007A2E4D"/>
    <w:rsid w:val="007A3A8A"/>
    <w:rsid w:val="007A4720"/>
    <w:rsid w:val="007A48C6"/>
    <w:rsid w:val="007A4CE7"/>
    <w:rsid w:val="007A5093"/>
    <w:rsid w:val="007A5677"/>
    <w:rsid w:val="007A5BC6"/>
    <w:rsid w:val="007A682E"/>
    <w:rsid w:val="007A6FDC"/>
    <w:rsid w:val="007A7B7F"/>
    <w:rsid w:val="007B0219"/>
    <w:rsid w:val="007B03A6"/>
    <w:rsid w:val="007B07AB"/>
    <w:rsid w:val="007B0E92"/>
    <w:rsid w:val="007B11D9"/>
    <w:rsid w:val="007B124E"/>
    <w:rsid w:val="007B2304"/>
    <w:rsid w:val="007B3C2F"/>
    <w:rsid w:val="007B3F42"/>
    <w:rsid w:val="007B41EC"/>
    <w:rsid w:val="007B4EAB"/>
    <w:rsid w:val="007B57E5"/>
    <w:rsid w:val="007B66CF"/>
    <w:rsid w:val="007B6B19"/>
    <w:rsid w:val="007B6B5A"/>
    <w:rsid w:val="007B76EA"/>
    <w:rsid w:val="007C00E3"/>
    <w:rsid w:val="007C0165"/>
    <w:rsid w:val="007C0512"/>
    <w:rsid w:val="007C0A97"/>
    <w:rsid w:val="007C0B8A"/>
    <w:rsid w:val="007C0CB6"/>
    <w:rsid w:val="007C11FE"/>
    <w:rsid w:val="007C16AC"/>
    <w:rsid w:val="007C17DB"/>
    <w:rsid w:val="007C1F35"/>
    <w:rsid w:val="007C23CD"/>
    <w:rsid w:val="007C2742"/>
    <w:rsid w:val="007C2B67"/>
    <w:rsid w:val="007C2D55"/>
    <w:rsid w:val="007C3511"/>
    <w:rsid w:val="007C3671"/>
    <w:rsid w:val="007C3676"/>
    <w:rsid w:val="007C37C1"/>
    <w:rsid w:val="007C42A4"/>
    <w:rsid w:val="007C5476"/>
    <w:rsid w:val="007C5905"/>
    <w:rsid w:val="007C61C8"/>
    <w:rsid w:val="007C62F3"/>
    <w:rsid w:val="007D051F"/>
    <w:rsid w:val="007D14B9"/>
    <w:rsid w:val="007D18CE"/>
    <w:rsid w:val="007D1E13"/>
    <w:rsid w:val="007D1F9F"/>
    <w:rsid w:val="007D295D"/>
    <w:rsid w:val="007D2A84"/>
    <w:rsid w:val="007D3697"/>
    <w:rsid w:val="007D3975"/>
    <w:rsid w:val="007D3B14"/>
    <w:rsid w:val="007D3F92"/>
    <w:rsid w:val="007D46B0"/>
    <w:rsid w:val="007D4717"/>
    <w:rsid w:val="007D5357"/>
    <w:rsid w:val="007D53AA"/>
    <w:rsid w:val="007D56D9"/>
    <w:rsid w:val="007D66FC"/>
    <w:rsid w:val="007D6952"/>
    <w:rsid w:val="007D6E01"/>
    <w:rsid w:val="007D7220"/>
    <w:rsid w:val="007D74E4"/>
    <w:rsid w:val="007D762A"/>
    <w:rsid w:val="007D782F"/>
    <w:rsid w:val="007E09C2"/>
    <w:rsid w:val="007E0C1E"/>
    <w:rsid w:val="007E2278"/>
    <w:rsid w:val="007E265B"/>
    <w:rsid w:val="007E2984"/>
    <w:rsid w:val="007E299F"/>
    <w:rsid w:val="007E2BD5"/>
    <w:rsid w:val="007E336C"/>
    <w:rsid w:val="007E37F9"/>
    <w:rsid w:val="007E43B5"/>
    <w:rsid w:val="007E44B1"/>
    <w:rsid w:val="007E4894"/>
    <w:rsid w:val="007E52C9"/>
    <w:rsid w:val="007E6ACF"/>
    <w:rsid w:val="007F044E"/>
    <w:rsid w:val="007F09C4"/>
    <w:rsid w:val="007F0C1C"/>
    <w:rsid w:val="007F1300"/>
    <w:rsid w:val="007F13F9"/>
    <w:rsid w:val="007F1F9D"/>
    <w:rsid w:val="007F278B"/>
    <w:rsid w:val="007F2FE3"/>
    <w:rsid w:val="007F3380"/>
    <w:rsid w:val="007F4D63"/>
    <w:rsid w:val="007F60A0"/>
    <w:rsid w:val="007F6167"/>
    <w:rsid w:val="007F67FD"/>
    <w:rsid w:val="007F72A1"/>
    <w:rsid w:val="007F79A9"/>
    <w:rsid w:val="008000A9"/>
    <w:rsid w:val="00801293"/>
    <w:rsid w:val="008013F9"/>
    <w:rsid w:val="00801641"/>
    <w:rsid w:val="0080304E"/>
    <w:rsid w:val="00803587"/>
    <w:rsid w:val="0080388D"/>
    <w:rsid w:val="00803A01"/>
    <w:rsid w:val="00803FEB"/>
    <w:rsid w:val="0080444E"/>
    <w:rsid w:val="0080458A"/>
    <w:rsid w:val="00804D35"/>
    <w:rsid w:val="0080504A"/>
    <w:rsid w:val="008056C9"/>
    <w:rsid w:val="00806578"/>
    <w:rsid w:val="00806D39"/>
    <w:rsid w:val="00806DBF"/>
    <w:rsid w:val="0081027B"/>
    <w:rsid w:val="00810FE5"/>
    <w:rsid w:val="00811E87"/>
    <w:rsid w:val="00812264"/>
    <w:rsid w:val="00812967"/>
    <w:rsid w:val="00813588"/>
    <w:rsid w:val="00813E8F"/>
    <w:rsid w:val="008145EF"/>
    <w:rsid w:val="008149FF"/>
    <w:rsid w:val="008156C2"/>
    <w:rsid w:val="00815A41"/>
    <w:rsid w:val="008165A2"/>
    <w:rsid w:val="00816799"/>
    <w:rsid w:val="00816A17"/>
    <w:rsid w:val="00816A5B"/>
    <w:rsid w:val="00817551"/>
    <w:rsid w:val="00817A12"/>
    <w:rsid w:val="00817EDA"/>
    <w:rsid w:val="008204ED"/>
    <w:rsid w:val="008206B7"/>
    <w:rsid w:val="008229DE"/>
    <w:rsid w:val="00822A8B"/>
    <w:rsid w:val="00822FD5"/>
    <w:rsid w:val="008239B8"/>
    <w:rsid w:val="00823BAA"/>
    <w:rsid w:val="00823F80"/>
    <w:rsid w:val="0082432F"/>
    <w:rsid w:val="00824718"/>
    <w:rsid w:val="0082512C"/>
    <w:rsid w:val="00825F08"/>
    <w:rsid w:val="00826B12"/>
    <w:rsid w:val="00826C71"/>
    <w:rsid w:val="00827440"/>
    <w:rsid w:val="00827B6A"/>
    <w:rsid w:val="00827CD8"/>
    <w:rsid w:val="00830B5E"/>
    <w:rsid w:val="00831628"/>
    <w:rsid w:val="00831A0C"/>
    <w:rsid w:val="0083247D"/>
    <w:rsid w:val="00832907"/>
    <w:rsid w:val="00832DE9"/>
    <w:rsid w:val="00833743"/>
    <w:rsid w:val="00833BD1"/>
    <w:rsid w:val="00835D7B"/>
    <w:rsid w:val="00836CA8"/>
    <w:rsid w:val="00837A0C"/>
    <w:rsid w:val="00842447"/>
    <w:rsid w:val="00843227"/>
    <w:rsid w:val="00843466"/>
    <w:rsid w:val="00843851"/>
    <w:rsid w:val="00843E30"/>
    <w:rsid w:val="00846239"/>
    <w:rsid w:val="00846DD4"/>
    <w:rsid w:val="00846FBC"/>
    <w:rsid w:val="008472D8"/>
    <w:rsid w:val="00847FC0"/>
    <w:rsid w:val="00850090"/>
    <w:rsid w:val="00850774"/>
    <w:rsid w:val="00850CA7"/>
    <w:rsid w:val="00850FCC"/>
    <w:rsid w:val="008515FC"/>
    <w:rsid w:val="00851D9D"/>
    <w:rsid w:val="008521F5"/>
    <w:rsid w:val="0085282F"/>
    <w:rsid w:val="00852A4C"/>
    <w:rsid w:val="00854558"/>
    <w:rsid w:val="0085486E"/>
    <w:rsid w:val="00854978"/>
    <w:rsid w:val="008549D4"/>
    <w:rsid w:val="008558A5"/>
    <w:rsid w:val="00855AB1"/>
    <w:rsid w:val="00856501"/>
    <w:rsid w:val="0086003C"/>
    <w:rsid w:val="008601F0"/>
    <w:rsid w:val="00860637"/>
    <w:rsid w:val="008606C3"/>
    <w:rsid w:val="008609A9"/>
    <w:rsid w:val="00860C59"/>
    <w:rsid w:val="00861754"/>
    <w:rsid w:val="00861A9E"/>
    <w:rsid w:val="00861D56"/>
    <w:rsid w:val="008625C2"/>
    <w:rsid w:val="008630C4"/>
    <w:rsid w:val="0086314B"/>
    <w:rsid w:val="008633FE"/>
    <w:rsid w:val="00863874"/>
    <w:rsid w:val="00863FCD"/>
    <w:rsid w:val="008645BA"/>
    <w:rsid w:val="00865011"/>
    <w:rsid w:val="008653CB"/>
    <w:rsid w:val="0086621A"/>
    <w:rsid w:val="008667A9"/>
    <w:rsid w:val="0086730C"/>
    <w:rsid w:val="008677AC"/>
    <w:rsid w:val="00867E5D"/>
    <w:rsid w:val="00867EB7"/>
    <w:rsid w:val="00867F44"/>
    <w:rsid w:val="0087089B"/>
    <w:rsid w:val="00870FDF"/>
    <w:rsid w:val="0087188E"/>
    <w:rsid w:val="00871D9D"/>
    <w:rsid w:val="008720C9"/>
    <w:rsid w:val="008725B6"/>
    <w:rsid w:val="00872C86"/>
    <w:rsid w:val="00872CD0"/>
    <w:rsid w:val="00873D7F"/>
    <w:rsid w:val="00874498"/>
    <w:rsid w:val="008748C8"/>
    <w:rsid w:val="008751A2"/>
    <w:rsid w:val="0087636D"/>
    <w:rsid w:val="00877180"/>
    <w:rsid w:val="008774BF"/>
    <w:rsid w:val="008776F5"/>
    <w:rsid w:val="00877874"/>
    <w:rsid w:val="00877954"/>
    <w:rsid w:val="00877B13"/>
    <w:rsid w:val="00877D03"/>
    <w:rsid w:val="00880568"/>
    <w:rsid w:val="00880DBF"/>
    <w:rsid w:val="008815CD"/>
    <w:rsid w:val="00881998"/>
    <w:rsid w:val="00881EDD"/>
    <w:rsid w:val="008820F1"/>
    <w:rsid w:val="00882BCF"/>
    <w:rsid w:val="00883025"/>
    <w:rsid w:val="008836B8"/>
    <w:rsid w:val="008839A9"/>
    <w:rsid w:val="00884F5A"/>
    <w:rsid w:val="0088512B"/>
    <w:rsid w:val="00885EF2"/>
    <w:rsid w:val="008866D7"/>
    <w:rsid w:val="008875AE"/>
    <w:rsid w:val="0088795D"/>
    <w:rsid w:val="00887CFF"/>
    <w:rsid w:val="00890BCA"/>
    <w:rsid w:val="008910D1"/>
    <w:rsid w:val="0089177F"/>
    <w:rsid w:val="00892490"/>
    <w:rsid w:val="0089495A"/>
    <w:rsid w:val="00895918"/>
    <w:rsid w:val="00896111"/>
    <w:rsid w:val="0089618B"/>
    <w:rsid w:val="00896301"/>
    <w:rsid w:val="008967CF"/>
    <w:rsid w:val="00896A6B"/>
    <w:rsid w:val="00897114"/>
    <w:rsid w:val="008977C0"/>
    <w:rsid w:val="008978E8"/>
    <w:rsid w:val="00897F9D"/>
    <w:rsid w:val="008A0058"/>
    <w:rsid w:val="008A09B5"/>
    <w:rsid w:val="008A1F2A"/>
    <w:rsid w:val="008A20D6"/>
    <w:rsid w:val="008A2818"/>
    <w:rsid w:val="008A2B97"/>
    <w:rsid w:val="008A3061"/>
    <w:rsid w:val="008A3368"/>
    <w:rsid w:val="008A4070"/>
    <w:rsid w:val="008A42B9"/>
    <w:rsid w:val="008A46AC"/>
    <w:rsid w:val="008A4C02"/>
    <w:rsid w:val="008A5429"/>
    <w:rsid w:val="008A6D97"/>
    <w:rsid w:val="008A6DF4"/>
    <w:rsid w:val="008A761B"/>
    <w:rsid w:val="008B0060"/>
    <w:rsid w:val="008B0238"/>
    <w:rsid w:val="008B037F"/>
    <w:rsid w:val="008B13A6"/>
    <w:rsid w:val="008B1719"/>
    <w:rsid w:val="008B2C8D"/>
    <w:rsid w:val="008B36A7"/>
    <w:rsid w:val="008B376D"/>
    <w:rsid w:val="008B3BB8"/>
    <w:rsid w:val="008B3C94"/>
    <w:rsid w:val="008B4B1E"/>
    <w:rsid w:val="008B4BEB"/>
    <w:rsid w:val="008B54EF"/>
    <w:rsid w:val="008B5BEB"/>
    <w:rsid w:val="008B6B4A"/>
    <w:rsid w:val="008B6D47"/>
    <w:rsid w:val="008B729A"/>
    <w:rsid w:val="008B7837"/>
    <w:rsid w:val="008C1358"/>
    <w:rsid w:val="008C1381"/>
    <w:rsid w:val="008C13F6"/>
    <w:rsid w:val="008C17F2"/>
    <w:rsid w:val="008C1857"/>
    <w:rsid w:val="008C2B5D"/>
    <w:rsid w:val="008C2F69"/>
    <w:rsid w:val="008C3281"/>
    <w:rsid w:val="008C36C1"/>
    <w:rsid w:val="008C3C67"/>
    <w:rsid w:val="008C3CC9"/>
    <w:rsid w:val="008C3F5B"/>
    <w:rsid w:val="008C4B4A"/>
    <w:rsid w:val="008C4BB8"/>
    <w:rsid w:val="008C5180"/>
    <w:rsid w:val="008C54B9"/>
    <w:rsid w:val="008C5B69"/>
    <w:rsid w:val="008C662A"/>
    <w:rsid w:val="008C68F1"/>
    <w:rsid w:val="008C6EEA"/>
    <w:rsid w:val="008C7094"/>
    <w:rsid w:val="008C71B5"/>
    <w:rsid w:val="008C77FD"/>
    <w:rsid w:val="008C7A9C"/>
    <w:rsid w:val="008C7E92"/>
    <w:rsid w:val="008D0914"/>
    <w:rsid w:val="008D0D00"/>
    <w:rsid w:val="008D1189"/>
    <w:rsid w:val="008D14BB"/>
    <w:rsid w:val="008D1992"/>
    <w:rsid w:val="008D2E72"/>
    <w:rsid w:val="008D34A1"/>
    <w:rsid w:val="008D4365"/>
    <w:rsid w:val="008D4684"/>
    <w:rsid w:val="008D5752"/>
    <w:rsid w:val="008D615E"/>
    <w:rsid w:val="008D6AD3"/>
    <w:rsid w:val="008D6B7A"/>
    <w:rsid w:val="008D703F"/>
    <w:rsid w:val="008D7312"/>
    <w:rsid w:val="008D7E70"/>
    <w:rsid w:val="008E09F6"/>
    <w:rsid w:val="008E0AD3"/>
    <w:rsid w:val="008E1B82"/>
    <w:rsid w:val="008E1C32"/>
    <w:rsid w:val="008E2B80"/>
    <w:rsid w:val="008E2DE3"/>
    <w:rsid w:val="008E3349"/>
    <w:rsid w:val="008E38A1"/>
    <w:rsid w:val="008E4D62"/>
    <w:rsid w:val="008E4DB1"/>
    <w:rsid w:val="008E4EE0"/>
    <w:rsid w:val="008E552B"/>
    <w:rsid w:val="008E6DC1"/>
    <w:rsid w:val="008E706D"/>
    <w:rsid w:val="008E708C"/>
    <w:rsid w:val="008E720C"/>
    <w:rsid w:val="008E7457"/>
    <w:rsid w:val="008E771D"/>
    <w:rsid w:val="008E7ADE"/>
    <w:rsid w:val="008E7C12"/>
    <w:rsid w:val="008E7D3C"/>
    <w:rsid w:val="008F091F"/>
    <w:rsid w:val="008F0921"/>
    <w:rsid w:val="008F198A"/>
    <w:rsid w:val="008F27DC"/>
    <w:rsid w:val="008F2CF6"/>
    <w:rsid w:val="008F2E85"/>
    <w:rsid w:val="008F2E91"/>
    <w:rsid w:val="008F3C8A"/>
    <w:rsid w:val="008F3CF6"/>
    <w:rsid w:val="008F3E47"/>
    <w:rsid w:val="008F413A"/>
    <w:rsid w:val="008F4A13"/>
    <w:rsid w:val="008F4B13"/>
    <w:rsid w:val="008F4F2C"/>
    <w:rsid w:val="008F5286"/>
    <w:rsid w:val="008F53F4"/>
    <w:rsid w:val="008F5581"/>
    <w:rsid w:val="008F5E9C"/>
    <w:rsid w:val="008F5F23"/>
    <w:rsid w:val="008F66A6"/>
    <w:rsid w:val="008F6A7B"/>
    <w:rsid w:val="008F775A"/>
    <w:rsid w:val="008F7919"/>
    <w:rsid w:val="008F7ADC"/>
    <w:rsid w:val="00900CBA"/>
    <w:rsid w:val="00901402"/>
    <w:rsid w:val="00901C58"/>
    <w:rsid w:val="00902CA8"/>
    <w:rsid w:val="00902D00"/>
    <w:rsid w:val="00903DFB"/>
    <w:rsid w:val="00904813"/>
    <w:rsid w:val="00904854"/>
    <w:rsid w:val="00904C4C"/>
    <w:rsid w:val="009053EA"/>
    <w:rsid w:val="0090572F"/>
    <w:rsid w:val="00905E46"/>
    <w:rsid w:val="00905E7B"/>
    <w:rsid w:val="009066CA"/>
    <w:rsid w:val="009070F8"/>
    <w:rsid w:val="009078AB"/>
    <w:rsid w:val="00910358"/>
    <w:rsid w:val="00910F57"/>
    <w:rsid w:val="00911CE6"/>
    <w:rsid w:val="00912224"/>
    <w:rsid w:val="00913B4E"/>
    <w:rsid w:val="00913B63"/>
    <w:rsid w:val="0091433D"/>
    <w:rsid w:val="00915004"/>
    <w:rsid w:val="00915D7A"/>
    <w:rsid w:val="00915E06"/>
    <w:rsid w:val="009171CB"/>
    <w:rsid w:val="00920083"/>
    <w:rsid w:val="009203EF"/>
    <w:rsid w:val="00920718"/>
    <w:rsid w:val="00920AB2"/>
    <w:rsid w:val="00920C2A"/>
    <w:rsid w:val="00920CA8"/>
    <w:rsid w:val="0092226B"/>
    <w:rsid w:val="00923093"/>
    <w:rsid w:val="0092346B"/>
    <w:rsid w:val="009235FA"/>
    <w:rsid w:val="00923A41"/>
    <w:rsid w:val="00924E74"/>
    <w:rsid w:val="0092535D"/>
    <w:rsid w:val="00925584"/>
    <w:rsid w:val="00926419"/>
    <w:rsid w:val="009264D8"/>
    <w:rsid w:val="00926B0A"/>
    <w:rsid w:val="00926D05"/>
    <w:rsid w:val="009275AE"/>
    <w:rsid w:val="00927797"/>
    <w:rsid w:val="00927A97"/>
    <w:rsid w:val="00930582"/>
    <w:rsid w:val="00930626"/>
    <w:rsid w:val="00930E57"/>
    <w:rsid w:val="00930E64"/>
    <w:rsid w:val="00931FD7"/>
    <w:rsid w:val="00932461"/>
    <w:rsid w:val="00932A59"/>
    <w:rsid w:val="00932E1C"/>
    <w:rsid w:val="0093329D"/>
    <w:rsid w:val="00933BD6"/>
    <w:rsid w:val="009340F9"/>
    <w:rsid w:val="00935590"/>
    <w:rsid w:val="00935D1A"/>
    <w:rsid w:val="00935F7D"/>
    <w:rsid w:val="009363DC"/>
    <w:rsid w:val="00937373"/>
    <w:rsid w:val="00937F8C"/>
    <w:rsid w:val="009407D9"/>
    <w:rsid w:val="0094085D"/>
    <w:rsid w:val="0094096E"/>
    <w:rsid w:val="00940E3E"/>
    <w:rsid w:val="009413F5"/>
    <w:rsid w:val="00941A3E"/>
    <w:rsid w:val="00941A81"/>
    <w:rsid w:val="00941A92"/>
    <w:rsid w:val="00941E88"/>
    <w:rsid w:val="00942103"/>
    <w:rsid w:val="0094258A"/>
    <w:rsid w:val="00942F62"/>
    <w:rsid w:val="00942FEA"/>
    <w:rsid w:val="00943553"/>
    <w:rsid w:val="0094367E"/>
    <w:rsid w:val="00943B68"/>
    <w:rsid w:val="00945810"/>
    <w:rsid w:val="00946196"/>
    <w:rsid w:val="009466DD"/>
    <w:rsid w:val="009507AE"/>
    <w:rsid w:val="00950D6B"/>
    <w:rsid w:val="0095180F"/>
    <w:rsid w:val="00951A36"/>
    <w:rsid w:val="009523FE"/>
    <w:rsid w:val="00952938"/>
    <w:rsid w:val="00953510"/>
    <w:rsid w:val="0095365E"/>
    <w:rsid w:val="009536B6"/>
    <w:rsid w:val="00953B99"/>
    <w:rsid w:val="00953FE6"/>
    <w:rsid w:val="0095412D"/>
    <w:rsid w:val="00954181"/>
    <w:rsid w:val="00954979"/>
    <w:rsid w:val="00954A06"/>
    <w:rsid w:val="00954AC5"/>
    <w:rsid w:val="00955B3C"/>
    <w:rsid w:val="00955B41"/>
    <w:rsid w:val="00955C36"/>
    <w:rsid w:val="00956658"/>
    <w:rsid w:val="00956BBD"/>
    <w:rsid w:val="00957A54"/>
    <w:rsid w:val="00961A20"/>
    <w:rsid w:val="009623E9"/>
    <w:rsid w:val="009625A1"/>
    <w:rsid w:val="00962A4A"/>
    <w:rsid w:val="00962B69"/>
    <w:rsid w:val="00963361"/>
    <w:rsid w:val="00963D49"/>
    <w:rsid w:val="00963F51"/>
    <w:rsid w:val="00964A70"/>
    <w:rsid w:val="00964BDF"/>
    <w:rsid w:val="00965475"/>
    <w:rsid w:val="009655CF"/>
    <w:rsid w:val="00965853"/>
    <w:rsid w:val="00965BFD"/>
    <w:rsid w:val="009665E0"/>
    <w:rsid w:val="0096710F"/>
    <w:rsid w:val="00967230"/>
    <w:rsid w:val="00967546"/>
    <w:rsid w:val="00967930"/>
    <w:rsid w:val="0097017F"/>
    <w:rsid w:val="00971088"/>
    <w:rsid w:val="00971753"/>
    <w:rsid w:val="00971CAD"/>
    <w:rsid w:val="00972B78"/>
    <w:rsid w:val="009730DF"/>
    <w:rsid w:val="0097387E"/>
    <w:rsid w:val="00973A7A"/>
    <w:rsid w:val="009748D6"/>
    <w:rsid w:val="009748F0"/>
    <w:rsid w:val="00974E43"/>
    <w:rsid w:val="009756B9"/>
    <w:rsid w:val="00975BB8"/>
    <w:rsid w:val="00975EA4"/>
    <w:rsid w:val="009766AB"/>
    <w:rsid w:val="00977AA9"/>
    <w:rsid w:val="00980506"/>
    <w:rsid w:val="00980823"/>
    <w:rsid w:val="009810EB"/>
    <w:rsid w:val="0098174B"/>
    <w:rsid w:val="009819CB"/>
    <w:rsid w:val="00981BE0"/>
    <w:rsid w:val="00981C15"/>
    <w:rsid w:val="00981E00"/>
    <w:rsid w:val="009823F8"/>
    <w:rsid w:val="00982654"/>
    <w:rsid w:val="009827EE"/>
    <w:rsid w:val="00982BA1"/>
    <w:rsid w:val="00983C1F"/>
    <w:rsid w:val="00983D97"/>
    <w:rsid w:val="00984D2B"/>
    <w:rsid w:val="00985A8C"/>
    <w:rsid w:val="00986930"/>
    <w:rsid w:val="00986E63"/>
    <w:rsid w:val="00987353"/>
    <w:rsid w:val="009901AB"/>
    <w:rsid w:val="009913D2"/>
    <w:rsid w:val="0099174B"/>
    <w:rsid w:val="0099267D"/>
    <w:rsid w:val="009926B6"/>
    <w:rsid w:val="009927C5"/>
    <w:rsid w:val="00992BDC"/>
    <w:rsid w:val="00993AF5"/>
    <w:rsid w:val="00994F83"/>
    <w:rsid w:val="00995A71"/>
    <w:rsid w:val="009964C9"/>
    <w:rsid w:val="00997F83"/>
    <w:rsid w:val="009A0126"/>
    <w:rsid w:val="009A013E"/>
    <w:rsid w:val="009A015B"/>
    <w:rsid w:val="009A0185"/>
    <w:rsid w:val="009A118F"/>
    <w:rsid w:val="009A137B"/>
    <w:rsid w:val="009A1556"/>
    <w:rsid w:val="009A23B9"/>
    <w:rsid w:val="009A260F"/>
    <w:rsid w:val="009A2B52"/>
    <w:rsid w:val="009A3A97"/>
    <w:rsid w:val="009A3EEE"/>
    <w:rsid w:val="009A4102"/>
    <w:rsid w:val="009A4242"/>
    <w:rsid w:val="009A4F5E"/>
    <w:rsid w:val="009A5226"/>
    <w:rsid w:val="009A666B"/>
    <w:rsid w:val="009A6680"/>
    <w:rsid w:val="009A6E5C"/>
    <w:rsid w:val="009A76A1"/>
    <w:rsid w:val="009B0498"/>
    <w:rsid w:val="009B0FFD"/>
    <w:rsid w:val="009B1580"/>
    <w:rsid w:val="009B1870"/>
    <w:rsid w:val="009B194B"/>
    <w:rsid w:val="009B1F2C"/>
    <w:rsid w:val="009B20D9"/>
    <w:rsid w:val="009B2B13"/>
    <w:rsid w:val="009B30E3"/>
    <w:rsid w:val="009B3388"/>
    <w:rsid w:val="009B384A"/>
    <w:rsid w:val="009B3A6C"/>
    <w:rsid w:val="009B63A5"/>
    <w:rsid w:val="009B64C8"/>
    <w:rsid w:val="009B6922"/>
    <w:rsid w:val="009B73F7"/>
    <w:rsid w:val="009B77E3"/>
    <w:rsid w:val="009B7AE7"/>
    <w:rsid w:val="009C0996"/>
    <w:rsid w:val="009C0A38"/>
    <w:rsid w:val="009C16B3"/>
    <w:rsid w:val="009C1D96"/>
    <w:rsid w:val="009C1E95"/>
    <w:rsid w:val="009C26EE"/>
    <w:rsid w:val="009C2707"/>
    <w:rsid w:val="009C29CA"/>
    <w:rsid w:val="009C3318"/>
    <w:rsid w:val="009C336D"/>
    <w:rsid w:val="009C33A4"/>
    <w:rsid w:val="009C3580"/>
    <w:rsid w:val="009C35EB"/>
    <w:rsid w:val="009C3C1B"/>
    <w:rsid w:val="009C4F84"/>
    <w:rsid w:val="009C5FC3"/>
    <w:rsid w:val="009C70E3"/>
    <w:rsid w:val="009C71AA"/>
    <w:rsid w:val="009C736A"/>
    <w:rsid w:val="009D031C"/>
    <w:rsid w:val="009D060F"/>
    <w:rsid w:val="009D0686"/>
    <w:rsid w:val="009D1870"/>
    <w:rsid w:val="009D3D77"/>
    <w:rsid w:val="009D41E0"/>
    <w:rsid w:val="009D444F"/>
    <w:rsid w:val="009D49C8"/>
    <w:rsid w:val="009D4DD0"/>
    <w:rsid w:val="009D4DDF"/>
    <w:rsid w:val="009D53BB"/>
    <w:rsid w:val="009D656D"/>
    <w:rsid w:val="009D6858"/>
    <w:rsid w:val="009D6CC2"/>
    <w:rsid w:val="009D6D3B"/>
    <w:rsid w:val="009D6F6C"/>
    <w:rsid w:val="009D7427"/>
    <w:rsid w:val="009D7983"/>
    <w:rsid w:val="009E0B42"/>
    <w:rsid w:val="009E0DFD"/>
    <w:rsid w:val="009E1F28"/>
    <w:rsid w:val="009E28B4"/>
    <w:rsid w:val="009E2AF6"/>
    <w:rsid w:val="009E2E89"/>
    <w:rsid w:val="009E2F5A"/>
    <w:rsid w:val="009E3180"/>
    <w:rsid w:val="009E3930"/>
    <w:rsid w:val="009E39CE"/>
    <w:rsid w:val="009E4605"/>
    <w:rsid w:val="009E5307"/>
    <w:rsid w:val="009E55F8"/>
    <w:rsid w:val="009E5A63"/>
    <w:rsid w:val="009E5C82"/>
    <w:rsid w:val="009E5D9E"/>
    <w:rsid w:val="009E673F"/>
    <w:rsid w:val="009E6C00"/>
    <w:rsid w:val="009E72E7"/>
    <w:rsid w:val="009F05DB"/>
    <w:rsid w:val="009F06BC"/>
    <w:rsid w:val="009F1E0C"/>
    <w:rsid w:val="009F2199"/>
    <w:rsid w:val="009F2296"/>
    <w:rsid w:val="009F2378"/>
    <w:rsid w:val="009F3EC0"/>
    <w:rsid w:val="009F43CE"/>
    <w:rsid w:val="009F44E5"/>
    <w:rsid w:val="009F575D"/>
    <w:rsid w:val="009F6136"/>
    <w:rsid w:val="009F6BA9"/>
    <w:rsid w:val="009F6F17"/>
    <w:rsid w:val="009F721E"/>
    <w:rsid w:val="00A00784"/>
    <w:rsid w:val="00A00B68"/>
    <w:rsid w:val="00A00C21"/>
    <w:rsid w:val="00A01D1B"/>
    <w:rsid w:val="00A02DFA"/>
    <w:rsid w:val="00A02E72"/>
    <w:rsid w:val="00A032EF"/>
    <w:rsid w:val="00A0385D"/>
    <w:rsid w:val="00A04100"/>
    <w:rsid w:val="00A05026"/>
    <w:rsid w:val="00A05FF6"/>
    <w:rsid w:val="00A065F7"/>
    <w:rsid w:val="00A070A6"/>
    <w:rsid w:val="00A07475"/>
    <w:rsid w:val="00A0763F"/>
    <w:rsid w:val="00A07887"/>
    <w:rsid w:val="00A10434"/>
    <w:rsid w:val="00A10D3C"/>
    <w:rsid w:val="00A10F91"/>
    <w:rsid w:val="00A11117"/>
    <w:rsid w:val="00A13905"/>
    <w:rsid w:val="00A14D9C"/>
    <w:rsid w:val="00A14EF4"/>
    <w:rsid w:val="00A14F67"/>
    <w:rsid w:val="00A14FEE"/>
    <w:rsid w:val="00A1551F"/>
    <w:rsid w:val="00A156B7"/>
    <w:rsid w:val="00A156C3"/>
    <w:rsid w:val="00A15D9E"/>
    <w:rsid w:val="00A15F67"/>
    <w:rsid w:val="00A161D9"/>
    <w:rsid w:val="00A1699A"/>
    <w:rsid w:val="00A179DE"/>
    <w:rsid w:val="00A17A04"/>
    <w:rsid w:val="00A2063F"/>
    <w:rsid w:val="00A20EDA"/>
    <w:rsid w:val="00A210E3"/>
    <w:rsid w:val="00A213B3"/>
    <w:rsid w:val="00A2172F"/>
    <w:rsid w:val="00A221D3"/>
    <w:rsid w:val="00A22542"/>
    <w:rsid w:val="00A2276A"/>
    <w:rsid w:val="00A22ACF"/>
    <w:rsid w:val="00A23ED0"/>
    <w:rsid w:val="00A245EE"/>
    <w:rsid w:val="00A246BA"/>
    <w:rsid w:val="00A247BE"/>
    <w:rsid w:val="00A251CE"/>
    <w:rsid w:val="00A25CEA"/>
    <w:rsid w:val="00A27823"/>
    <w:rsid w:val="00A27C0A"/>
    <w:rsid w:val="00A3030B"/>
    <w:rsid w:val="00A31197"/>
    <w:rsid w:val="00A32530"/>
    <w:rsid w:val="00A34F91"/>
    <w:rsid w:val="00A351AB"/>
    <w:rsid w:val="00A35D4D"/>
    <w:rsid w:val="00A35E1B"/>
    <w:rsid w:val="00A35FF1"/>
    <w:rsid w:val="00A363FD"/>
    <w:rsid w:val="00A36599"/>
    <w:rsid w:val="00A369BD"/>
    <w:rsid w:val="00A36B27"/>
    <w:rsid w:val="00A36CB6"/>
    <w:rsid w:val="00A372C0"/>
    <w:rsid w:val="00A37E9C"/>
    <w:rsid w:val="00A41721"/>
    <w:rsid w:val="00A42771"/>
    <w:rsid w:val="00A42CF9"/>
    <w:rsid w:val="00A43FCF"/>
    <w:rsid w:val="00A446DC"/>
    <w:rsid w:val="00A449C2"/>
    <w:rsid w:val="00A44A48"/>
    <w:rsid w:val="00A44B3B"/>
    <w:rsid w:val="00A44C21"/>
    <w:rsid w:val="00A44D7C"/>
    <w:rsid w:val="00A45196"/>
    <w:rsid w:val="00A45478"/>
    <w:rsid w:val="00A46309"/>
    <w:rsid w:val="00A465EE"/>
    <w:rsid w:val="00A4690D"/>
    <w:rsid w:val="00A46D29"/>
    <w:rsid w:val="00A47BD6"/>
    <w:rsid w:val="00A47BE5"/>
    <w:rsid w:val="00A50194"/>
    <w:rsid w:val="00A51162"/>
    <w:rsid w:val="00A51190"/>
    <w:rsid w:val="00A518AA"/>
    <w:rsid w:val="00A528CD"/>
    <w:rsid w:val="00A52BE5"/>
    <w:rsid w:val="00A530D9"/>
    <w:rsid w:val="00A537ED"/>
    <w:rsid w:val="00A53A29"/>
    <w:rsid w:val="00A53AD4"/>
    <w:rsid w:val="00A544AB"/>
    <w:rsid w:val="00A54E06"/>
    <w:rsid w:val="00A55046"/>
    <w:rsid w:val="00A55130"/>
    <w:rsid w:val="00A56585"/>
    <w:rsid w:val="00A577B9"/>
    <w:rsid w:val="00A600CB"/>
    <w:rsid w:val="00A602AA"/>
    <w:rsid w:val="00A60752"/>
    <w:rsid w:val="00A60A7D"/>
    <w:rsid w:val="00A610E1"/>
    <w:rsid w:val="00A611F4"/>
    <w:rsid w:val="00A62420"/>
    <w:rsid w:val="00A63F8A"/>
    <w:rsid w:val="00A644CF"/>
    <w:rsid w:val="00A647B4"/>
    <w:rsid w:val="00A64DB1"/>
    <w:rsid w:val="00A659F8"/>
    <w:rsid w:val="00A65E11"/>
    <w:rsid w:val="00A66161"/>
    <w:rsid w:val="00A66308"/>
    <w:rsid w:val="00A66E6A"/>
    <w:rsid w:val="00A6777B"/>
    <w:rsid w:val="00A67A28"/>
    <w:rsid w:val="00A7055E"/>
    <w:rsid w:val="00A71EB5"/>
    <w:rsid w:val="00A72105"/>
    <w:rsid w:val="00A7221D"/>
    <w:rsid w:val="00A72913"/>
    <w:rsid w:val="00A72BC2"/>
    <w:rsid w:val="00A739CD"/>
    <w:rsid w:val="00A73A9A"/>
    <w:rsid w:val="00A73C81"/>
    <w:rsid w:val="00A751B8"/>
    <w:rsid w:val="00A75535"/>
    <w:rsid w:val="00A7730A"/>
    <w:rsid w:val="00A7760B"/>
    <w:rsid w:val="00A77927"/>
    <w:rsid w:val="00A77D96"/>
    <w:rsid w:val="00A80998"/>
    <w:rsid w:val="00A80E42"/>
    <w:rsid w:val="00A813D4"/>
    <w:rsid w:val="00A814CD"/>
    <w:rsid w:val="00A81A1C"/>
    <w:rsid w:val="00A81DD1"/>
    <w:rsid w:val="00A822A3"/>
    <w:rsid w:val="00A8280B"/>
    <w:rsid w:val="00A82A8C"/>
    <w:rsid w:val="00A83405"/>
    <w:rsid w:val="00A835BA"/>
    <w:rsid w:val="00A83753"/>
    <w:rsid w:val="00A83D4D"/>
    <w:rsid w:val="00A83D65"/>
    <w:rsid w:val="00A84063"/>
    <w:rsid w:val="00A840D6"/>
    <w:rsid w:val="00A84321"/>
    <w:rsid w:val="00A84A78"/>
    <w:rsid w:val="00A852B9"/>
    <w:rsid w:val="00A852D7"/>
    <w:rsid w:val="00A854EE"/>
    <w:rsid w:val="00A855DD"/>
    <w:rsid w:val="00A863C1"/>
    <w:rsid w:val="00A86598"/>
    <w:rsid w:val="00A869B9"/>
    <w:rsid w:val="00A87DE1"/>
    <w:rsid w:val="00A9085D"/>
    <w:rsid w:val="00A90BE7"/>
    <w:rsid w:val="00A9161D"/>
    <w:rsid w:val="00A91BC9"/>
    <w:rsid w:val="00A91D09"/>
    <w:rsid w:val="00A92ECF"/>
    <w:rsid w:val="00A92EFB"/>
    <w:rsid w:val="00A94989"/>
    <w:rsid w:val="00A95931"/>
    <w:rsid w:val="00A95985"/>
    <w:rsid w:val="00A96036"/>
    <w:rsid w:val="00A9612C"/>
    <w:rsid w:val="00A96244"/>
    <w:rsid w:val="00A96B80"/>
    <w:rsid w:val="00A96CBE"/>
    <w:rsid w:val="00AA01E6"/>
    <w:rsid w:val="00AA0497"/>
    <w:rsid w:val="00AA148A"/>
    <w:rsid w:val="00AA22F2"/>
    <w:rsid w:val="00AA306C"/>
    <w:rsid w:val="00AA328A"/>
    <w:rsid w:val="00AA3B6C"/>
    <w:rsid w:val="00AA3BB1"/>
    <w:rsid w:val="00AA44B7"/>
    <w:rsid w:val="00AA4F79"/>
    <w:rsid w:val="00AA5BB8"/>
    <w:rsid w:val="00AA6D00"/>
    <w:rsid w:val="00AA73D4"/>
    <w:rsid w:val="00AA7D02"/>
    <w:rsid w:val="00AA7DB3"/>
    <w:rsid w:val="00AB00FA"/>
    <w:rsid w:val="00AB05A3"/>
    <w:rsid w:val="00AB07B9"/>
    <w:rsid w:val="00AB1475"/>
    <w:rsid w:val="00AB182F"/>
    <w:rsid w:val="00AB255D"/>
    <w:rsid w:val="00AB2902"/>
    <w:rsid w:val="00AB2E51"/>
    <w:rsid w:val="00AB39B2"/>
    <w:rsid w:val="00AB3A63"/>
    <w:rsid w:val="00AB3E24"/>
    <w:rsid w:val="00AB6424"/>
    <w:rsid w:val="00AB709E"/>
    <w:rsid w:val="00AC041B"/>
    <w:rsid w:val="00AC08F3"/>
    <w:rsid w:val="00AC09A1"/>
    <w:rsid w:val="00AC0BAC"/>
    <w:rsid w:val="00AC19BB"/>
    <w:rsid w:val="00AC1ACE"/>
    <w:rsid w:val="00AC21E4"/>
    <w:rsid w:val="00AC2683"/>
    <w:rsid w:val="00AC2B53"/>
    <w:rsid w:val="00AC2FC8"/>
    <w:rsid w:val="00AC301B"/>
    <w:rsid w:val="00AC316F"/>
    <w:rsid w:val="00AC3213"/>
    <w:rsid w:val="00AC3795"/>
    <w:rsid w:val="00AC4088"/>
    <w:rsid w:val="00AC4409"/>
    <w:rsid w:val="00AC4458"/>
    <w:rsid w:val="00AC445C"/>
    <w:rsid w:val="00AC53B9"/>
    <w:rsid w:val="00AC612F"/>
    <w:rsid w:val="00AC63F0"/>
    <w:rsid w:val="00AC6464"/>
    <w:rsid w:val="00AC751A"/>
    <w:rsid w:val="00AC788A"/>
    <w:rsid w:val="00AC79DD"/>
    <w:rsid w:val="00AC7DA0"/>
    <w:rsid w:val="00AD1CE1"/>
    <w:rsid w:val="00AD243D"/>
    <w:rsid w:val="00AD258F"/>
    <w:rsid w:val="00AD2846"/>
    <w:rsid w:val="00AD2A69"/>
    <w:rsid w:val="00AD3ACE"/>
    <w:rsid w:val="00AD3B04"/>
    <w:rsid w:val="00AD50A8"/>
    <w:rsid w:val="00AD5355"/>
    <w:rsid w:val="00AD5B71"/>
    <w:rsid w:val="00AD5C8F"/>
    <w:rsid w:val="00AD7061"/>
    <w:rsid w:val="00AD7A6F"/>
    <w:rsid w:val="00AD7A86"/>
    <w:rsid w:val="00AE006B"/>
    <w:rsid w:val="00AE03B9"/>
    <w:rsid w:val="00AE09A6"/>
    <w:rsid w:val="00AE346D"/>
    <w:rsid w:val="00AE39CF"/>
    <w:rsid w:val="00AE4312"/>
    <w:rsid w:val="00AE494D"/>
    <w:rsid w:val="00AE4A20"/>
    <w:rsid w:val="00AE6088"/>
    <w:rsid w:val="00AE61B5"/>
    <w:rsid w:val="00AE63F6"/>
    <w:rsid w:val="00AE6657"/>
    <w:rsid w:val="00AE67E3"/>
    <w:rsid w:val="00AE7AD2"/>
    <w:rsid w:val="00AE7F61"/>
    <w:rsid w:val="00AF1793"/>
    <w:rsid w:val="00AF1A18"/>
    <w:rsid w:val="00AF1D6B"/>
    <w:rsid w:val="00AF25C8"/>
    <w:rsid w:val="00AF25CA"/>
    <w:rsid w:val="00AF27D4"/>
    <w:rsid w:val="00AF3B0D"/>
    <w:rsid w:val="00AF3FCF"/>
    <w:rsid w:val="00AF4671"/>
    <w:rsid w:val="00AF4BCF"/>
    <w:rsid w:val="00AF4C68"/>
    <w:rsid w:val="00AF53A4"/>
    <w:rsid w:val="00AF55FF"/>
    <w:rsid w:val="00AF580A"/>
    <w:rsid w:val="00AF58B0"/>
    <w:rsid w:val="00AF58C3"/>
    <w:rsid w:val="00AF59A5"/>
    <w:rsid w:val="00AF64E9"/>
    <w:rsid w:val="00AF6F9E"/>
    <w:rsid w:val="00AF73E3"/>
    <w:rsid w:val="00AF74E6"/>
    <w:rsid w:val="00AF7628"/>
    <w:rsid w:val="00AF7774"/>
    <w:rsid w:val="00AF7F6B"/>
    <w:rsid w:val="00B007D4"/>
    <w:rsid w:val="00B00A9F"/>
    <w:rsid w:val="00B00D88"/>
    <w:rsid w:val="00B01472"/>
    <w:rsid w:val="00B01B1C"/>
    <w:rsid w:val="00B02122"/>
    <w:rsid w:val="00B0298A"/>
    <w:rsid w:val="00B02F4F"/>
    <w:rsid w:val="00B03160"/>
    <w:rsid w:val="00B0337A"/>
    <w:rsid w:val="00B03769"/>
    <w:rsid w:val="00B037D7"/>
    <w:rsid w:val="00B03B2F"/>
    <w:rsid w:val="00B03CCD"/>
    <w:rsid w:val="00B04DC7"/>
    <w:rsid w:val="00B0510E"/>
    <w:rsid w:val="00B0542F"/>
    <w:rsid w:val="00B05A20"/>
    <w:rsid w:val="00B05B65"/>
    <w:rsid w:val="00B05BAD"/>
    <w:rsid w:val="00B05CE6"/>
    <w:rsid w:val="00B0680A"/>
    <w:rsid w:val="00B06C2F"/>
    <w:rsid w:val="00B0725C"/>
    <w:rsid w:val="00B07818"/>
    <w:rsid w:val="00B07C67"/>
    <w:rsid w:val="00B10707"/>
    <w:rsid w:val="00B107D0"/>
    <w:rsid w:val="00B11187"/>
    <w:rsid w:val="00B1166C"/>
    <w:rsid w:val="00B11803"/>
    <w:rsid w:val="00B12675"/>
    <w:rsid w:val="00B133AD"/>
    <w:rsid w:val="00B13414"/>
    <w:rsid w:val="00B13E3E"/>
    <w:rsid w:val="00B141FA"/>
    <w:rsid w:val="00B14369"/>
    <w:rsid w:val="00B14692"/>
    <w:rsid w:val="00B14A5F"/>
    <w:rsid w:val="00B15EB6"/>
    <w:rsid w:val="00B15F0F"/>
    <w:rsid w:val="00B163E7"/>
    <w:rsid w:val="00B178FD"/>
    <w:rsid w:val="00B20454"/>
    <w:rsid w:val="00B20C99"/>
    <w:rsid w:val="00B20EA9"/>
    <w:rsid w:val="00B231C9"/>
    <w:rsid w:val="00B232CC"/>
    <w:rsid w:val="00B236C9"/>
    <w:rsid w:val="00B23CF8"/>
    <w:rsid w:val="00B24907"/>
    <w:rsid w:val="00B2661F"/>
    <w:rsid w:val="00B268AF"/>
    <w:rsid w:val="00B26A30"/>
    <w:rsid w:val="00B276D6"/>
    <w:rsid w:val="00B27D83"/>
    <w:rsid w:val="00B30DEB"/>
    <w:rsid w:val="00B30F86"/>
    <w:rsid w:val="00B31161"/>
    <w:rsid w:val="00B3131F"/>
    <w:rsid w:val="00B327F3"/>
    <w:rsid w:val="00B33D1C"/>
    <w:rsid w:val="00B34E21"/>
    <w:rsid w:val="00B357D5"/>
    <w:rsid w:val="00B36447"/>
    <w:rsid w:val="00B3645F"/>
    <w:rsid w:val="00B36740"/>
    <w:rsid w:val="00B36E45"/>
    <w:rsid w:val="00B37D90"/>
    <w:rsid w:val="00B402AA"/>
    <w:rsid w:val="00B402F2"/>
    <w:rsid w:val="00B40F77"/>
    <w:rsid w:val="00B42DAC"/>
    <w:rsid w:val="00B431F7"/>
    <w:rsid w:val="00B437DE"/>
    <w:rsid w:val="00B43D04"/>
    <w:rsid w:val="00B442CE"/>
    <w:rsid w:val="00B44B9E"/>
    <w:rsid w:val="00B44D47"/>
    <w:rsid w:val="00B455A8"/>
    <w:rsid w:val="00B455E0"/>
    <w:rsid w:val="00B4568F"/>
    <w:rsid w:val="00B45742"/>
    <w:rsid w:val="00B45AF0"/>
    <w:rsid w:val="00B45B74"/>
    <w:rsid w:val="00B4659C"/>
    <w:rsid w:val="00B4662F"/>
    <w:rsid w:val="00B47297"/>
    <w:rsid w:val="00B506FA"/>
    <w:rsid w:val="00B50701"/>
    <w:rsid w:val="00B50A3A"/>
    <w:rsid w:val="00B5203D"/>
    <w:rsid w:val="00B520C4"/>
    <w:rsid w:val="00B522C0"/>
    <w:rsid w:val="00B53796"/>
    <w:rsid w:val="00B54D4D"/>
    <w:rsid w:val="00B55428"/>
    <w:rsid w:val="00B56945"/>
    <w:rsid w:val="00B56C2B"/>
    <w:rsid w:val="00B56E3D"/>
    <w:rsid w:val="00B573A4"/>
    <w:rsid w:val="00B5749E"/>
    <w:rsid w:val="00B57500"/>
    <w:rsid w:val="00B60869"/>
    <w:rsid w:val="00B60A58"/>
    <w:rsid w:val="00B60C7B"/>
    <w:rsid w:val="00B60EEA"/>
    <w:rsid w:val="00B61519"/>
    <w:rsid w:val="00B61BA2"/>
    <w:rsid w:val="00B61C4A"/>
    <w:rsid w:val="00B61D01"/>
    <w:rsid w:val="00B61D61"/>
    <w:rsid w:val="00B6225B"/>
    <w:rsid w:val="00B628DD"/>
    <w:rsid w:val="00B62AD6"/>
    <w:rsid w:val="00B63A98"/>
    <w:rsid w:val="00B63B3E"/>
    <w:rsid w:val="00B64C47"/>
    <w:rsid w:val="00B64CED"/>
    <w:rsid w:val="00B65245"/>
    <w:rsid w:val="00B65524"/>
    <w:rsid w:val="00B657DB"/>
    <w:rsid w:val="00B65EDC"/>
    <w:rsid w:val="00B66068"/>
    <w:rsid w:val="00B663FD"/>
    <w:rsid w:val="00B6645E"/>
    <w:rsid w:val="00B66972"/>
    <w:rsid w:val="00B66EAC"/>
    <w:rsid w:val="00B67048"/>
    <w:rsid w:val="00B671D6"/>
    <w:rsid w:val="00B67576"/>
    <w:rsid w:val="00B67772"/>
    <w:rsid w:val="00B70510"/>
    <w:rsid w:val="00B70FCF"/>
    <w:rsid w:val="00B712FE"/>
    <w:rsid w:val="00B7142C"/>
    <w:rsid w:val="00B717D2"/>
    <w:rsid w:val="00B721F2"/>
    <w:rsid w:val="00B72227"/>
    <w:rsid w:val="00B72F1C"/>
    <w:rsid w:val="00B73133"/>
    <w:rsid w:val="00B73403"/>
    <w:rsid w:val="00B741D5"/>
    <w:rsid w:val="00B743C0"/>
    <w:rsid w:val="00B7464E"/>
    <w:rsid w:val="00B7583D"/>
    <w:rsid w:val="00B75F3F"/>
    <w:rsid w:val="00B77658"/>
    <w:rsid w:val="00B77668"/>
    <w:rsid w:val="00B77B3B"/>
    <w:rsid w:val="00B77B7E"/>
    <w:rsid w:val="00B77EAF"/>
    <w:rsid w:val="00B8017D"/>
    <w:rsid w:val="00B8071E"/>
    <w:rsid w:val="00B80B6A"/>
    <w:rsid w:val="00B80F41"/>
    <w:rsid w:val="00B80F6E"/>
    <w:rsid w:val="00B82A81"/>
    <w:rsid w:val="00B8327E"/>
    <w:rsid w:val="00B832B5"/>
    <w:rsid w:val="00B84033"/>
    <w:rsid w:val="00B84914"/>
    <w:rsid w:val="00B84E43"/>
    <w:rsid w:val="00B85F82"/>
    <w:rsid w:val="00B85FBC"/>
    <w:rsid w:val="00B86A76"/>
    <w:rsid w:val="00B872DB"/>
    <w:rsid w:val="00B906C9"/>
    <w:rsid w:val="00B9074E"/>
    <w:rsid w:val="00B90A09"/>
    <w:rsid w:val="00B90EC5"/>
    <w:rsid w:val="00B91D6A"/>
    <w:rsid w:val="00B91D98"/>
    <w:rsid w:val="00B91FCF"/>
    <w:rsid w:val="00B92836"/>
    <w:rsid w:val="00B92C73"/>
    <w:rsid w:val="00B94C80"/>
    <w:rsid w:val="00B94C96"/>
    <w:rsid w:val="00B95BD9"/>
    <w:rsid w:val="00B963CF"/>
    <w:rsid w:val="00B963EB"/>
    <w:rsid w:val="00B97705"/>
    <w:rsid w:val="00B978F1"/>
    <w:rsid w:val="00B97E2B"/>
    <w:rsid w:val="00B97F8A"/>
    <w:rsid w:val="00BA054B"/>
    <w:rsid w:val="00BA22FA"/>
    <w:rsid w:val="00BA276F"/>
    <w:rsid w:val="00BA29FE"/>
    <w:rsid w:val="00BA2B02"/>
    <w:rsid w:val="00BA3A98"/>
    <w:rsid w:val="00BA5703"/>
    <w:rsid w:val="00BA5DDC"/>
    <w:rsid w:val="00BA5E8B"/>
    <w:rsid w:val="00BA67FE"/>
    <w:rsid w:val="00BA6C77"/>
    <w:rsid w:val="00BA6CC4"/>
    <w:rsid w:val="00BA6D1D"/>
    <w:rsid w:val="00BA6F58"/>
    <w:rsid w:val="00BA748D"/>
    <w:rsid w:val="00BA7965"/>
    <w:rsid w:val="00BA7C3F"/>
    <w:rsid w:val="00BA7CA6"/>
    <w:rsid w:val="00BB02AD"/>
    <w:rsid w:val="00BB099A"/>
    <w:rsid w:val="00BB0E46"/>
    <w:rsid w:val="00BB12E4"/>
    <w:rsid w:val="00BB144F"/>
    <w:rsid w:val="00BB1A1C"/>
    <w:rsid w:val="00BB22D1"/>
    <w:rsid w:val="00BB2A58"/>
    <w:rsid w:val="00BB2D42"/>
    <w:rsid w:val="00BB2D71"/>
    <w:rsid w:val="00BB2F54"/>
    <w:rsid w:val="00BB3DEE"/>
    <w:rsid w:val="00BB416A"/>
    <w:rsid w:val="00BB446F"/>
    <w:rsid w:val="00BB55E1"/>
    <w:rsid w:val="00BB5AFA"/>
    <w:rsid w:val="00BB7BFC"/>
    <w:rsid w:val="00BB7C48"/>
    <w:rsid w:val="00BB7EA6"/>
    <w:rsid w:val="00BC17F3"/>
    <w:rsid w:val="00BC31A7"/>
    <w:rsid w:val="00BC33B9"/>
    <w:rsid w:val="00BC3B58"/>
    <w:rsid w:val="00BC3FC3"/>
    <w:rsid w:val="00BC49D7"/>
    <w:rsid w:val="00BC4AC2"/>
    <w:rsid w:val="00BC4BA9"/>
    <w:rsid w:val="00BC4C3D"/>
    <w:rsid w:val="00BC4D37"/>
    <w:rsid w:val="00BC5D0C"/>
    <w:rsid w:val="00BC633A"/>
    <w:rsid w:val="00BC66F0"/>
    <w:rsid w:val="00BC746B"/>
    <w:rsid w:val="00BC7558"/>
    <w:rsid w:val="00BC78C4"/>
    <w:rsid w:val="00BC7C19"/>
    <w:rsid w:val="00BD0E67"/>
    <w:rsid w:val="00BD0FC1"/>
    <w:rsid w:val="00BD1762"/>
    <w:rsid w:val="00BD1E5F"/>
    <w:rsid w:val="00BD27C4"/>
    <w:rsid w:val="00BD2D12"/>
    <w:rsid w:val="00BD4648"/>
    <w:rsid w:val="00BD4C18"/>
    <w:rsid w:val="00BD5204"/>
    <w:rsid w:val="00BD58E5"/>
    <w:rsid w:val="00BD5E43"/>
    <w:rsid w:val="00BD5EC8"/>
    <w:rsid w:val="00BD6236"/>
    <w:rsid w:val="00BD6C43"/>
    <w:rsid w:val="00BD6E50"/>
    <w:rsid w:val="00BD6E58"/>
    <w:rsid w:val="00BD74A9"/>
    <w:rsid w:val="00BD76FE"/>
    <w:rsid w:val="00BD7A10"/>
    <w:rsid w:val="00BD7E39"/>
    <w:rsid w:val="00BE3130"/>
    <w:rsid w:val="00BE3F02"/>
    <w:rsid w:val="00BE466D"/>
    <w:rsid w:val="00BE471F"/>
    <w:rsid w:val="00BE4E75"/>
    <w:rsid w:val="00BE52AE"/>
    <w:rsid w:val="00BE59BD"/>
    <w:rsid w:val="00BE5F99"/>
    <w:rsid w:val="00BE60AC"/>
    <w:rsid w:val="00BE60DE"/>
    <w:rsid w:val="00BE6362"/>
    <w:rsid w:val="00BE7394"/>
    <w:rsid w:val="00BF049E"/>
    <w:rsid w:val="00BF140D"/>
    <w:rsid w:val="00BF1888"/>
    <w:rsid w:val="00BF1BEA"/>
    <w:rsid w:val="00BF205A"/>
    <w:rsid w:val="00BF2C7A"/>
    <w:rsid w:val="00BF34AB"/>
    <w:rsid w:val="00BF3F83"/>
    <w:rsid w:val="00BF4F32"/>
    <w:rsid w:val="00BF5151"/>
    <w:rsid w:val="00BF5616"/>
    <w:rsid w:val="00BF5FF0"/>
    <w:rsid w:val="00BF60A3"/>
    <w:rsid w:val="00BF628C"/>
    <w:rsid w:val="00BF67F8"/>
    <w:rsid w:val="00BF6847"/>
    <w:rsid w:val="00BF7044"/>
    <w:rsid w:val="00BF70F0"/>
    <w:rsid w:val="00BF77C9"/>
    <w:rsid w:val="00BF7A43"/>
    <w:rsid w:val="00C00272"/>
    <w:rsid w:val="00C00B51"/>
    <w:rsid w:val="00C00D0D"/>
    <w:rsid w:val="00C00DE2"/>
    <w:rsid w:val="00C0164F"/>
    <w:rsid w:val="00C01B02"/>
    <w:rsid w:val="00C021FE"/>
    <w:rsid w:val="00C02A34"/>
    <w:rsid w:val="00C02B5D"/>
    <w:rsid w:val="00C03666"/>
    <w:rsid w:val="00C03824"/>
    <w:rsid w:val="00C039A8"/>
    <w:rsid w:val="00C04174"/>
    <w:rsid w:val="00C04DC9"/>
    <w:rsid w:val="00C05A8D"/>
    <w:rsid w:val="00C06A12"/>
    <w:rsid w:val="00C06EC9"/>
    <w:rsid w:val="00C0707E"/>
    <w:rsid w:val="00C07328"/>
    <w:rsid w:val="00C07600"/>
    <w:rsid w:val="00C07BA9"/>
    <w:rsid w:val="00C109DC"/>
    <w:rsid w:val="00C10F68"/>
    <w:rsid w:val="00C125C2"/>
    <w:rsid w:val="00C12B4E"/>
    <w:rsid w:val="00C1391A"/>
    <w:rsid w:val="00C13D0F"/>
    <w:rsid w:val="00C1405E"/>
    <w:rsid w:val="00C144EE"/>
    <w:rsid w:val="00C164C8"/>
    <w:rsid w:val="00C165E1"/>
    <w:rsid w:val="00C168D3"/>
    <w:rsid w:val="00C16A91"/>
    <w:rsid w:val="00C1748B"/>
    <w:rsid w:val="00C17D81"/>
    <w:rsid w:val="00C17F11"/>
    <w:rsid w:val="00C17FB3"/>
    <w:rsid w:val="00C20D79"/>
    <w:rsid w:val="00C2135A"/>
    <w:rsid w:val="00C213A5"/>
    <w:rsid w:val="00C21705"/>
    <w:rsid w:val="00C2222D"/>
    <w:rsid w:val="00C226CA"/>
    <w:rsid w:val="00C22845"/>
    <w:rsid w:val="00C23951"/>
    <w:rsid w:val="00C23A0F"/>
    <w:rsid w:val="00C2404F"/>
    <w:rsid w:val="00C250BD"/>
    <w:rsid w:val="00C262DE"/>
    <w:rsid w:val="00C26342"/>
    <w:rsid w:val="00C270AA"/>
    <w:rsid w:val="00C279A9"/>
    <w:rsid w:val="00C27B21"/>
    <w:rsid w:val="00C30366"/>
    <w:rsid w:val="00C30987"/>
    <w:rsid w:val="00C30988"/>
    <w:rsid w:val="00C30A8D"/>
    <w:rsid w:val="00C30D6B"/>
    <w:rsid w:val="00C32481"/>
    <w:rsid w:val="00C337BB"/>
    <w:rsid w:val="00C33A6A"/>
    <w:rsid w:val="00C345FE"/>
    <w:rsid w:val="00C3471F"/>
    <w:rsid w:val="00C35812"/>
    <w:rsid w:val="00C35E71"/>
    <w:rsid w:val="00C37950"/>
    <w:rsid w:val="00C379B2"/>
    <w:rsid w:val="00C379FF"/>
    <w:rsid w:val="00C37B70"/>
    <w:rsid w:val="00C37BB4"/>
    <w:rsid w:val="00C40989"/>
    <w:rsid w:val="00C41A47"/>
    <w:rsid w:val="00C41CA7"/>
    <w:rsid w:val="00C41E61"/>
    <w:rsid w:val="00C4240A"/>
    <w:rsid w:val="00C428FF"/>
    <w:rsid w:val="00C42D0C"/>
    <w:rsid w:val="00C43409"/>
    <w:rsid w:val="00C43F9A"/>
    <w:rsid w:val="00C44ADF"/>
    <w:rsid w:val="00C45727"/>
    <w:rsid w:val="00C45AF2"/>
    <w:rsid w:val="00C45B5C"/>
    <w:rsid w:val="00C45E77"/>
    <w:rsid w:val="00C466FD"/>
    <w:rsid w:val="00C46ADF"/>
    <w:rsid w:val="00C46E10"/>
    <w:rsid w:val="00C473BF"/>
    <w:rsid w:val="00C5023A"/>
    <w:rsid w:val="00C503A2"/>
    <w:rsid w:val="00C50F62"/>
    <w:rsid w:val="00C511E0"/>
    <w:rsid w:val="00C51EF5"/>
    <w:rsid w:val="00C52187"/>
    <w:rsid w:val="00C52C8A"/>
    <w:rsid w:val="00C53263"/>
    <w:rsid w:val="00C53298"/>
    <w:rsid w:val="00C53653"/>
    <w:rsid w:val="00C5370A"/>
    <w:rsid w:val="00C54350"/>
    <w:rsid w:val="00C54A89"/>
    <w:rsid w:val="00C54E79"/>
    <w:rsid w:val="00C561DB"/>
    <w:rsid w:val="00C5657A"/>
    <w:rsid w:val="00C568BD"/>
    <w:rsid w:val="00C56B57"/>
    <w:rsid w:val="00C57054"/>
    <w:rsid w:val="00C57763"/>
    <w:rsid w:val="00C57D72"/>
    <w:rsid w:val="00C60374"/>
    <w:rsid w:val="00C6082C"/>
    <w:rsid w:val="00C609EF"/>
    <w:rsid w:val="00C60A69"/>
    <w:rsid w:val="00C61737"/>
    <w:rsid w:val="00C618BE"/>
    <w:rsid w:val="00C61D96"/>
    <w:rsid w:val="00C6210B"/>
    <w:rsid w:val="00C6215F"/>
    <w:rsid w:val="00C623BA"/>
    <w:rsid w:val="00C634BD"/>
    <w:rsid w:val="00C634ED"/>
    <w:rsid w:val="00C63593"/>
    <w:rsid w:val="00C6469D"/>
    <w:rsid w:val="00C64A56"/>
    <w:rsid w:val="00C64A9F"/>
    <w:rsid w:val="00C65185"/>
    <w:rsid w:val="00C65AB4"/>
    <w:rsid w:val="00C65AF0"/>
    <w:rsid w:val="00C65C08"/>
    <w:rsid w:val="00C65C1D"/>
    <w:rsid w:val="00C65FA8"/>
    <w:rsid w:val="00C6601A"/>
    <w:rsid w:val="00C66658"/>
    <w:rsid w:val="00C67441"/>
    <w:rsid w:val="00C6751B"/>
    <w:rsid w:val="00C703AE"/>
    <w:rsid w:val="00C711A0"/>
    <w:rsid w:val="00C7144E"/>
    <w:rsid w:val="00C71863"/>
    <w:rsid w:val="00C719A7"/>
    <w:rsid w:val="00C73368"/>
    <w:rsid w:val="00C7396A"/>
    <w:rsid w:val="00C75EA4"/>
    <w:rsid w:val="00C76D1C"/>
    <w:rsid w:val="00C76F60"/>
    <w:rsid w:val="00C76F7C"/>
    <w:rsid w:val="00C77031"/>
    <w:rsid w:val="00C778D0"/>
    <w:rsid w:val="00C77F12"/>
    <w:rsid w:val="00C8024B"/>
    <w:rsid w:val="00C8060A"/>
    <w:rsid w:val="00C8202D"/>
    <w:rsid w:val="00C820AC"/>
    <w:rsid w:val="00C8263E"/>
    <w:rsid w:val="00C82979"/>
    <w:rsid w:val="00C82DB3"/>
    <w:rsid w:val="00C830D1"/>
    <w:rsid w:val="00C837EE"/>
    <w:rsid w:val="00C83E1F"/>
    <w:rsid w:val="00C84870"/>
    <w:rsid w:val="00C84884"/>
    <w:rsid w:val="00C84BC8"/>
    <w:rsid w:val="00C84C39"/>
    <w:rsid w:val="00C84D9B"/>
    <w:rsid w:val="00C85BE8"/>
    <w:rsid w:val="00C85D37"/>
    <w:rsid w:val="00C878EF"/>
    <w:rsid w:val="00C87AC7"/>
    <w:rsid w:val="00C87E16"/>
    <w:rsid w:val="00C901E3"/>
    <w:rsid w:val="00C90952"/>
    <w:rsid w:val="00C90D00"/>
    <w:rsid w:val="00C90FAF"/>
    <w:rsid w:val="00C9175D"/>
    <w:rsid w:val="00C91764"/>
    <w:rsid w:val="00C91906"/>
    <w:rsid w:val="00C91B7D"/>
    <w:rsid w:val="00C92419"/>
    <w:rsid w:val="00C944CA"/>
    <w:rsid w:val="00C94B0D"/>
    <w:rsid w:val="00C953FB"/>
    <w:rsid w:val="00C955DE"/>
    <w:rsid w:val="00C958A9"/>
    <w:rsid w:val="00C95B98"/>
    <w:rsid w:val="00C95DC0"/>
    <w:rsid w:val="00C9617E"/>
    <w:rsid w:val="00C96865"/>
    <w:rsid w:val="00C96CF1"/>
    <w:rsid w:val="00C96DF0"/>
    <w:rsid w:val="00C96ECD"/>
    <w:rsid w:val="00C97085"/>
    <w:rsid w:val="00C97A3A"/>
    <w:rsid w:val="00C97DAA"/>
    <w:rsid w:val="00CA0590"/>
    <w:rsid w:val="00CA06AB"/>
    <w:rsid w:val="00CA07B3"/>
    <w:rsid w:val="00CA2402"/>
    <w:rsid w:val="00CA2F04"/>
    <w:rsid w:val="00CA34EA"/>
    <w:rsid w:val="00CA39C2"/>
    <w:rsid w:val="00CA3A59"/>
    <w:rsid w:val="00CA3CC2"/>
    <w:rsid w:val="00CA52F0"/>
    <w:rsid w:val="00CA59F3"/>
    <w:rsid w:val="00CA5A77"/>
    <w:rsid w:val="00CA62C6"/>
    <w:rsid w:val="00CA7682"/>
    <w:rsid w:val="00CA785F"/>
    <w:rsid w:val="00CB0428"/>
    <w:rsid w:val="00CB089E"/>
    <w:rsid w:val="00CB1860"/>
    <w:rsid w:val="00CB238C"/>
    <w:rsid w:val="00CB255C"/>
    <w:rsid w:val="00CB2909"/>
    <w:rsid w:val="00CB2E9C"/>
    <w:rsid w:val="00CB3338"/>
    <w:rsid w:val="00CB3945"/>
    <w:rsid w:val="00CB3C1A"/>
    <w:rsid w:val="00CB3EA2"/>
    <w:rsid w:val="00CB3FD0"/>
    <w:rsid w:val="00CB4859"/>
    <w:rsid w:val="00CB4E0D"/>
    <w:rsid w:val="00CB5DDB"/>
    <w:rsid w:val="00CB6182"/>
    <w:rsid w:val="00CB642A"/>
    <w:rsid w:val="00CB6723"/>
    <w:rsid w:val="00CB6C3A"/>
    <w:rsid w:val="00CB6FF3"/>
    <w:rsid w:val="00CB7131"/>
    <w:rsid w:val="00CB720E"/>
    <w:rsid w:val="00CB7EE3"/>
    <w:rsid w:val="00CC0674"/>
    <w:rsid w:val="00CC10A5"/>
    <w:rsid w:val="00CC1A68"/>
    <w:rsid w:val="00CC25D2"/>
    <w:rsid w:val="00CC2648"/>
    <w:rsid w:val="00CC2944"/>
    <w:rsid w:val="00CC2C9E"/>
    <w:rsid w:val="00CC32FD"/>
    <w:rsid w:val="00CC36B6"/>
    <w:rsid w:val="00CC3AF7"/>
    <w:rsid w:val="00CC3F76"/>
    <w:rsid w:val="00CC431E"/>
    <w:rsid w:val="00CC481E"/>
    <w:rsid w:val="00CC4B84"/>
    <w:rsid w:val="00CC63DE"/>
    <w:rsid w:val="00CC71DB"/>
    <w:rsid w:val="00CC7367"/>
    <w:rsid w:val="00CC7630"/>
    <w:rsid w:val="00CD0130"/>
    <w:rsid w:val="00CD045A"/>
    <w:rsid w:val="00CD09D3"/>
    <w:rsid w:val="00CD0A92"/>
    <w:rsid w:val="00CD0D0F"/>
    <w:rsid w:val="00CD0EC1"/>
    <w:rsid w:val="00CD2D7C"/>
    <w:rsid w:val="00CD30DB"/>
    <w:rsid w:val="00CD486D"/>
    <w:rsid w:val="00CD4E64"/>
    <w:rsid w:val="00CD51F4"/>
    <w:rsid w:val="00CD5308"/>
    <w:rsid w:val="00CD5993"/>
    <w:rsid w:val="00CD6813"/>
    <w:rsid w:val="00CD6911"/>
    <w:rsid w:val="00CD6E1D"/>
    <w:rsid w:val="00CD6F3B"/>
    <w:rsid w:val="00CD7386"/>
    <w:rsid w:val="00CD7962"/>
    <w:rsid w:val="00CD7F98"/>
    <w:rsid w:val="00CE074E"/>
    <w:rsid w:val="00CE1CCD"/>
    <w:rsid w:val="00CE26F5"/>
    <w:rsid w:val="00CE2A9D"/>
    <w:rsid w:val="00CE2E2A"/>
    <w:rsid w:val="00CE330B"/>
    <w:rsid w:val="00CE3B91"/>
    <w:rsid w:val="00CE3F2C"/>
    <w:rsid w:val="00CE4E54"/>
    <w:rsid w:val="00CE510C"/>
    <w:rsid w:val="00CE537D"/>
    <w:rsid w:val="00CE5752"/>
    <w:rsid w:val="00CE5918"/>
    <w:rsid w:val="00CE5AC7"/>
    <w:rsid w:val="00CE60D7"/>
    <w:rsid w:val="00CE7A29"/>
    <w:rsid w:val="00CF0039"/>
    <w:rsid w:val="00CF066F"/>
    <w:rsid w:val="00CF0BB8"/>
    <w:rsid w:val="00CF2148"/>
    <w:rsid w:val="00CF223A"/>
    <w:rsid w:val="00CF2245"/>
    <w:rsid w:val="00CF263E"/>
    <w:rsid w:val="00CF2E99"/>
    <w:rsid w:val="00CF30FD"/>
    <w:rsid w:val="00CF35E2"/>
    <w:rsid w:val="00CF3B6F"/>
    <w:rsid w:val="00CF4827"/>
    <w:rsid w:val="00CF4E7C"/>
    <w:rsid w:val="00CF58A4"/>
    <w:rsid w:val="00CF5E31"/>
    <w:rsid w:val="00CF61C5"/>
    <w:rsid w:val="00CF648F"/>
    <w:rsid w:val="00CF663C"/>
    <w:rsid w:val="00CF6EEF"/>
    <w:rsid w:val="00CF74B7"/>
    <w:rsid w:val="00CF7ACE"/>
    <w:rsid w:val="00D00BB5"/>
    <w:rsid w:val="00D01414"/>
    <w:rsid w:val="00D018AA"/>
    <w:rsid w:val="00D01EC6"/>
    <w:rsid w:val="00D02168"/>
    <w:rsid w:val="00D02748"/>
    <w:rsid w:val="00D02FF0"/>
    <w:rsid w:val="00D0374E"/>
    <w:rsid w:val="00D03847"/>
    <w:rsid w:val="00D04C9D"/>
    <w:rsid w:val="00D04ECE"/>
    <w:rsid w:val="00D05482"/>
    <w:rsid w:val="00D05709"/>
    <w:rsid w:val="00D06D52"/>
    <w:rsid w:val="00D06F82"/>
    <w:rsid w:val="00D07480"/>
    <w:rsid w:val="00D1004B"/>
    <w:rsid w:val="00D103E5"/>
    <w:rsid w:val="00D10B03"/>
    <w:rsid w:val="00D11421"/>
    <w:rsid w:val="00D11AAE"/>
    <w:rsid w:val="00D121B8"/>
    <w:rsid w:val="00D1234C"/>
    <w:rsid w:val="00D12D49"/>
    <w:rsid w:val="00D13176"/>
    <w:rsid w:val="00D13B49"/>
    <w:rsid w:val="00D14158"/>
    <w:rsid w:val="00D141E2"/>
    <w:rsid w:val="00D146E8"/>
    <w:rsid w:val="00D14B7B"/>
    <w:rsid w:val="00D14EC2"/>
    <w:rsid w:val="00D15D47"/>
    <w:rsid w:val="00D15EC5"/>
    <w:rsid w:val="00D168E0"/>
    <w:rsid w:val="00D16D0A"/>
    <w:rsid w:val="00D17B17"/>
    <w:rsid w:val="00D201A6"/>
    <w:rsid w:val="00D215E6"/>
    <w:rsid w:val="00D21624"/>
    <w:rsid w:val="00D21D94"/>
    <w:rsid w:val="00D2257C"/>
    <w:rsid w:val="00D22DEE"/>
    <w:rsid w:val="00D24718"/>
    <w:rsid w:val="00D24945"/>
    <w:rsid w:val="00D2515D"/>
    <w:rsid w:val="00D25862"/>
    <w:rsid w:val="00D2590A"/>
    <w:rsid w:val="00D25B7B"/>
    <w:rsid w:val="00D26090"/>
    <w:rsid w:val="00D26185"/>
    <w:rsid w:val="00D26A08"/>
    <w:rsid w:val="00D26A97"/>
    <w:rsid w:val="00D26B15"/>
    <w:rsid w:val="00D278BB"/>
    <w:rsid w:val="00D27C9A"/>
    <w:rsid w:val="00D27DBF"/>
    <w:rsid w:val="00D30670"/>
    <w:rsid w:val="00D31493"/>
    <w:rsid w:val="00D31943"/>
    <w:rsid w:val="00D31CE1"/>
    <w:rsid w:val="00D324D6"/>
    <w:rsid w:val="00D34C1A"/>
    <w:rsid w:val="00D356EA"/>
    <w:rsid w:val="00D35CA0"/>
    <w:rsid w:val="00D36C0D"/>
    <w:rsid w:val="00D37525"/>
    <w:rsid w:val="00D40B60"/>
    <w:rsid w:val="00D41145"/>
    <w:rsid w:val="00D415C2"/>
    <w:rsid w:val="00D41CEA"/>
    <w:rsid w:val="00D42207"/>
    <w:rsid w:val="00D423E0"/>
    <w:rsid w:val="00D428C8"/>
    <w:rsid w:val="00D42C24"/>
    <w:rsid w:val="00D43390"/>
    <w:rsid w:val="00D43592"/>
    <w:rsid w:val="00D44703"/>
    <w:rsid w:val="00D44943"/>
    <w:rsid w:val="00D44C6C"/>
    <w:rsid w:val="00D47DC4"/>
    <w:rsid w:val="00D522CD"/>
    <w:rsid w:val="00D52D51"/>
    <w:rsid w:val="00D52D8D"/>
    <w:rsid w:val="00D5330C"/>
    <w:rsid w:val="00D53DAC"/>
    <w:rsid w:val="00D5484B"/>
    <w:rsid w:val="00D554A3"/>
    <w:rsid w:val="00D55BF7"/>
    <w:rsid w:val="00D564D2"/>
    <w:rsid w:val="00D56843"/>
    <w:rsid w:val="00D574F3"/>
    <w:rsid w:val="00D602BB"/>
    <w:rsid w:val="00D60733"/>
    <w:rsid w:val="00D61446"/>
    <w:rsid w:val="00D61463"/>
    <w:rsid w:val="00D619D9"/>
    <w:rsid w:val="00D62495"/>
    <w:rsid w:val="00D63B7C"/>
    <w:rsid w:val="00D63D1E"/>
    <w:rsid w:val="00D63F79"/>
    <w:rsid w:val="00D64457"/>
    <w:rsid w:val="00D64888"/>
    <w:rsid w:val="00D6618C"/>
    <w:rsid w:val="00D671E2"/>
    <w:rsid w:val="00D673B6"/>
    <w:rsid w:val="00D675F2"/>
    <w:rsid w:val="00D67C2F"/>
    <w:rsid w:val="00D67C71"/>
    <w:rsid w:val="00D67DA2"/>
    <w:rsid w:val="00D7023E"/>
    <w:rsid w:val="00D7079F"/>
    <w:rsid w:val="00D71569"/>
    <w:rsid w:val="00D715C5"/>
    <w:rsid w:val="00D72046"/>
    <w:rsid w:val="00D72CD5"/>
    <w:rsid w:val="00D72FE9"/>
    <w:rsid w:val="00D732AF"/>
    <w:rsid w:val="00D73412"/>
    <w:rsid w:val="00D744DD"/>
    <w:rsid w:val="00D7476C"/>
    <w:rsid w:val="00D7487D"/>
    <w:rsid w:val="00D74F83"/>
    <w:rsid w:val="00D7532E"/>
    <w:rsid w:val="00D755EB"/>
    <w:rsid w:val="00D7640E"/>
    <w:rsid w:val="00D767C6"/>
    <w:rsid w:val="00D76810"/>
    <w:rsid w:val="00D76A05"/>
    <w:rsid w:val="00D76A75"/>
    <w:rsid w:val="00D76AC2"/>
    <w:rsid w:val="00D76FE6"/>
    <w:rsid w:val="00D8019A"/>
    <w:rsid w:val="00D804C0"/>
    <w:rsid w:val="00D80525"/>
    <w:rsid w:val="00D80FF0"/>
    <w:rsid w:val="00D810DD"/>
    <w:rsid w:val="00D813B7"/>
    <w:rsid w:val="00D81E41"/>
    <w:rsid w:val="00D81EBA"/>
    <w:rsid w:val="00D826BF"/>
    <w:rsid w:val="00D829BC"/>
    <w:rsid w:val="00D82C6B"/>
    <w:rsid w:val="00D83434"/>
    <w:rsid w:val="00D83550"/>
    <w:rsid w:val="00D84107"/>
    <w:rsid w:val="00D8440F"/>
    <w:rsid w:val="00D84E24"/>
    <w:rsid w:val="00D851AC"/>
    <w:rsid w:val="00D854B0"/>
    <w:rsid w:val="00D855D3"/>
    <w:rsid w:val="00D8589B"/>
    <w:rsid w:val="00D86383"/>
    <w:rsid w:val="00D863CA"/>
    <w:rsid w:val="00D865CC"/>
    <w:rsid w:val="00D866FF"/>
    <w:rsid w:val="00D86FD5"/>
    <w:rsid w:val="00D870FC"/>
    <w:rsid w:val="00D877A0"/>
    <w:rsid w:val="00D8793B"/>
    <w:rsid w:val="00D87EB1"/>
    <w:rsid w:val="00D905BC"/>
    <w:rsid w:val="00D919EC"/>
    <w:rsid w:val="00D92103"/>
    <w:rsid w:val="00D9214D"/>
    <w:rsid w:val="00D926FB"/>
    <w:rsid w:val="00D93222"/>
    <w:rsid w:val="00D9338E"/>
    <w:rsid w:val="00D9558F"/>
    <w:rsid w:val="00D9561F"/>
    <w:rsid w:val="00D956AC"/>
    <w:rsid w:val="00D96246"/>
    <w:rsid w:val="00D965ED"/>
    <w:rsid w:val="00D96872"/>
    <w:rsid w:val="00D96919"/>
    <w:rsid w:val="00DA02BA"/>
    <w:rsid w:val="00DA0A16"/>
    <w:rsid w:val="00DA0D0B"/>
    <w:rsid w:val="00DA0D33"/>
    <w:rsid w:val="00DA1498"/>
    <w:rsid w:val="00DA1620"/>
    <w:rsid w:val="00DA18E7"/>
    <w:rsid w:val="00DA193B"/>
    <w:rsid w:val="00DA1A94"/>
    <w:rsid w:val="00DA1AB4"/>
    <w:rsid w:val="00DA1C0F"/>
    <w:rsid w:val="00DA1EDC"/>
    <w:rsid w:val="00DA2872"/>
    <w:rsid w:val="00DA2CB0"/>
    <w:rsid w:val="00DA3CC6"/>
    <w:rsid w:val="00DA413F"/>
    <w:rsid w:val="00DA4DA7"/>
    <w:rsid w:val="00DA4E1E"/>
    <w:rsid w:val="00DA519E"/>
    <w:rsid w:val="00DA5576"/>
    <w:rsid w:val="00DA55B3"/>
    <w:rsid w:val="00DA58D4"/>
    <w:rsid w:val="00DA5FDB"/>
    <w:rsid w:val="00DA6404"/>
    <w:rsid w:val="00DA687C"/>
    <w:rsid w:val="00DA7E4A"/>
    <w:rsid w:val="00DB04FE"/>
    <w:rsid w:val="00DB067E"/>
    <w:rsid w:val="00DB16E9"/>
    <w:rsid w:val="00DB1879"/>
    <w:rsid w:val="00DB201C"/>
    <w:rsid w:val="00DB2923"/>
    <w:rsid w:val="00DB38E0"/>
    <w:rsid w:val="00DB3C68"/>
    <w:rsid w:val="00DB41BD"/>
    <w:rsid w:val="00DB4AFE"/>
    <w:rsid w:val="00DB51A2"/>
    <w:rsid w:val="00DB54EF"/>
    <w:rsid w:val="00DB60DB"/>
    <w:rsid w:val="00DB7400"/>
    <w:rsid w:val="00DB756B"/>
    <w:rsid w:val="00DB76B7"/>
    <w:rsid w:val="00DB7F93"/>
    <w:rsid w:val="00DC11FA"/>
    <w:rsid w:val="00DC135F"/>
    <w:rsid w:val="00DC1E30"/>
    <w:rsid w:val="00DC216B"/>
    <w:rsid w:val="00DC24BD"/>
    <w:rsid w:val="00DC35FD"/>
    <w:rsid w:val="00DC3A1B"/>
    <w:rsid w:val="00DC3FD3"/>
    <w:rsid w:val="00DC461B"/>
    <w:rsid w:val="00DC5164"/>
    <w:rsid w:val="00DC5F83"/>
    <w:rsid w:val="00DC6085"/>
    <w:rsid w:val="00DC6EA8"/>
    <w:rsid w:val="00DC6F6B"/>
    <w:rsid w:val="00DC71C2"/>
    <w:rsid w:val="00DC79B6"/>
    <w:rsid w:val="00DC7E88"/>
    <w:rsid w:val="00DC7FD8"/>
    <w:rsid w:val="00DD0769"/>
    <w:rsid w:val="00DD0906"/>
    <w:rsid w:val="00DD0927"/>
    <w:rsid w:val="00DD0CF5"/>
    <w:rsid w:val="00DD15BE"/>
    <w:rsid w:val="00DD1637"/>
    <w:rsid w:val="00DD190D"/>
    <w:rsid w:val="00DD1ABB"/>
    <w:rsid w:val="00DD1E9D"/>
    <w:rsid w:val="00DD2BEE"/>
    <w:rsid w:val="00DD2F5E"/>
    <w:rsid w:val="00DD3467"/>
    <w:rsid w:val="00DD416A"/>
    <w:rsid w:val="00DD4AA6"/>
    <w:rsid w:val="00DD4B7E"/>
    <w:rsid w:val="00DD5073"/>
    <w:rsid w:val="00DD54AE"/>
    <w:rsid w:val="00DD634A"/>
    <w:rsid w:val="00DD6580"/>
    <w:rsid w:val="00DD692D"/>
    <w:rsid w:val="00DD6B3E"/>
    <w:rsid w:val="00DD7175"/>
    <w:rsid w:val="00DD72EC"/>
    <w:rsid w:val="00DD788A"/>
    <w:rsid w:val="00DD7B19"/>
    <w:rsid w:val="00DE04E1"/>
    <w:rsid w:val="00DE0868"/>
    <w:rsid w:val="00DE0C04"/>
    <w:rsid w:val="00DE10DC"/>
    <w:rsid w:val="00DE251D"/>
    <w:rsid w:val="00DE2605"/>
    <w:rsid w:val="00DE29AF"/>
    <w:rsid w:val="00DE3247"/>
    <w:rsid w:val="00DE36EC"/>
    <w:rsid w:val="00DE3782"/>
    <w:rsid w:val="00DE37DA"/>
    <w:rsid w:val="00DE3D7F"/>
    <w:rsid w:val="00DE4683"/>
    <w:rsid w:val="00DE4B7D"/>
    <w:rsid w:val="00DE4EB9"/>
    <w:rsid w:val="00DE579D"/>
    <w:rsid w:val="00DE5D46"/>
    <w:rsid w:val="00DE6146"/>
    <w:rsid w:val="00DE61F4"/>
    <w:rsid w:val="00DE643F"/>
    <w:rsid w:val="00DE64CA"/>
    <w:rsid w:val="00DE6D9F"/>
    <w:rsid w:val="00DF0332"/>
    <w:rsid w:val="00DF042C"/>
    <w:rsid w:val="00DF0CDA"/>
    <w:rsid w:val="00DF0DC4"/>
    <w:rsid w:val="00DF0F8A"/>
    <w:rsid w:val="00DF106E"/>
    <w:rsid w:val="00DF17B4"/>
    <w:rsid w:val="00DF1F29"/>
    <w:rsid w:val="00DF274E"/>
    <w:rsid w:val="00DF28FC"/>
    <w:rsid w:val="00DF427C"/>
    <w:rsid w:val="00DF44EE"/>
    <w:rsid w:val="00DF5481"/>
    <w:rsid w:val="00DF575F"/>
    <w:rsid w:val="00DF5FAD"/>
    <w:rsid w:val="00DF6582"/>
    <w:rsid w:val="00DF6B22"/>
    <w:rsid w:val="00DF787A"/>
    <w:rsid w:val="00DF7C42"/>
    <w:rsid w:val="00E003EF"/>
    <w:rsid w:val="00E00585"/>
    <w:rsid w:val="00E01454"/>
    <w:rsid w:val="00E016ED"/>
    <w:rsid w:val="00E01775"/>
    <w:rsid w:val="00E01B49"/>
    <w:rsid w:val="00E0268D"/>
    <w:rsid w:val="00E032D9"/>
    <w:rsid w:val="00E03C97"/>
    <w:rsid w:val="00E04366"/>
    <w:rsid w:val="00E0465B"/>
    <w:rsid w:val="00E04FCB"/>
    <w:rsid w:val="00E05433"/>
    <w:rsid w:val="00E05555"/>
    <w:rsid w:val="00E056BC"/>
    <w:rsid w:val="00E062E3"/>
    <w:rsid w:val="00E0634A"/>
    <w:rsid w:val="00E069C7"/>
    <w:rsid w:val="00E06F3C"/>
    <w:rsid w:val="00E071EE"/>
    <w:rsid w:val="00E075A1"/>
    <w:rsid w:val="00E07A0C"/>
    <w:rsid w:val="00E07D61"/>
    <w:rsid w:val="00E07EF9"/>
    <w:rsid w:val="00E107B4"/>
    <w:rsid w:val="00E107C8"/>
    <w:rsid w:val="00E10A97"/>
    <w:rsid w:val="00E10D7A"/>
    <w:rsid w:val="00E112E6"/>
    <w:rsid w:val="00E11B7E"/>
    <w:rsid w:val="00E1214E"/>
    <w:rsid w:val="00E126FC"/>
    <w:rsid w:val="00E133D1"/>
    <w:rsid w:val="00E13CF0"/>
    <w:rsid w:val="00E13DBA"/>
    <w:rsid w:val="00E13E4E"/>
    <w:rsid w:val="00E13F00"/>
    <w:rsid w:val="00E13FA3"/>
    <w:rsid w:val="00E14466"/>
    <w:rsid w:val="00E148E5"/>
    <w:rsid w:val="00E149C2"/>
    <w:rsid w:val="00E14E7A"/>
    <w:rsid w:val="00E14FF7"/>
    <w:rsid w:val="00E16073"/>
    <w:rsid w:val="00E16585"/>
    <w:rsid w:val="00E169E2"/>
    <w:rsid w:val="00E16E3C"/>
    <w:rsid w:val="00E16F7F"/>
    <w:rsid w:val="00E17453"/>
    <w:rsid w:val="00E17478"/>
    <w:rsid w:val="00E20D47"/>
    <w:rsid w:val="00E222E8"/>
    <w:rsid w:val="00E22690"/>
    <w:rsid w:val="00E23650"/>
    <w:rsid w:val="00E23B62"/>
    <w:rsid w:val="00E23F86"/>
    <w:rsid w:val="00E24CAD"/>
    <w:rsid w:val="00E24E62"/>
    <w:rsid w:val="00E250B0"/>
    <w:rsid w:val="00E25E15"/>
    <w:rsid w:val="00E26D95"/>
    <w:rsid w:val="00E27993"/>
    <w:rsid w:val="00E27C63"/>
    <w:rsid w:val="00E3028A"/>
    <w:rsid w:val="00E3119D"/>
    <w:rsid w:val="00E312A7"/>
    <w:rsid w:val="00E316FC"/>
    <w:rsid w:val="00E31910"/>
    <w:rsid w:val="00E31B36"/>
    <w:rsid w:val="00E31E0D"/>
    <w:rsid w:val="00E32028"/>
    <w:rsid w:val="00E32813"/>
    <w:rsid w:val="00E32824"/>
    <w:rsid w:val="00E32964"/>
    <w:rsid w:val="00E34640"/>
    <w:rsid w:val="00E34F5F"/>
    <w:rsid w:val="00E3512E"/>
    <w:rsid w:val="00E362BF"/>
    <w:rsid w:val="00E4063C"/>
    <w:rsid w:val="00E40698"/>
    <w:rsid w:val="00E40EAB"/>
    <w:rsid w:val="00E41F84"/>
    <w:rsid w:val="00E429B7"/>
    <w:rsid w:val="00E42DB7"/>
    <w:rsid w:val="00E4317E"/>
    <w:rsid w:val="00E43F77"/>
    <w:rsid w:val="00E440BD"/>
    <w:rsid w:val="00E44D47"/>
    <w:rsid w:val="00E44F09"/>
    <w:rsid w:val="00E4548C"/>
    <w:rsid w:val="00E46171"/>
    <w:rsid w:val="00E466E3"/>
    <w:rsid w:val="00E468AD"/>
    <w:rsid w:val="00E4692C"/>
    <w:rsid w:val="00E473EF"/>
    <w:rsid w:val="00E47988"/>
    <w:rsid w:val="00E5003A"/>
    <w:rsid w:val="00E507BB"/>
    <w:rsid w:val="00E51982"/>
    <w:rsid w:val="00E52141"/>
    <w:rsid w:val="00E525A4"/>
    <w:rsid w:val="00E5331F"/>
    <w:rsid w:val="00E536EC"/>
    <w:rsid w:val="00E53756"/>
    <w:rsid w:val="00E53A04"/>
    <w:rsid w:val="00E53D38"/>
    <w:rsid w:val="00E5421C"/>
    <w:rsid w:val="00E54D23"/>
    <w:rsid w:val="00E55678"/>
    <w:rsid w:val="00E5622B"/>
    <w:rsid w:val="00E56462"/>
    <w:rsid w:val="00E60654"/>
    <w:rsid w:val="00E6074A"/>
    <w:rsid w:val="00E6147C"/>
    <w:rsid w:val="00E61D85"/>
    <w:rsid w:val="00E621B9"/>
    <w:rsid w:val="00E626EF"/>
    <w:rsid w:val="00E62724"/>
    <w:rsid w:val="00E627B2"/>
    <w:rsid w:val="00E62CD4"/>
    <w:rsid w:val="00E630C6"/>
    <w:rsid w:val="00E63411"/>
    <w:rsid w:val="00E636B4"/>
    <w:rsid w:val="00E63E8E"/>
    <w:rsid w:val="00E65964"/>
    <w:rsid w:val="00E65A01"/>
    <w:rsid w:val="00E65D80"/>
    <w:rsid w:val="00E66270"/>
    <w:rsid w:val="00E6633D"/>
    <w:rsid w:val="00E6643C"/>
    <w:rsid w:val="00E66EA5"/>
    <w:rsid w:val="00E67B53"/>
    <w:rsid w:val="00E7004D"/>
    <w:rsid w:val="00E70A64"/>
    <w:rsid w:val="00E70BAB"/>
    <w:rsid w:val="00E70D63"/>
    <w:rsid w:val="00E70F1F"/>
    <w:rsid w:val="00E71608"/>
    <w:rsid w:val="00E72758"/>
    <w:rsid w:val="00E7331E"/>
    <w:rsid w:val="00E73642"/>
    <w:rsid w:val="00E73760"/>
    <w:rsid w:val="00E74121"/>
    <w:rsid w:val="00E74459"/>
    <w:rsid w:val="00E74949"/>
    <w:rsid w:val="00E74AF1"/>
    <w:rsid w:val="00E74D8B"/>
    <w:rsid w:val="00E75B48"/>
    <w:rsid w:val="00E75BDF"/>
    <w:rsid w:val="00E763FE"/>
    <w:rsid w:val="00E764B9"/>
    <w:rsid w:val="00E76942"/>
    <w:rsid w:val="00E77C95"/>
    <w:rsid w:val="00E77F93"/>
    <w:rsid w:val="00E80B26"/>
    <w:rsid w:val="00E80CA3"/>
    <w:rsid w:val="00E80FA9"/>
    <w:rsid w:val="00E81BBC"/>
    <w:rsid w:val="00E837D9"/>
    <w:rsid w:val="00E8443A"/>
    <w:rsid w:val="00E84B38"/>
    <w:rsid w:val="00E84F43"/>
    <w:rsid w:val="00E85529"/>
    <w:rsid w:val="00E8552C"/>
    <w:rsid w:val="00E8560F"/>
    <w:rsid w:val="00E856E0"/>
    <w:rsid w:val="00E858AE"/>
    <w:rsid w:val="00E85DAB"/>
    <w:rsid w:val="00E860AA"/>
    <w:rsid w:val="00E86F88"/>
    <w:rsid w:val="00E87128"/>
    <w:rsid w:val="00E87590"/>
    <w:rsid w:val="00E87737"/>
    <w:rsid w:val="00E90A78"/>
    <w:rsid w:val="00E911AC"/>
    <w:rsid w:val="00E911BF"/>
    <w:rsid w:val="00E912ED"/>
    <w:rsid w:val="00E91484"/>
    <w:rsid w:val="00E91DBE"/>
    <w:rsid w:val="00E92E83"/>
    <w:rsid w:val="00E9300B"/>
    <w:rsid w:val="00E93083"/>
    <w:rsid w:val="00E930DF"/>
    <w:rsid w:val="00E9325F"/>
    <w:rsid w:val="00E9389F"/>
    <w:rsid w:val="00E93908"/>
    <w:rsid w:val="00E940F0"/>
    <w:rsid w:val="00E942D1"/>
    <w:rsid w:val="00E9458F"/>
    <w:rsid w:val="00E95A6C"/>
    <w:rsid w:val="00E96B10"/>
    <w:rsid w:val="00E975AB"/>
    <w:rsid w:val="00EA0077"/>
    <w:rsid w:val="00EA037B"/>
    <w:rsid w:val="00EA0AB1"/>
    <w:rsid w:val="00EA1631"/>
    <w:rsid w:val="00EA1735"/>
    <w:rsid w:val="00EA19B7"/>
    <w:rsid w:val="00EA1DB6"/>
    <w:rsid w:val="00EA2ABE"/>
    <w:rsid w:val="00EA2CEC"/>
    <w:rsid w:val="00EA32B1"/>
    <w:rsid w:val="00EA3366"/>
    <w:rsid w:val="00EA3996"/>
    <w:rsid w:val="00EA3EE6"/>
    <w:rsid w:val="00EA3FC7"/>
    <w:rsid w:val="00EA4461"/>
    <w:rsid w:val="00EA458B"/>
    <w:rsid w:val="00EA45CB"/>
    <w:rsid w:val="00EA49FB"/>
    <w:rsid w:val="00EA4C61"/>
    <w:rsid w:val="00EA4D0D"/>
    <w:rsid w:val="00EA5674"/>
    <w:rsid w:val="00EA5748"/>
    <w:rsid w:val="00EA5EF0"/>
    <w:rsid w:val="00EA6102"/>
    <w:rsid w:val="00EA621E"/>
    <w:rsid w:val="00EA6372"/>
    <w:rsid w:val="00EA6EA4"/>
    <w:rsid w:val="00EA7483"/>
    <w:rsid w:val="00EA7883"/>
    <w:rsid w:val="00EB0E64"/>
    <w:rsid w:val="00EB1AD3"/>
    <w:rsid w:val="00EB22D5"/>
    <w:rsid w:val="00EB2512"/>
    <w:rsid w:val="00EB3033"/>
    <w:rsid w:val="00EB3B91"/>
    <w:rsid w:val="00EB4348"/>
    <w:rsid w:val="00EB4C08"/>
    <w:rsid w:val="00EB5050"/>
    <w:rsid w:val="00EB52B2"/>
    <w:rsid w:val="00EB768F"/>
    <w:rsid w:val="00EB7A5F"/>
    <w:rsid w:val="00EB7E0C"/>
    <w:rsid w:val="00EB7E7C"/>
    <w:rsid w:val="00EC00E6"/>
    <w:rsid w:val="00EC05EC"/>
    <w:rsid w:val="00EC07D3"/>
    <w:rsid w:val="00EC1FDF"/>
    <w:rsid w:val="00EC21CA"/>
    <w:rsid w:val="00EC23C1"/>
    <w:rsid w:val="00EC32EB"/>
    <w:rsid w:val="00EC3D1C"/>
    <w:rsid w:val="00EC43C0"/>
    <w:rsid w:val="00EC48C4"/>
    <w:rsid w:val="00EC49CF"/>
    <w:rsid w:val="00EC516B"/>
    <w:rsid w:val="00EC52EA"/>
    <w:rsid w:val="00EC62EB"/>
    <w:rsid w:val="00EC6545"/>
    <w:rsid w:val="00EC6786"/>
    <w:rsid w:val="00EC7399"/>
    <w:rsid w:val="00EC7EA2"/>
    <w:rsid w:val="00EC7EDD"/>
    <w:rsid w:val="00ED0C4B"/>
    <w:rsid w:val="00ED1216"/>
    <w:rsid w:val="00ED1300"/>
    <w:rsid w:val="00ED2AC8"/>
    <w:rsid w:val="00ED3C67"/>
    <w:rsid w:val="00ED3E1B"/>
    <w:rsid w:val="00ED43A9"/>
    <w:rsid w:val="00ED4B4C"/>
    <w:rsid w:val="00ED5E83"/>
    <w:rsid w:val="00ED62FA"/>
    <w:rsid w:val="00ED657C"/>
    <w:rsid w:val="00ED7216"/>
    <w:rsid w:val="00EE0B07"/>
    <w:rsid w:val="00EE0D5E"/>
    <w:rsid w:val="00EE1463"/>
    <w:rsid w:val="00EE21E5"/>
    <w:rsid w:val="00EE21F1"/>
    <w:rsid w:val="00EE2765"/>
    <w:rsid w:val="00EE2832"/>
    <w:rsid w:val="00EE29AE"/>
    <w:rsid w:val="00EE2C84"/>
    <w:rsid w:val="00EE2EA2"/>
    <w:rsid w:val="00EE2EC5"/>
    <w:rsid w:val="00EE2F05"/>
    <w:rsid w:val="00EE3FBC"/>
    <w:rsid w:val="00EE459C"/>
    <w:rsid w:val="00EE45E9"/>
    <w:rsid w:val="00EE5680"/>
    <w:rsid w:val="00EE57C5"/>
    <w:rsid w:val="00EE5A42"/>
    <w:rsid w:val="00EE5AF9"/>
    <w:rsid w:val="00EE5AFF"/>
    <w:rsid w:val="00EE5B35"/>
    <w:rsid w:val="00EE7B1C"/>
    <w:rsid w:val="00EF02EC"/>
    <w:rsid w:val="00EF0D12"/>
    <w:rsid w:val="00EF0E7E"/>
    <w:rsid w:val="00EF11C0"/>
    <w:rsid w:val="00EF337F"/>
    <w:rsid w:val="00EF3673"/>
    <w:rsid w:val="00EF4716"/>
    <w:rsid w:val="00EF5315"/>
    <w:rsid w:val="00EF552C"/>
    <w:rsid w:val="00EF5C2D"/>
    <w:rsid w:val="00EF5E9C"/>
    <w:rsid w:val="00EF692E"/>
    <w:rsid w:val="00EF69BA"/>
    <w:rsid w:val="00EF73AB"/>
    <w:rsid w:val="00EF748F"/>
    <w:rsid w:val="00EF756A"/>
    <w:rsid w:val="00EF771A"/>
    <w:rsid w:val="00EF7CA1"/>
    <w:rsid w:val="00F00B95"/>
    <w:rsid w:val="00F0105F"/>
    <w:rsid w:val="00F01C40"/>
    <w:rsid w:val="00F0210B"/>
    <w:rsid w:val="00F025B0"/>
    <w:rsid w:val="00F02D0C"/>
    <w:rsid w:val="00F032DB"/>
    <w:rsid w:val="00F03562"/>
    <w:rsid w:val="00F045E2"/>
    <w:rsid w:val="00F0598C"/>
    <w:rsid w:val="00F065AC"/>
    <w:rsid w:val="00F06890"/>
    <w:rsid w:val="00F06BC8"/>
    <w:rsid w:val="00F06D4A"/>
    <w:rsid w:val="00F07BBC"/>
    <w:rsid w:val="00F07E53"/>
    <w:rsid w:val="00F10A17"/>
    <w:rsid w:val="00F11E05"/>
    <w:rsid w:val="00F11F9A"/>
    <w:rsid w:val="00F132BA"/>
    <w:rsid w:val="00F13B63"/>
    <w:rsid w:val="00F13B71"/>
    <w:rsid w:val="00F141AA"/>
    <w:rsid w:val="00F14ACA"/>
    <w:rsid w:val="00F14EB4"/>
    <w:rsid w:val="00F15019"/>
    <w:rsid w:val="00F15A16"/>
    <w:rsid w:val="00F15B22"/>
    <w:rsid w:val="00F168EF"/>
    <w:rsid w:val="00F1735C"/>
    <w:rsid w:val="00F1781B"/>
    <w:rsid w:val="00F17D19"/>
    <w:rsid w:val="00F20994"/>
    <w:rsid w:val="00F20B36"/>
    <w:rsid w:val="00F2107E"/>
    <w:rsid w:val="00F21961"/>
    <w:rsid w:val="00F21C53"/>
    <w:rsid w:val="00F21D3C"/>
    <w:rsid w:val="00F21D9F"/>
    <w:rsid w:val="00F21E9B"/>
    <w:rsid w:val="00F22163"/>
    <w:rsid w:val="00F221EB"/>
    <w:rsid w:val="00F23E89"/>
    <w:rsid w:val="00F23FD1"/>
    <w:rsid w:val="00F241E4"/>
    <w:rsid w:val="00F24EBF"/>
    <w:rsid w:val="00F26463"/>
    <w:rsid w:val="00F26E96"/>
    <w:rsid w:val="00F27125"/>
    <w:rsid w:val="00F271AF"/>
    <w:rsid w:val="00F27365"/>
    <w:rsid w:val="00F27811"/>
    <w:rsid w:val="00F30A46"/>
    <w:rsid w:val="00F30C5E"/>
    <w:rsid w:val="00F3170F"/>
    <w:rsid w:val="00F31894"/>
    <w:rsid w:val="00F3215C"/>
    <w:rsid w:val="00F328EA"/>
    <w:rsid w:val="00F32D3D"/>
    <w:rsid w:val="00F3323E"/>
    <w:rsid w:val="00F33BEF"/>
    <w:rsid w:val="00F355D6"/>
    <w:rsid w:val="00F35A31"/>
    <w:rsid w:val="00F36169"/>
    <w:rsid w:val="00F36A22"/>
    <w:rsid w:val="00F372BE"/>
    <w:rsid w:val="00F37D91"/>
    <w:rsid w:val="00F403E2"/>
    <w:rsid w:val="00F40CDD"/>
    <w:rsid w:val="00F41314"/>
    <w:rsid w:val="00F41F48"/>
    <w:rsid w:val="00F425AF"/>
    <w:rsid w:val="00F42CFA"/>
    <w:rsid w:val="00F42E5A"/>
    <w:rsid w:val="00F44475"/>
    <w:rsid w:val="00F45365"/>
    <w:rsid w:val="00F459ED"/>
    <w:rsid w:val="00F46267"/>
    <w:rsid w:val="00F4644D"/>
    <w:rsid w:val="00F46786"/>
    <w:rsid w:val="00F46A06"/>
    <w:rsid w:val="00F46CD6"/>
    <w:rsid w:val="00F47044"/>
    <w:rsid w:val="00F47752"/>
    <w:rsid w:val="00F47A36"/>
    <w:rsid w:val="00F50A30"/>
    <w:rsid w:val="00F50A5A"/>
    <w:rsid w:val="00F50C7D"/>
    <w:rsid w:val="00F5105A"/>
    <w:rsid w:val="00F522A7"/>
    <w:rsid w:val="00F529AA"/>
    <w:rsid w:val="00F53281"/>
    <w:rsid w:val="00F533F3"/>
    <w:rsid w:val="00F544AD"/>
    <w:rsid w:val="00F546B0"/>
    <w:rsid w:val="00F54BC1"/>
    <w:rsid w:val="00F54CEB"/>
    <w:rsid w:val="00F54D80"/>
    <w:rsid w:val="00F54F90"/>
    <w:rsid w:val="00F5571A"/>
    <w:rsid w:val="00F5571D"/>
    <w:rsid w:val="00F55D84"/>
    <w:rsid w:val="00F565ED"/>
    <w:rsid w:val="00F56640"/>
    <w:rsid w:val="00F60064"/>
    <w:rsid w:val="00F60964"/>
    <w:rsid w:val="00F614C8"/>
    <w:rsid w:val="00F61AA5"/>
    <w:rsid w:val="00F62410"/>
    <w:rsid w:val="00F63592"/>
    <w:rsid w:val="00F6373F"/>
    <w:rsid w:val="00F638B5"/>
    <w:rsid w:val="00F63A8E"/>
    <w:rsid w:val="00F63C32"/>
    <w:rsid w:val="00F63C79"/>
    <w:rsid w:val="00F64E6F"/>
    <w:rsid w:val="00F64FF3"/>
    <w:rsid w:val="00F659C5"/>
    <w:rsid w:val="00F65B73"/>
    <w:rsid w:val="00F65C46"/>
    <w:rsid w:val="00F66882"/>
    <w:rsid w:val="00F676A7"/>
    <w:rsid w:val="00F67884"/>
    <w:rsid w:val="00F67B72"/>
    <w:rsid w:val="00F67F81"/>
    <w:rsid w:val="00F70092"/>
    <w:rsid w:val="00F715B4"/>
    <w:rsid w:val="00F7237C"/>
    <w:rsid w:val="00F731FF"/>
    <w:rsid w:val="00F734B6"/>
    <w:rsid w:val="00F736DB"/>
    <w:rsid w:val="00F73D08"/>
    <w:rsid w:val="00F73E1B"/>
    <w:rsid w:val="00F73FB3"/>
    <w:rsid w:val="00F7407E"/>
    <w:rsid w:val="00F75726"/>
    <w:rsid w:val="00F80170"/>
    <w:rsid w:val="00F80B6E"/>
    <w:rsid w:val="00F80F44"/>
    <w:rsid w:val="00F80F48"/>
    <w:rsid w:val="00F8134D"/>
    <w:rsid w:val="00F81375"/>
    <w:rsid w:val="00F81CC8"/>
    <w:rsid w:val="00F82049"/>
    <w:rsid w:val="00F82BF0"/>
    <w:rsid w:val="00F83D19"/>
    <w:rsid w:val="00F83EB1"/>
    <w:rsid w:val="00F8424F"/>
    <w:rsid w:val="00F84CA0"/>
    <w:rsid w:val="00F84DAE"/>
    <w:rsid w:val="00F84E7A"/>
    <w:rsid w:val="00F8562F"/>
    <w:rsid w:val="00F865D7"/>
    <w:rsid w:val="00F86632"/>
    <w:rsid w:val="00F868BF"/>
    <w:rsid w:val="00F869C7"/>
    <w:rsid w:val="00F86C64"/>
    <w:rsid w:val="00F86DBB"/>
    <w:rsid w:val="00F86DD7"/>
    <w:rsid w:val="00F873A0"/>
    <w:rsid w:val="00F87CEF"/>
    <w:rsid w:val="00F9053C"/>
    <w:rsid w:val="00F908C2"/>
    <w:rsid w:val="00F90D64"/>
    <w:rsid w:val="00F910EF"/>
    <w:rsid w:val="00F9148C"/>
    <w:rsid w:val="00F91A68"/>
    <w:rsid w:val="00F91CCF"/>
    <w:rsid w:val="00F91F21"/>
    <w:rsid w:val="00F921A5"/>
    <w:rsid w:val="00F92926"/>
    <w:rsid w:val="00F92EBF"/>
    <w:rsid w:val="00F92FCA"/>
    <w:rsid w:val="00F93479"/>
    <w:rsid w:val="00F93711"/>
    <w:rsid w:val="00F93F1B"/>
    <w:rsid w:val="00F943B6"/>
    <w:rsid w:val="00F944C7"/>
    <w:rsid w:val="00F948D3"/>
    <w:rsid w:val="00F9507B"/>
    <w:rsid w:val="00F959C5"/>
    <w:rsid w:val="00F959F8"/>
    <w:rsid w:val="00F95ED6"/>
    <w:rsid w:val="00F95FEF"/>
    <w:rsid w:val="00F9612E"/>
    <w:rsid w:val="00F96EA5"/>
    <w:rsid w:val="00F972C4"/>
    <w:rsid w:val="00F978EB"/>
    <w:rsid w:val="00FA0320"/>
    <w:rsid w:val="00FA0596"/>
    <w:rsid w:val="00FA11D7"/>
    <w:rsid w:val="00FA12D0"/>
    <w:rsid w:val="00FA242E"/>
    <w:rsid w:val="00FA31E0"/>
    <w:rsid w:val="00FA3563"/>
    <w:rsid w:val="00FA3D98"/>
    <w:rsid w:val="00FA42E2"/>
    <w:rsid w:val="00FA4821"/>
    <w:rsid w:val="00FA4CDE"/>
    <w:rsid w:val="00FA5931"/>
    <w:rsid w:val="00FA7736"/>
    <w:rsid w:val="00FB0DE6"/>
    <w:rsid w:val="00FB1193"/>
    <w:rsid w:val="00FB11E7"/>
    <w:rsid w:val="00FB192F"/>
    <w:rsid w:val="00FB24F2"/>
    <w:rsid w:val="00FB3505"/>
    <w:rsid w:val="00FB3675"/>
    <w:rsid w:val="00FB3AEE"/>
    <w:rsid w:val="00FB4095"/>
    <w:rsid w:val="00FB5D12"/>
    <w:rsid w:val="00FB5E84"/>
    <w:rsid w:val="00FB5E97"/>
    <w:rsid w:val="00FB5EC7"/>
    <w:rsid w:val="00FB7D41"/>
    <w:rsid w:val="00FB7F08"/>
    <w:rsid w:val="00FC0237"/>
    <w:rsid w:val="00FC063F"/>
    <w:rsid w:val="00FC0979"/>
    <w:rsid w:val="00FC0DA0"/>
    <w:rsid w:val="00FC1157"/>
    <w:rsid w:val="00FC17FE"/>
    <w:rsid w:val="00FC1A11"/>
    <w:rsid w:val="00FC1D62"/>
    <w:rsid w:val="00FC285A"/>
    <w:rsid w:val="00FC2901"/>
    <w:rsid w:val="00FC323A"/>
    <w:rsid w:val="00FC3915"/>
    <w:rsid w:val="00FC3FE5"/>
    <w:rsid w:val="00FC4311"/>
    <w:rsid w:val="00FC4627"/>
    <w:rsid w:val="00FC4B45"/>
    <w:rsid w:val="00FC68DF"/>
    <w:rsid w:val="00FC70E5"/>
    <w:rsid w:val="00FC769A"/>
    <w:rsid w:val="00FD1508"/>
    <w:rsid w:val="00FD15B6"/>
    <w:rsid w:val="00FD15CB"/>
    <w:rsid w:val="00FD1954"/>
    <w:rsid w:val="00FD22FD"/>
    <w:rsid w:val="00FD30D7"/>
    <w:rsid w:val="00FD35E3"/>
    <w:rsid w:val="00FD38AA"/>
    <w:rsid w:val="00FD3AFF"/>
    <w:rsid w:val="00FD4787"/>
    <w:rsid w:val="00FD496B"/>
    <w:rsid w:val="00FD4D0A"/>
    <w:rsid w:val="00FD5D42"/>
    <w:rsid w:val="00FD6021"/>
    <w:rsid w:val="00FD6FFE"/>
    <w:rsid w:val="00FD784F"/>
    <w:rsid w:val="00FD796B"/>
    <w:rsid w:val="00FE03E5"/>
    <w:rsid w:val="00FE04D2"/>
    <w:rsid w:val="00FE04E9"/>
    <w:rsid w:val="00FE0854"/>
    <w:rsid w:val="00FE0AA8"/>
    <w:rsid w:val="00FE1621"/>
    <w:rsid w:val="00FE209E"/>
    <w:rsid w:val="00FE2980"/>
    <w:rsid w:val="00FE29D3"/>
    <w:rsid w:val="00FE2AF9"/>
    <w:rsid w:val="00FE372B"/>
    <w:rsid w:val="00FE3E92"/>
    <w:rsid w:val="00FE428E"/>
    <w:rsid w:val="00FE4383"/>
    <w:rsid w:val="00FE4B7B"/>
    <w:rsid w:val="00FE4E65"/>
    <w:rsid w:val="00FE4F75"/>
    <w:rsid w:val="00FE5653"/>
    <w:rsid w:val="00FE6951"/>
    <w:rsid w:val="00FE74E8"/>
    <w:rsid w:val="00FE75D6"/>
    <w:rsid w:val="00FE792E"/>
    <w:rsid w:val="00FF025B"/>
    <w:rsid w:val="00FF0687"/>
    <w:rsid w:val="00FF0688"/>
    <w:rsid w:val="00FF0925"/>
    <w:rsid w:val="00FF12EA"/>
    <w:rsid w:val="00FF1C92"/>
    <w:rsid w:val="00FF1DC2"/>
    <w:rsid w:val="00FF2536"/>
    <w:rsid w:val="00FF2744"/>
    <w:rsid w:val="00FF2ADC"/>
    <w:rsid w:val="00FF2DF0"/>
    <w:rsid w:val="00FF4AEC"/>
    <w:rsid w:val="00FF5410"/>
    <w:rsid w:val="00FF576F"/>
    <w:rsid w:val="00FF69F9"/>
    <w:rsid w:val="00FF755D"/>
    <w:rsid w:val="00FF7D38"/>
    <w:rsid w:val="010C42BB"/>
    <w:rsid w:val="011B7C38"/>
    <w:rsid w:val="031FB9D3"/>
    <w:rsid w:val="038C60A5"/>
    <w:rsid w:val="04E08690"/>
    <w:rsid w:val="055CE910"/>
    <w:rsid w:val="05DE611D"/>
    <w:rsid w:val="0680B698"/>
    <w:rsid w:val="07A7EAC5"/>
    <w:rsid w:val="0828DA1F"/>
    <w:rsid w:val="08A9D456"/>
    <w:rsid w:val="08D44870"/>
    <w:rsid w:val="0985CB41"/>
    <w:rsid w:val="0AEC1922"/>
    <w:rsid w:val="0AF6BC1F"/>
    <w:rsid w:val="0CFB6359"/>
    <w:rsid w:val="0EEE09AB"/>
    <w:rsid w:val="0F9CFBFA"/>
    <w:rsid w:val="10B86090"/>
    <w:rsid w:val="12359B19"/>
    <w:rsid w:val="15B74123"/>
    <w:rsid w:val="16848AE3"/>
    <w:rsid w:val="1BFBECE5"/>
    <w:rsid w:val="1D5E9C1D"/>
    <w:rsid w:val="1E953A73"/>
    <w:rsid w:val="21F30C1C"/>
    <w:rsid w:val="22224919"/>
    <w:rsid w:val="228481DE"/>
    <w:rsid w:val="2337BC89"/>
    <w:rsid w:val="2435610B"/>
    <w:rsid w:val="245E58C2"/>
    <w:rsid w:val="24D3FDBE"/>
    <w:rsid w:val="280A5B80"/>
    <w:rsid w:val="28694ECB"/>
    <w:rsid w:val="2AAF5B56"/>
    <w:rsid w:val="2B417FD0"/>
    <w:rsid w:val="2CEF696C"/>
    <w:rsid w:val="2D58B2B0"/>
    <w:rsid w:val="2E75EC4E"/>
    <w:rsid w:val="2F3B6439"/>
    <w:rsid w:val="2F8944CD"/>
    <w:rsid w:val="31E2C4A4"/>
    <w:rsid w:val="32E16F85"/>
    <w:rsid w:val="32EF1201"/>
    <w:rsid w:val="34DC323A"/>
    <w:rsid w:val="34F8CD45"/>
    <w:rsid w:val="36C28860"/>
    <w:rsid w:val="37CF2A43"/>
    <w:rsid w:val="37FCCA06"/>
    <w:rsid w:val="3882415F"/>
    <w:rsid w:val="3A507F31"/>
    <w:rsid w:val="3AE6F0BB"/>
    <w:rsid w:val="3AEB2BAC"/>
    <w:rsid w:val="3B06F2FA"/>
    <w:rsid w:val="3E3F94A2"/>
    <w:rsid w:val="3F65A4E9"/>
    <w:rsid w:val="4457DE8F"/>
    <w:rsid w:val="457EE079"/>
    <w:rsid w:val="46AD0496"/>
    <w:rsid w:val="471EF907"/>
    <w:rsid w:val="473E7A58"/>
    <w:rsid w:val="4764DF62"/>
    <w:rsid w:val="47B4BCD6"/>
    <w:rsid w:val="4A0B1DEC"/>
    <w:rsid w:val="4A308CB3"/>
    <w:rsid w:val="4BD6592F"/>
    <w:rsid w:val="4F143BA9"/>
    <w:rsid w:val="4F1E0510"/>
    <w:rsid w:val="50215150"/>
    <w:rsid w:val="50CBB9F5"/>
    <w:rsid w:val="51484147"/>
    <w:rsid w:val="528D7A40"/>
    <w:rsid w:val="53E31989"/>
    <w:rsid w:val="5486D275"/>
    <w:rsid w:val="54C8FEA3"/>
    <w:rsid w:val="54CBC964"/>
    <w:rsid w:val="58327FF1"/>
    <w:rsid w:val="585CCDB2"/>
    <w:rsid w:val="598362A2"/>
    <w:rsid w:val="5A950E55"/>
    <w:rsid w:val="5B4EE00D"/>
    <w:rsid w:val="5B52775D"/>
    <w:rsid w:val="5B640EB9"/>
    <w:rsid w:val="5E44C997"/>
    <w:rsid w:val="5F028DD5"/>
    <w:rsid w:val="5FD5D25D"/>
    <w:rsid w:val="63898025"/>
    <w:rsid w:val="65691885"/>
    <w:rsid w:val="65CEA055"/>
    <w:rsid w:val="678DE081"/>
    <w:rsid w:val="6810B0D1"/>
    <w:rsid w:val="6A710F0E"/>
    <w:rsid w:val="6AAC4F5A"/>
    <w:rsid w:val="6D5F70B4"/>
    <w:rsid w:val="6ECC596B"/>
    <w:rsid w:val="6F78A0C3"/>
    <w:rsid w:val="6FCFDB5B"/>
    <w:rsid w:val="70A05FD6"/>
    <w:rsid w:val="7207F358"/>
    <w:rsid w:val="720BD8A2"/>
    <w:rsid w:val="733274DB"/>
    <w:rsid w:val="734A8B74"/>
    <w:rsid w:val="75CDD5A1"/>
    <w:rsid w:val="75DF9047"/>
    <w:rsid w:val="78E6D14E"/>
    <w:rsid w:val="79E96FD9"/>
    <w:rsid w:val="7B6662E3"/>
    <w:rsid w:val="7C07A995"/>
    <w:rsid w:val="7E31D0B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EAB269"/>
  <w15:chartTrackingRefBased/>
  <w15:docId w15:val="{35902AFE-D873-4B71-A596-E5B15B3EE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E65"/>
    <w:pPr>
      <w:spacing w:after="120"/>
    </w:pPr>
    <w:rPr>
      <w:lang w:val="en-US"/>
    </w:rPr>
  </w:style>
  <w:style w:type="paragraph" w:styleId="Heading1">
    <w:name w:val="heading 1"/>
    <w:basedOn w:val="BaseHeading"/>
    <w:next w:val="BodyText"/>
    <w:link w:val="Heading1Char"/>
    <w:uiPriority w:val="9"/>
    <w:qFormat/>
    <w:rsid w:val="00FA4CDE"/>
    <w:pPr>
      <w:numPr>
        <w:numId w:val="17"/>
      </w:numPr>
      <w:spacing w:before="600" w:after="600"/>
      <w:outlineLvl w:val="0"/>
    </w:pPr>
    <w:rPr>
      <w:rFonts w:eastAsiaTheme="majorEastAsia" w:cstheme="majorBidi"/>
      <w:sz w:val="36"/>
      <w:szCs w:val="32"/>
    </w:rPr>
  </w:style>
  <w:style w:type="paragraph" w:styleId="Heading2">
    <w:name w:val="heading 2"/>
    <w:basedOn w:val="BaseHeading"/>
    <w:next w:val="BodyText"/>
    <w:link w:val="Heading2Char"/>
    <w:uiPriority w:val="9"/>
    <w:qFormat/>
    <w:rsid w:val="005E292E"/>
    <w:pPr>
      <w:numPr>
        <w:ilvl w:val="1"/>
        <w:numId w:val="16"/>
      </w:numPr>
      <w:spacing w:before="240" w:after="240"/>
      <w:outlineLvl w:val="1"/>
    </w:pPr>
    <w:rPr>
      <w:rFonts w:eastAsiaTheme="majorEastAsia" w:cstheme="majorBidi"/>
      <w:sz w:val="24"/>
      <w:szCs w:val="26"/>
    </w:rPr>
  </w:style>
  <w:style w:type="paragraph" w:styleId="Heading3">
    <w:name w:val="heading 3"/>
    <w:basedOn w:val="BaseHeading"/>
    <w:next w:val="BodyText"/>
    <w:link w:val="Heading3Char"/>
    <w:uiPriority w:val="9"/>
    <w:qFormat/>
    <w:rsid w:val="005E292E"/>
    <w:pPr>
      <w:spacing w:before="40"/>
      <w:outlineLvl w:val="2"/>
    </w:pPr>
    <w:rPr>
      <w:rFonts w:eastAsiaTheme="majorEastAsia" w:cstheme="majorBidi"/>
      <w:sz w:val="24"/>
      <w:szCs w:val="24"/>
    </w:rPr>
  </w:style>
  <w:style w:type="paragraph" w:styleId="Heading4">
    <w:name w:val="heading 4"/>
    <w:basedOn w:val="BaseHeading"/>
    <w:next w:val="BodyText"/>
    <w:link w:val="Heading4Char"/>
    <w:uiPriority w:val="9"/>
    <w:qFormat/>
    <w:rsid w:val="005E292E"/>
    <w:pPr>
      <w:outlineLvl w:val="3"/>
    </w:pPr>
    <w:rPr>
      <w:rFonts w:asciiTheme="minorHAnsi" w:eastAsiaTheme="majorEastAsia" w:hAnsiTheme="minorHAnsi" w:cstheme="majorBidi"/>
      <w:b/>
      <w:iCs/>
      <w:sz w:val="24"/>
    </w:rPr>
  </w:style>
  <w:style w:type="paragraph" w:styleId="Heading5">
    <w:name w:val="heading 5"/>
    <w:basedOn w:val="BaseHeading"/>
    <w:next w:val="BodyText"/>
    <w:link w:val="Heading5Char"/>
    <w:uiPriority w:val="9"/>
    <w:qFormat/>
    <w:rsid w:val="005E292E"/>
    <w:pPr>
      <w:outlineLvl w:val="4"/>
    </w:pPr>
    <w:rPr>
      <w:rFonts w:asciiTheme="minorHAnsi" w:eastAsiaTheme="majorEastAsia" w:hAnsiTheme="minorHAnsi" w:cstheme="majorBidi"/>
      <w:i/>
      <w:sz w:val="24"/>
    </w:rPr>
  </w:style>
  <w:style w:type="paragraph" w:styleId="Heading6">
    <w:name w:val="heading 6"/>
    <w:basedOn w:val="Normal"/>
    <w:next w:val="Normal"/>
    <w:link w:val="Heading6Char"/>
    <w:uiPriority w:val="9"/>
    <w:semiHidden/>
    <w:unhideWhenUsed/>
    <w:qFormat/>
    <w:rsid w:val="00837A0C"/>
    <w:pPr>
      <w:keepNext/>
      <w:keepLines/>
      <w:spacing w:before="40" w:after="0"/>
      <w:outlineLvl w:val="5"/>
    </w:pPr>
    <w:rPr>
      <w:rFonts w:asciiTheme="majorHAnsi" w:eastAsiaTheme="majorEastAsia" w:hAnsiTheme="majorHAnsi" w:cstheme="majorBidi"/>
      <w:color w:val="76061E" w:themeColor="accent1" w:themeShade="7F"/>
    </w:rPr>
  </w:style>
  <w:style w:type="paragraph" w:styleId="Heading7">
    <w:name w:val="heading 7"/>
    <w:basedOn w:val="Normal"/>
    <w:next w:val="Normal"/>
    <w:link w:val="Heading7Char"/>
    <w:uiPriority w:val="9"/>
    <w:semiHidden/>
    <w:unhideWhenUsed/>
    <w:qFormat/>
    <w:rsid w:val="00837A0C"/>
    <w:pPr>
      <w:keepNext/>
      <w:keepLines/>
      <w:spacing w:before="40" w:after="0"/>
      <w:outlineLvl w:val="6"/>
    </w:pPr>
    <w:rPr>
      <w:rFonts w:asciiTheme="majorHAnsi" w:eastAsiaTheme="majorEastAsia" w:hAnsiTheme="majorHAnsi" w:cstheme="majorBidi"/>
      <w:i/>
      <w:iCs/>
      <w:color w:val="76061E" w:themeColor="accent1" w:themeShade="7F"/>
    </w:rPr>
  </w:style>
  <w:style w:type="paragraph" w:styleId="Heading8">
    <w:name w:val="heading 8"/>
    <w:basedOn w:val="Normal"/>
    <w:next w:val="Normal"/>
    <w:link w:val="Heading8Char"/>
    <w:uiPriority w:val="9"/>
    <w:semiHidden/>
    <w:unhideWhenUsed/>
    <w:qFormat/>
    <w:rsid w:val="00837A0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37A0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BaseText"/>
    <w:link w:val="BodyTextChar"/>
    <w:qFormat/>
    <w:rsid w:val="005E292E"/>
    <w:pPr>
      <w:spacing w:after="120"/>
    </w:pPr>
  </w:style>
  <w:style w:type="character" w:customStyle="1" w:styleId="BodyTextChar">
    <w:name w:val="Body Text Char"/>
    <w:basedOn w:val="DefaultParagraphFont"/>
    <w:link w:val="BodyText"/>
    <w:rsid w:val="00504E65"/>
    <w:rPr>
      <w:sz w:val="24"/>
    </w:rPr>
  </w:style>
  <w:style w:type="character" w:customStyle="1" w:styleId="Heading1Char">
    <w:name w:val="Heading 1 Char"/>
    <w:basedOn w:val="DefaultParagraphFont"/>
    <w:link w:val="Heading1"/>
    <w:uiPriority w:val="9"/>
    <w:rsid w:val="00FA4CDE"/>
    <w:rPr>
      <w:rFonts w:asciiTheme="majorHAnsi" w:eastAsiaTheme="majorEastAsia" w:hAnsiTheme="majorHAnsi" w:cstheme="majorBidi"/>
      <w:color w:val="000000" w:themeColor="text1"/>
      <w:sz w:val="36"/>
      <w:szCs w:val="32"/>
    </w:rPr>
  </w:style>
  <w:style w:type="character" w:customStyle="1" w:styleId="Heading2Char">
    <w:name w:val="Heading 2 Char"/>
    <w:basedOn w:val="DefaultParagraphFont"/>
    <w:link w:val="Heading2"/>
    <w:uiPriority w:val="9"/>
    <w:rsid w:val="005E292E"/>
    <w:rPr>
      <w:rFonts w:asciiTheme="majorHAnsi" w:eastAsiaTheme="majorEastAsia" w:hAnsiTheme="majorHAnsi" w:cstheme="majorBidi"/>
      <w:color w:val="000000" w:themeColor="text1"/>
      <w:sz w:val="24"/>
      <w:szCs w:val="26"/>
    </w:rPr>
  </w:style>
  <w:style w:type="character" w:customStyle="1" w:styleId="Heading3Char">
    <w:name w:val="Heading 3 Char"/>
    <w:basedOn w:val="DefaultParagraphFont"/>
    <w:link w:val="Heading3"/>
    <w:uiPriority w:val="9"/>
    <w:rsid w:val="005E292E"/>
    <w:rPr>
      <w:rFonts w:asciiTheme="majorHAnsi" w:eastAsiaTheme="majorEastAsia" w:hAnsiTheme="majorHAnsi" w:cstheme="majorBidi"/>
      <w:color w:val="000000" w:themeColor="text1"/>
      <w:sz w:val="24"/>
      <w:szCs w:val="24"/>
    </w:rPr>
  </w:style>
  <w:style w:type="character" w:customStyle="1" w:styleId="Heading4Char">
    <w:name w:val="Heading 4 Char"/>
    <w:basedOn w:val="DefaultParagraphFont"/>
    <w:link w:val="Heading4"/>
    <w:uiPriority w:val="9"/>
    <w:rsid w:val="005E292E"/>
    <w:rPr>
      <w:rFonts w:eastAsiaTheme="majorEastAsia" w:cstheme="majorBidi"/>
      <w:b/>
      <w:iCs/>
      <w:color w:val="000000" w:themeColor="text1"/>
      <w:sz w:val="24"/>
    </w:rPr>
  </w:style>
  <w:style w:type="paragraph" w:styleId="Title">
    <w:name w:val="Title"/>
    <w:basedOn w:val="BaseHeading"/>
    <w:next w:val="Subtitle"/>
    <w:link w:val="TitleChar"/>
    <w:uiPriority w:val="37"/>
    <w:qFormat/>
    <w:rsid w:val="00D24718"/>
    <w:pPr>
      <w:spacing w:line="192" w:lineRule="auto"/>
      <w:contextualSpacing/>
    </w:pPr>
    <w:rPr>
      <w:rFonts w:eastAsiaTheme="majorEastAsia" w:cstheme="majorBidi"/>
      <w:sz w:val="40"/>
      <w:szCs w:val="56"/>
    </w:rPr>
  </w:style>
  <w:style w:type="character" w:customStyle="1" w:styleId="TitleChar">
    <w:name w:val="Title Char"/>
    <w:basedOn w:val="DefaultParagraphFont"/>
    <w:link w:val="Title"/>
    <w:uiPriority w:val="37"/>
    <w:rsid w:val="00D24718"/>
    <w:rPr>
      <w:rFonts w:asciiTheme="majorHAnsi" w:eastAsiaTheme="majorEastAsia" w:hAnsiTheme="majorHAnsi" w:cstheme="majorBidi"/>
      <w:color w:val="000000" w:themeColor="text1"/>
      <w:sz w:val="40"/>
      <w:szCs w:val="56"/>
    </w:rPr>
  </w:style>
  <w:style w:type="paragraph" w:styleId="Subtitle">
    <w:name w:val="Subtitle"/>
    <w:basedOn w:val="BaseHeading"/>
    <w:next w:val="BodyText"/>
    <w:link w:val="SubtitleChar"/>
    <w:uiPriority w:val="38"/>
    <w:qFormat/>
    <w:rsid w:val="00E9389F"/>
    <w:pPr>
      <w:numPr>
        <w:ilvl w:val="1"/>
      </w:numPr>
      <w:spacing w:after="360"/>
    </w:pPr>
    <w:rPr>
      <w:rFonts w:asciiTheme="minorHAnsi" w:eastAsiaTheme="minorEastAsia" w:hAnsiTheme="minorHAnsi"/>
      <w:sz w:val="28"/>
    </w:rPr>
  </w:style>
  <w:style w:type="character" w:customStyle="1" w:styleId="SubtitleChar">
    <w:name w:val="Subtitle Char"/>
    <w:basedOn w:val="DefaultParagraphFont"/>
    <w:link w:val="Subtitle"/>
    <w:uiPriority w:val="38"/>
    <w:rsid w:val="00E9389F"/>
    <w:rPr>
      <w:rFonts w:eastAsiaTheme="minorEastAsia"/>
      <w:color w:val="000000" w:themeColor="text1"/>
      <w:sz w:val="28"/>
    </w:rPr>
  </w:style>
  <w:style w:type="paragraph" w:customStyle="1" w:styleId="BaseStyle">
    <w:name w:val="___Base Style"/>
    <w:semiHidden/>
    <w:rsid w:val="005E292E"/>
    <w:pPr>
      <w:spacing w:after="0" w:line="276" w:lineRule="auto"/>
    </w:pPr>
  </w:style>
  <w:style w:type="paragraph" w:customStyle="1" w:styleId="BaseTable">
    <w:name w:val="___Base Table"/>
    <w:semiHidden/>
    <w:rsid w:val="005E292E"/>
  </w:style>
  <w:style w:type="paragraph" w:customStyle="1" w:styleId="BaseText">
    <w:name w:val="__Base Text"/>
    <w:basedOn w:val="BaseStyle"/>
    <w:semiHidden/>
    <w:rsid w:val="005E292E"/>
    <w:pPr>
      <w:spacing w:line="264" w:lineRule="auto"/>
    </w:pPr>
    <w:rPr>
      <w:sz w:val="24"/>
    </w:rPr>
  </w:style>
  <w:style w:type="paragraph" w:customStyle="1" w:styleId="BaseHeading">
    <w:name w:val="__Base Heading"/>
    <w:basedOn w:val="BaseStyle"/>
    <w:next w:val="BodyText"/>
    <w:semiHidden/>
    <w:rsid w:val="005E292E"/>
    <w:pPr>
      <w:keepNext/>
      <w:keepLines/>
      <w:spacing w:line="240" w:lineRule="auto"/>
    </w:pPr>
    <w:rPr>
      <w:rFonts w:asciiTheme="majorHAnsi" w:hAnsiTheme="majorHAnsi"/>
      <w:color w:val="000000" w:themeColor="text1"/>
    </w:rPr>
  </w:style>
  <w:style w:type="table" w:customStyle="1" w:styleId="Plain">
    <w:name w:val="Plain"/>
    <w:basedOn w:val="TableNormal"/>
    <w:rsid w:val="005E292E"/>
    <w:pPr>
      <w:spacing w:after="0" w:line="240" w:lineRule="auto"/>
    </w:pPr>
    <w:tblPr/>
    <w:tcPr>
      <w:shd w:val="clear" w:color="auto" w:fill="auto"/>
      <w:tcMar>
        <w:left w:w="0" w:type="dxa"/>
        <w:right w:w="0" w:type="dxa"/>
      </w:tcMar>
    </w:tcPr>
  </w:style>
  <w:style w:type="paragraph" w:customStyle="1" w:styleId="1ptspacer">
    <w:name w:val="__1pt spacer"/>
    <w:basedOn w:val="BaseStyle"/>
    <w:next w:val="BodyText"/>
    <w:semiHidden/>
    <w:rsid w:val="005E292E"/>
    <w:pPr>
      <w:spacing w:line="20" w:lineRule="exact"/>
    </w:pPr>
    <w:rPr>
      <w:sz w:val="2"/>
    </w:rPr>
  </w:style>
  <w:style w:type="paragraph" w:customStyle="1" w:styleId="Placeholder">
    <w:name w:val="__Placeholder"/>
    <w:basedOn w:val="BaseText"/>
    <w:next w:val="BodyText"/>
    <w:semiHidden/>
    <w:rsid w:val="005E292E"/>
    <w:pPr>
      <w:spacing w:line="240" w:lineRule="auto"/>
      <w:jc w:val="center"/>
    </w:pPr>
  </w:style>
  <w:style w:type="paragraph" w:customStyle="1" w:styleId="TableSpaceAfter">
    <w:name w:val="__TableSpaceAfter"/>
    <w:basedOn w:val="BaseStyle"/>
    <w:next w:val="BodyText"/>
    <w:rsid w:val="005E292E"/>
    <w:pPr>
      <w:spacing w:line="20" w:lineRule="exact"/>
    </w:pPr>
    <w:rPr>
      <w:sz w:val="2"/>
    </w:rPr>
  </w:style>
  <w:style w:type="paragraph" w:styleId="ListBullet">
    <w:name w:val="List Bullet"/>
    <w:basedOn w:val="BodyText"/>
    <w:uiPriority w:val="99"/>
    <w:qFormat/>
    <w:rsid w:val="005E292E"/>
    <w:pPr>
      <w:numPr>
        <w:numId w:val="4"/>
      </w:numPr>
    </w:pPr>
  </w:style>
  <w:style w:type="paragraph" w:customStyle="1" w:styleId="TableText">
    <w:name w:val="Table Text"/>
    <w:basedOn w:val="BaseTable"/>
    <w:uiPriority w:val="2"/>
    <w:qFormat/>
    <w:rsid w:val="005E292E"/>
  </w:style>
  <w:style w:type="character" w:styleId="BookTitle">
    <w:name w:val="Book Title"/>
    <w:basedOn w:val="DefaultParagraphFont"/>
    <w:uiPriority w:val="33"/>
    <w:semiHidden/>
    <w:qFormat/>
    <w:rsid w:val="005E292E"/>
    <w:rPr>
      <w:b/>
      <w:bCs/>
      <w:i/>
      <w:iCs/>
      <w:spacing w:val="5"/>
    </w:rPr>
  </w:style>
  <w:style w:type="character" w:styleId="Emphasis">
    <w:name w:val="Emphasis"/>
    <w:basedOn w:val="DefaultParagraphFont"/>
    <w:uiPriority w:val="20"/>
    <w:semiHidden/>
    <w:qFormat/>
    <w:rsid w:val="005E292E"/>
    <w:rPr>
      <w:i/>
      <w:iCs/>
    </w:rPr>
  </w:style>
  <w:style w:type="character" w:styleId="IntenseEmphasis">
    <w:name w:val="Intense Emphasis"/>
    <w:basedOn w:val="DefaultParagraphFont"/>
    <w:uiPriority w:val="21"/>
    <w:semiHidden/>
    <w:qFormat/>
    <w:rsid w:val="005E292E"/>
    <w:rPr>
      <w:i/>
      <w:iCs/>
      <w:color w:val="EE0C3D" w:themeColor="accent1"/>
    </w:rPr>
  </w:style>
  <w:style w:type="paragraph" w:styleId="IntenseQuote">
    <w:name w:val="Intense Quote"/>
    <w:basedOn w:val="Normal"/>
    <w:next w:val="Normal"/>
    <w:link w:val="IntenseQuoteChar"/>
    <w:uiPriority w:val="30"/>
    <w:semiHidden/>
    <w:qFormat/>
    <w:rsid w:val="005E292E"/>
    <w:pPr>
      <w:pBdr>
        <w:top w:val="single" w:sz="4" w:space="10" w:color="EE0C3D" w:themeColor="accent1"/>
        <w:bottom w:val="single" w:sz="4" w:space="10" w:color="EE0C3D" w:themeColor="accent1"/>
      </w:pBdr>
      <w:spacing w:before="360" w:after="360"/>
      <w:ind w:left="864" w:right="864"/>
      <w:jc w:val="center"/>
    </w:pPr>
    <w:rPr>
      <w:i/>
      <w:iCs/>
      <w:color w:val="EE0C3D" w:themeColor="accent1"/>
    </w:rPr>
  </w:style>
  <w:style w:type="character" w:customStyle="1" w:styleId="IntenseQuoteChar">
    <w:name w:val="Intense Quote Char"/>
    <w:basedOn w:val="DefaultParagraphFont"/>
    <w:link w:val="IntenseQuote"/>
    <w:uiPriority w:val="30"/>
    <w:semiHidden/>
    <w:rsid w:val="005E292E"/>
    <w:rPr>
      <w:i/>
      <w:iCs/>
      <w:color w:val="EE0C3D" w:themeColor="accent1"/>
      <w:lang w:val="en-US"/>
    </w:rPr>
  </w:style>
  <w:style w:type="character" w:styleId="IntenseReference">
    <w:name w:val="Intense Reference"/>
    <w:basedOn w:val="DefaultParagraphFont"/>
    <w:uiPriority w:val="32"/>
    <w:semiHidden/>
    <w:qFormat/>
    <w:rsid w:val="005E292E"/>
    <w:rPr>
      <w:b/>
      <w:bCs/>
      <w:smallCaps/>
      <w:color w:val="EE0C3D" w:themeColor="accent1"/>
      <w:spacing w:val="5"/>
    </w:rPr>
  </w:style>
  <w:style w:type="paragraph" w:styleId="ListParagraph">
    <w:name w:val="List Paragraph"/>
    <w:aliases w:val="Paragraph,Header 2,Head1.1,References,Paragraphe de liste1,List Paragraph1,Liste couleur - Accent 11,Liste couleur - Accent 111,Paragraphe de liste3,List Paragraph2,Bullets,List Paragraph nowy,Numbered List Paragraph,titre_kely,Liste 1"/>
    <w:basedOn w:val="Normal"/>
    <w:link w:val="ListParagraphChar"/>
    <w:uiPriority w:val="34"/>
    <w:qFormat/>
    <w:rsid w:val="005E292E"/>
    <w:pPr>
      <w:ind w:left="720"/>
      <w:contextualSpacing/>
    </w:pPr>
  </w:style>
  <w:style w:type="paragraph" w:styleId="NoSpacing">
    <w:name w:val="No Spacing"/>
    <w:uiPriority w:val="1"/>
    <w:semiHidden/>
    <w:qFormat/>
    <w:rsid w:val="005E292E"/>
    <w:pPr>
      <w:spacing w:after="0" w:line="240" w:lineRule="auto"/>
    </w:pPr>
  </w:style>
  <w:style w:type="paragraph" w:styleId="Quote">
    <w:name w:val="Quote"/>
    <w:basedOn w:val="BaseText"/>
    <w:link w:val="QuoteChar"/>
    <w:uiPriority w:val="29"/>
    <w:qFormat/>
    <w:rsid w:val="005E292E"/>
    <w:pPr>
      <w:spacing w:before="240" w:after="240"/>
      <w:ind w:left="567"/>
    </w:pPr>
    <w:rPr>
      <w:iCs/>
      <w:color w:val="A6A6A6" w:themeColor="background1" w:themeShade="A6"/>
    </w:rPr>
  </w:style>
  <w:style w:type="character" w:customStyle="1" w:styleId="QuoteChar">
    <w:name w:val="Quote Char"/>
    <w:basedOn w:val="DefaultParagraphFont"/>
    <w:link w:val="Quote"/>
    <w:uiPriority w:val="29"/>
    <w:rsid w:val="005E292E"/>
    <w:rPr>
      <w:iCs/>
      <w:color w:val="A6A6A6" w:themeColor="background1" w:themeShade="A6"/>
      <w:sz w:val="24"/>
    </w:rPr>
  </w:style>
  <w:style w:type="character" w:styleId="Strong">
    <w:name w:val="Strong"/>
    <w:basedOn w:val="DefaultParagraphFont"/>
    <w:uiPriority w:val="22"/>
    <w:semiHidden/>
    <w:qFormat/>
    <w:rsid w:val="005E292E"/>
    <w:rPr>
      <w:b/>
      <w:bCs/>
    </w:rPr>
  </w:style>
  <w:style w:type="character" w:styleId="SubtleEmphasis">
    <w:name w:val="Subtle Emphasis"/>
    <w:basedOn w:val="DefaultParagraphFont"/>
    <w:uiPriority w:val="19"/>
    <w:semiHidden/>
    <w:qFormat/>
    <w:rsid w:val="005E292E"/>
    <w:rPr>
      <w:i/>
      <w:iCs/>
      <w:color w:val="404040" w:themeColor="text1" w:themeTint="BF"/>
    </w:rPr>
  </w:style>
  <w:style w:type="character" w:styleId="SubtleReference">
    <w:name w:val="Subtle Reference"/>
    <w:basedOn w:val="DefaultParagraphFont"/>
    <w:uiPriority w:val="31"/>
    <w:semiHidden/>
    <w:qFormat/>
    <w:rsid w:val="005E292E"/>
    <w:rPr>
      <w:smallCaps/>
      <w:color w:val="5A5A5A" w:themeColor="text1" w:themeTint="A5"/>
    </w:rPr>
  </w:style>
  <w:style w:type="numbering" w:customStyle="1" w:styleId="ListBullets">
    <w:name w:val="__List Bullets"/>
    <w:rsid w:val="005E292E"/>
    <w:pPr>
      <w:numPr>
        <w:numId w:val="1"/>
      </w:numPr>
    </w:pPr>
  </w:style>
  <w:style w:type="numbering" w:customStyle="1" w:styleId="ListNumbers">
    <w:name w:val="__List Numbers"/>
    <w:rsid w:val="005E292E"/>
    <w:pPr>
      <w:numPr>
        <w:numId w:val="2"/>
      </w:numPr>
    </w:pPr>
  </w:style>
  <w:style w:type="paragraph" w:styleId="ListNumber">
    <w:name w:val="List Number"/>
    <w:basedOn w:val="BodyText"/>
    <w:uiPriority w:val="1"/>
    <w:rsid w:val="005E292E"/>
    <w:pPr>
      <w:numPr>
        <w:numId w:val="3"/>
      </w:numPr>
    </w:pPr>
  </w:style>
  <w:style w:type="paragraph" w:customStyle="1" w:styleId="BodyTextNoSpace">
    <w:name w:val="Body Text_No Space"/>
    <w:basedOn w:val="BodyText"/>
    <w:qFormat/>
    <w:rsid w:val="005E292E"/>
    <w:pPr>
      <w:spacing w:after="0"/>
    </w:pPr>
  </w:style>
  <w:style w:type="table" w:customStyle="1" w:styleId="GlobalFundSolidHeader">
    <w:name w:val="Global Fund_Solid Header"/>
    <w:basedOn w:val="TableNormal"/>
    <w:uiPriority w:val="99"/>
    <w:rsid w:val="005E292E"/>
    <w:pPr>
      <w:keepNext/>
      <w:spacing w:before="60" w:after="60" w:line="240" w:lineRule="auto"/>
      <w:ind w:left="57" w:right="57"/>
    </w:pPr>
    <w:rPr>
      <w:color w:val="000000" w:themeColor="text1"/>
      <w:szCs w:val="20"/>
    </w:rPr>
    <w:tblPr>
      <w:tblStyleRowBandSize w:val="1"/>
      <w:tblBorders>
        <w:top w:val="single" w:sz="4" w:space="0" w:color="808080" w:themeColor="background1" w:themeShade="80"/>
        <w:bottom w:val="single" w:sz="4" w:space="0" w:color="808080" w:themeColor="background1" w:themeShade="80"/>
        <w:insideH w:val="single" w:sz="4" w:space="0" w:color="808080" w:themeColor="background1" w:themeShade="80"/>
      </w:tblBorders>
      <w:tblCellMar>
        <w:left w:w="0" w:type="dxa"/>
        <w:right w:w="0" w:type="dxa"/>
      </w:tblCellMar>
    </w:tblPr>
    <w:trPr>
      <w:cantSplit/>
    </w:trPr>
    <w:tblStylePr w:type="firstRow">
      <w:pPr>
        <w:wordWrap/>
        <w:spacing w:beforeLines="0" w:before="90" w:beforeAutospacing="0" w:afterLines="0" w:after="90" w:afterAutospacing="0" w:line="240" w:lineRule="auto"/>
        <w:ind w:leftChars="0" w:left="57" w:rightChars="0" w:right="57" w:firstLineChars="0" w:firstLine="0"/>
        <w:contextualSpacing w:val="0"/>
        <w:mirrorIndents w:val="0"/>
      </w:pPr>
      <w:rPr>
        <w:b/>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rPr>
        <w:color w:val="000000" w:themeColor="text1"/>
      </w:rPr>
      <w:tblPr/>
      <w:tcPr>
        <w:tcBorders>
          <w:top w:val="single" w:sz="4" w:space="0" w:color="939393" w:themeColor="text2"/>
          <w:bottom w:val="single" w:sz="4" w:space="0" w:color="939393" w:themeColor="text2"/>
        </w:tcBorders>
      </w:tcPr>
    </w:tblStylePr>
    <w:tblStylePr w:type="firstCol">
      <w:pPr>
        <w:jc w:val="left"/>
      </w:pPr>
    </w:tblStylePr>
    <w:tblStylePr w:type="band1Horz">
      <w:tblPr/>
      <w:tcPr>
        <w:shd w:val="clear" w:color="auto" w:fill="FFFFFF" w:themeFill="background1"/>
      </w:tcPr>
    </w:tblStylePr>
    <w:tblStylePr w:type="band2Horz">
      <w:rPr>
        <w:color w:val="404040" w:themeColor="text1" w:themeTint="BF"/>
      </w:rPr>
      <w:tblPr/>
      <w:tcPr>
        <w:tcBorders>
          <w:top w:val="nil"/>
          <w:left w:val="nil"/>
          <w:bottom w:val="nil"/>
          <w:right w:val="nil"/>
          <w:insideH w:val="nil"/>
          <w:insideV w:val="nil"/>
          <w:tl2br w:val="nil"/>
          <w:tr2bl w:val="nil"/>
        </w:tcBorders>
      </w:tcPr>
    </w:tblStylePr>
  </w:style>
  <w:style w:type="character" w:customStyle="1" w:styleId="Accent1">
    <w:name w:val="Accent 1"/>
    <w:basedOn w:val="DefaultParagraphFont"/>
    <w:uiPriority w:val="36"/>
    <w:semiHidden/>
    <w:qFormat/>
    <w:rsid w:val="005E292E"/>
    <w:rPr>
      <w:color w:val="EE0C3D" w:themeColor="accent1"/>
    </w:rPr>
  </w:style>
  <w:style w:type="character" w:customStyle="1" w:styleId="Accent2">
    <w:name w:val="Accent 2"/>
    <w:basedOn w:val="DefaultParagraphFont"/>
    <w:uiPriority w:val="36"/>
    <w:semiHidden/>
    <w:qFormat/>
    <w:rsid w:val="005E292E"/>
    <w:rPr>
      <w:color w:val="2E4DF9" w:themeColor="accent2"/>
    </w:rPr>
  </w:style>
  <w:style w:type="character" w:customStyle="1" w:styleId="Accent3">
    <w:name w:val="Accent 3"/>
    <w:basedOn w:val="DefaultParagraphFont"/>
    <w:uiPriority w:val="36"/>
    <w:semiHidden/>
    <w:qFormat/>
    <w:rsid w:val="005E292E"/>
    <w:rPr>
      <w:color w:val="F6DE00" w:themeColor="accent3"/>
    </w:rPr>
  </w:style>
  <w:style w:type="character" w:customStyle="1" w:styleId="Accent4">
    <w:name w:val="Accent 4"/>
    <w:basedOn w:val="DefaultParagraphFont"/>
    <w:uiPriority w:val="36"/>
    <w:semiHidden/>
    <w:qFormat/>
    <w:rsid w:val="005E292E"/>
    <w:rPr>
      <w:color w:val="44CC36" w:themeColor="accent4"/>
    </w:rPr>
  </w:style>
  <w:style w:type="character" w:customStyle="1" w:styleId="Accent5">
    <w:name w:val="Accent 5"/>
    <w:basedOn w:val="DefaultParagraphFont"/>
    <w:uiPriority w:val="36"/>
    <w:semiHidden/>
    <w:qFormat/>
    <w:rsid w:val="005E292E"/>
    <w:rPr>
      <w:color w:val="FC9B00" w:themeColor="accent5"/>
    </w:rPr>
  </w:style>
  <w:style w:type="character" w:customStyle="1" w:styleId="Accent6">
    <w:name w:val="Accent 6"/>
    <w:basedOn w:val="DefaultParagraphFont"/>
    <w:uiPriority w:val="36"/>
    <w:semiHidden/>
    <w:qFormat/>
    <w:rsid w:val="005E292E"/>
    <w:rPr>
      <w:color w:val="8C29D3" w:themeColor="accent6"/>
    </w:rPr>
  </w:style>
  <w:style w:type="character" w:customStyle="1" w:styleId="Heading5Char">
    <w:name w:val="Heading 5 Char"/>
    <w:basedOn w:val="DefaultParagraphFont"/>
    <w:link w:val="Heading5"/>
    <w:uiPriority w:val="9"/>
    <w:rsid w:val="005E292E"/>
    <w:rPr>
      <w:rFonts w:eastAsiaTheme="majorEastAsia" w:cstheme="majorBidi"/>
      <w:i/>
      <w:color w:val="000000" w:themeColor="text1"/>
      <w:sz w:val="24"/>
    </w:rPr>
  </w:style>
  <w:style w:type="paragraph" w:customStyle="1" w:styleId="ListHeading1">
    <w:name w:val="List Heading 1"/>
    <w:basedOn w:val="Heading1"/>
    <w:next w:val="BodyText"/>
    <w:uiPriority w:val="9"/>
    <w:qFormat/>
    <w:rsid w:val="00FF12EA"/>
  </w:style>
  <w:style w:type="paragraph" w:customStyle="1" w:styleId="ListHeading2">
    <w:name w:val="List Heading 2"/>
    <w:basedOn w:val="Heading2"/>
    <w:next w:val="BodyText"/>
    <w:uiPriority w:val="9"/>
    <w:qFormat/>
    <w:rsid w:val="00F00B95"/>
    <w:pPr>
      <w:numPr>
        <w:numId w:val="18"/>
      </w:numPr>
    </w:pPr>
    <w:rPr>
      <w:lang w:val="en-US"/>
    </w:rPr>
  </w:style>
  <w:style w:type="paragraph" w:customStyle="1" w:styleId="ListHeading3">
    <w:name w:val="List Heading 3"/>
    <w:basedOn w:val="Heading3"/>
    <w:next w:val="BodyText"/>
    <w:uiPriority w:val="9"/>
    <w:qFormat/>
    <w:rsid w:val="005E292E"/>
    <w:pPr>
      <w:numPr>
        <w:ilvl w:val="2"/>
        <w:numId w:val="6"/>
      </w:numPr>
      <w:spacing w:before="0"/>
    </w:pPr>
  </w:style>
  <w:style w:type="paragraph" w:customStyle="1" w:styleId="ListHeading4">
    <w:name w:val="List Heading 4"/>
    <w:basedOn w:val="Heading4"/>
    <w:next w:val="BodyText"/>
    <w:uiPriority w:val="9"/>
    <w:qFormat/>
    <w:rsid w:val="005E292E"/>
    <w:pPr>
      <w:numPr>
        <w:ilvl w:val="3"/>
        <w:numId w:val="6"/>
      </w:numPr>
    </w:pPr>
  </w:style>
  <w:style w:type="paragraph" w:customStyle="1" w:styleId="ListHeading5">
    <w:name w:val="List Heading 5"/>
    <w:basedOn w:val="Heading5"/>
    <w:next w:val="BodyText"/>
    <w:uiPriority w:val="9"/>
    <w:qFormat/>
    <w:rsid w:val="005E292E"/>
    <w:pPr>
      <w:numPr>
        <w:ilvl w:val="4"/>
        <w:numId w:val="6"/>
      </w:numPr>
    </w:pPr>
  </w:style>
  <w:style w:type="numbering" w:customStyle="1" w:styleId="ListHeading">
    <w:name w:val="List Heading"/>
    <w:uiPriority w:val="99"/>
    <w:rsid w:val="005E292E"/>
    <w:pPr>
      <w:numPr>
        <w:numId w:val="5"/>
      </w:numPr>
    </w:pPr>
  </w:style>
  <w:style w:type="paragraph" w:styleId="Header">
    <w:name w:val="header"/>
    <w:basedOn w:val="Normal"/>
    <w:link w:val="HeaderChar"/>
    <w:uiPriority w:val="99"/>
    <w:unhideWhenUsed/>
    <w:rsid w:val="005E292E"/>
    <w:pPr>
      <w:tabs>
        <w:tab w:val="center" w:pos="4513"/>
        <w:tab w:val="right" w:pos="9026"/>
      </w:tabs>
      <w:spacing w:after="0" w:line="240" w:lineRule="auto"/>
    </w:pPr>
    <w:rPr>
      <w:sz w:val="14"/>
    </w:rPr>
  </w:style>
  <w:style w:type="character" w:customStyle="1" w:styleId="HeaderChar">
    <w:name w:val="Header Char"/>
    <w:basedOn w:val="DefaultParagraphFont"/>
    <w:link w:val="Header"/>
    <w:uiPriority w:val="99"/>
    <w:rsid w:val="005E292E"/>
    <w:rPr>
      <w:sz w:val="14"/>
      <w:lang w:val="en-US"/>
    </w:rPr>
  </w:style>
  <w:style w:type="paragraph" w:styleId="Footer">
    <w:name w:val="footer"/>
    <w:basedOn w:val="Normal"/>
    <w:link w:val="FooterChar"/>
    <w:uiPriority w:val="99"/>
    <w:unhideWhenUsed/>
    <w:rsid w:val="005E292E"/>
    <w:pPr>
      <w:tabs>
        <w:tab w:val="center" w:pos="4513"/>
        <w:tab w:val="right" w:pos="9026"/>
      </w:tabs>
      <w:spacing w:after="0" w:line="240" w:lineRule="auto"/>
    </w:pPr>
    <w:rPr>
      <w:sz w:val="14"/>
    </w:rPr>
  </w:style>
  <w:style w:type="character" w:customStyle="1" w:styleId="FooterChar">
    <w:name w:val="Footer Char"/>
    <w:basedOn w:val="DefaultParagraphFont"/>
    <w:link w:val="Footer"/>
    <w:uiPriority w:val="99"/>
    <w:rsid w:val="005E292E"/>
    <w:rPr>
      <w:sz w:val="14"/>
      <w:lang w:val="en-US"/>
    </w:rPr>
  </w:style>
  <w:style w:type="table" w:styleId="TableGrid">
    <w:name w:val="Table Grid"/>
    <w:basedOn w:val="TableNormal"/>
    <w:uiPriority w:val="39"/>
    <w:rsid w:val="005E292E"/>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E292E"/>
    <w:pPr>
      <w:spacing w:before="0" w:after="2160"/>
      <w:contextualSpacing/>
      <w:outlineLvl w:val="9"/>
    </w:pPr>
    <w:rPr>
      <w:lang w:val="en-US"/>
    </w:rPr>
  </w:style>
  <w:style w:type="paragraph" w:styleId="TOC1">
    <w:name w:val="toc 1"/>
    <w:basedOn w:val="Normal"/>
    <w:next w:val="Normal"/>
    <w:autoRedefine/>
    <w:uiPriority w:val="39"/>
    <w:unhideWhenUsed/>
    <w:rsid w:val="005E292E"/>
    <w:pPr>
      <w:pBdr>
        <w:top w:val="single" w:sz="4" w:space="1" w:color="auto"/>
      </w:pBdr>
      <w:tabs>
        <w:tab w:val="left" w:pos="454"/>
        <w:tab w:val="right" w:pos="10194"/>
      </w:tabs>
      <w:spacing w:after="0" w:line="240" w:lineRule="auto"/>
    </w:pPr>
    <w:rPr>
      <w:rFonts w:asciiTheme="majorHAnsi" w:hAnsiTheme="majorHAnsi"/>
      <w:color w:val="000000" w:themeColor="text1"/>
      <w:sz w:val="28"/>
    </w:rPr>
  </w:style>
  <w:style w:type="paragraph" w:styleId="TOC2">
    <w:name w:val="toc 2"/>
    <w:basedOn w:val="Normal"/>
    <w:next w:val="Normal"/>
    <w:autoRedefine/>
    <w:uiPriority w:val="39"/>
    <w:unhideWhenUsed/>
    <w:rsid w:val="005E292E"/>
    <w:pPr>
      <w:tabs>
        <w:tab w:val="left" w:pos="680"/>
        <w:tab w:val="right" w:pos="10195"/>
      </w:tabs>
      <w:spacing w:after="240" w:line="240" w:lineRule="auto"/>
      <w:ind w:left="680" w:hanging="680"/>
      <w:contextualSpacing/>
    </w:pPr>
    <w:rPr>
      <w:color w:val="000000" w:themeColor="text1"/>
      <w:sz w:val="24"/>
    </w:rPr>
  </w:style>
  <w:style w:type="paragraph" w:styleId="TOC3">
    <w:name w:val="toc 3"/>
    <w:basedOn w:val="Normal"/>
    <w:next w:val="Normal"/>
    <w:autoRedefine/>
    <w:uiPriority w:val="39"/>
    <w:unhideWhenUsed/>
    <w:rsid w:val="005E292E"/>
    <w:pPr>
      <w:tabs>
        <w:tab w:val="left" w:pos="907"/>
        <w:tab w:val="right" w:pos="10194"/>
      </w:tabs>
      <w:spacing w:after="100"/>
    </w:pPr>
    <w:rPr>
      <w:color w:val="000000" w:themeColor="text1"/>
      <w:sz w:val="24"/>
    </w:rPr>
  </w:style>
  <w:style w:type="character" w:styleId="Hyperlink">
    <w:name w:val="Hyperlink"/>
    <w:basedOn w:val="DefaultParagraphFont"/>
    <w:uiPriority w:val="99"/>
    <w:unhideWhenUsed/>
    <w:rsid w:val="005E292E"/>
    <w:rPr>
      <w:color w:val="2E4DF9" w:themeColor="hyperlink"/>
      <w:u w:val="single"/>
    </w:rPr>
  </w:style>
  <w:style w:type="paragraph" w:customStyle="1" w:styleId="Heading1NoContents">
    <w:name w:val="Heading 1 No Contents"/>
    <w:basedOn w:val="Heading1"/>
    <w:next w:val="BodyText"/>
    <w:uiPriority w:val="10"/>
    <w:qFormat/>
    <w:rsid w:val="005E292E"/>
    <w:pPr>
      <w:spacing w:before="0"/>
      <w:outlineLvl w:val="9"/>
    </w:pPr>
  </w:style>
  <w:style w:type="table" w:customStyle="1" w:styleId="GlobalFundNoSpace">
    <w:name w:val="Global Fund_No Space"/>
    <w:basedOn w:val="TableNormal"/>
    <w:uiPriority w:val="99"/>
    <w:rsid w:val="005E292E"/>
    <w:pPr>
      <w:keepNext/>
      <w:spacing w:after="0" w:line="240" w:lineRule="auto"/>
    </w:pPr>
    <w:rPr>
      <w:color w:val="000000" w:themeColor="text1"/>
    </w:rPr>
    <w:tblPr>
      <w:tblStyleRowBandSize w:val="1"/>
      <w:tblCellMar>
        <w:left w:w="0" w:type="dxa"/>
      </w:tblCellMar>
    </w:tblPr>
    <w:tcPr>
      <w:vAlign w:val="center"/>
    </w:tcPr>
    <w:tblStylePr w:type="firstRow">
      <w:pPr>
        <w:jc w:val="left"/>
      </w:pPr>
      <w:rPr>
        <w:rFonts w:asciiTheme="majorHAnsi" w:hAnsiTheme="majorHAnsi"/>
        <w:b w:val="0"/>
        <w:i w:val="0"/>
        <w:caps w:val="0"/>
        <w:smallCaps w:val="0"/>
        <w:color w:val="auto"/>
        <w:sz w:val="22"/>
      </w:rPr>
      <w:tblPr/>
      <w:tcPr>
        <w:tcBorders>
          <w:bottom w:val="single" w:sz="6" w:space="0" w:color="404040" w:themeColor="text1" w:themeTint="BF"/>
        </w:tcBorders>
      </w:tcPr>
    </w:tblStylePr>
    <w:tblStylePr w:type="lastRow">
      <w:pPr>
        <w:jc w:val="left"/>
      </w:pPr>
      <w:rPr>
        <w:rFonts w:ascii="Arial" w:hAnsi="Arial"/>
        <w:color w:val="000000" w:themeColor="text1"/>
      </w:rPr>
      <w:tblPr/>
      <w:tcPr>
        <w:tcBorders>
          <w:top w:val="single" w:sz="6" w:space="0" w:color="262626" w:themeColor="text1" w:themeTint="D9"/>
          <w:left w:val="nil"/>
          <w:bottom w:val="single" w:sz="6" w:space="0" w:color="262626" w:themeColor="text1" w:themeTint="D9"/>
          <w:right w:val="nil"/>
          <w:insideH w:val="nil"/>
          <w:insideV w:val="nil"/>
          <w:tl2br w:val="nil"/>
          <w:tr2bl w:val="nil"/>
        </w:tcBorders>
      </w:tcPr>
    </w:tblStylePr>
    <w:tblStylePr w:type="band1Horz">
      <w:pPr>
        <w:wordWrap/>
        <w:jc w:val="left"/>
      </w:pPr>
      <w:rPr>
        <w:color w:val="404040" w:themeColor="text1" w:themeTint="BF"/>
      </w:rPr>
      <w:tblPr/>
      <w:tcPr>
        <w:tcBorders>
          <w:top w:val="nil"/>
          <w:left w:val="nil"/>
          <w:bottom w:val="single" w:sz="2" w:space="0" w:color="BFBFBF" w:themeColor="background1" w:themeShade="BF"/>
          <w:right w:val="nil"/>
          <w:insideH w:val="nil"/>
          <w:insideV w:val="nil"/>
          <w:tl2br w:val="nil"/>
          <w:tr2bl w:val="nil"/>
        </w:tcBorders>
      </w:tcPr>
    </w:tblStylePr>
    <w:tblStylePr w:type="band2Horz">
      <w:pPr>
        <w:jc w:val="left"/>
      </w:pPr>
      <w:rPr>
        <w:color w:val="595959" w:themeColor="text1" w:themeTint="A6"/>
      </w:rPr>
      <w:tblPr/>
      <w:tcPr>
        <w:tcBorders>
          <w:top w:val="nil"/>
          <w:left w:val="nil"/>
          <w:bottom w:val="single" w:sz="2" w:space="0" w:color="BFBFBF" w:themeColor="background1" w:themeShade="BF"/>
          <w:right w:val="nil"/>
          <w:insideH w:val="nil"/>
          <w:insideV w:val="nil"/>
          <w:tl2br w:val="nil"/>
          <w:tr2bl w:val="nil"/>
        </w:tcBorders>
      </w:tcPr>
    </w:tblStylePr>
  </w:style>
  <w:style w:type="table" w:customStyle="1" w:styleId="GlobalFundLined">
    <w:name w:val="Global Fund_Lined"/>
    <w:basedOn w:val="GlobalFundNoSpace"/>
    <w:uiPriority w:val="99"/>
    <w:rsid w:val="005E292E"/>
    <w:rPr>
      <w:color w:val="404040" w:themeColor="text1" w:themeTint="BF"/>
    </w:rPr>
    <w:tblPr>
      <w:tblCellMar>
        <w:top w:w="108" w:type="dxa"/>
        <w:bottom w:w="108" w:type="dxa"/>
      </w:tblCellMar>
    </w:tblPr>
    <w:tblStylePr w:type="firstRow">
      <w:pPr>
        <w:jc w:val="left"/>
      </w:pPr>
      <w:rPr>
        <w:rFonts w:asciiTheme="majorHAnsi" w:hAnsiTheme="majorHAnsi"/>
        <w:b w:val="0"/>
        <w:i w:val="0"/>
        <w:caps w:val="0"/>
        <w:smallCaps w:val="0"/>
        <w:color w:val="auto"/>
        <w:sz w:val="22"/>
      </w:rPr>
      <w:tblPr/>
      <w:tcPr>
        <w:tcBorders>
          <w:bottom w:val="single" w:sz="6" w:space="0" w:color="404040" w:themeColor="text1" w:themeTint="BF"/>
        </w:tcBorders>
      </w:tcPr>
    </w:tblStylePr>
    <w:tblStylePr w:type="lastRow">
      <w:pPr>
        <w:jc w:val="left"/>
      </w:pPr>
      <w:rPr>
        <w:rFonts w:ascii="Arial" w:hAnsi="Arial"/>
        <w:color w:val="000000" w:themeColor="text1"/>
      </w:rPr>
      <w:tblPr/>
      <w:tcPr>
        <w:tcBorders>
          <w:top w:val="single" w:sz="6" w:space="0" w:color="000000" w:themeColor="text1"/>
          <w:left w:val="nil"/>
          <w:bottom w:val="single" w:sz="6" w:space="0" w:color="000000" w:themeColor="text1"/>
          <w:right w:val="nil"/>
          <w:insideH w:val="nil"/>
          <w:insideV w:val="nil"/>
          <w:tl2br w:val="nil"/>
          <w:tr2bl w:val="nil"/>
        </w:tcBorders>
      </w:tcPr>
    </w:tblStylePr>
    <w:tblStylePr w:type="band1Horz">
      <w:pPr>
        <w:wordWrap/>
        <w:jc w:val="left"/>
      </w:pPr>
      <w:rPr>
        <w:color w:val="404040" w:themeColor="text1" w:themeTint="BF"/>
      </w:rPr>
      <w:tblPr/>
      <w:tcPr>
        <w:tcBorders>
          <w:top w:val="nil"/>
          <w:left w:val="nil"/>
          <w:bottom w:val="single" w:sz="2" w:space="0" w:color="BFBFBF" w:themeColor="background1" w:themeShade="BF"/>
          <w:right w:val="nil"/>
          <w:insideH w:val="nil"/>
          <w:insideV w:val="nil"/>
          <w:tl2br w:val="nil"/>
          <w:tr2bl w:val="nil"/>
        </w:tcBorders>
      </w:tcPr>
    </w:tblStylePr>
    <w:tblStylePr w:type="band2Horz">
      <w:pPr>
        <w:jc w:val="left"/>
      </w:pPr>
      <w:rPr>
        <w:color w:val="404040" w:themeColor="text1" w:themeTint="BF"/>
      </w:rPr>
      <w:tblPr/>
      <w:tcPr>
        <w:tcBorders>
          <w:top w:val="nil"/>
          <w:left w:val="nil"/>
          <w:bottom w:val="single" w:sz="2" w:space="0" w:color="BFBFBF" w:themeColor="background1" w:themeShade="BF"/>
          <w:right w:val="nil"/>
          <w:insideH w:val="nil"/>
          <w:insideV w:val="nil"/>
          <w:tl2br w:val="nil"/>
          <w:tr2bl w:val="nil"/>
        </w:tcBorders>
      </w:tcPr>
    </w:tblStylePr>
  </w:style>
  <w:style w:type="paragraph" w:customStyle="1" w:styleId="ImageCaption">
    <w:name w:val="Image Caption"/>
    <w:basedOn w:val="BaseText"/>
    <w:uiPriority w:val="29"/>
    <w:qFormat/>
    <w:rsid w:val="00416A18"/>
    <w:pPr>
      <w:spacing w:before="120"/>
      <w:contextualSpacing/>
    </w:pPr>
    <w:rPr>
      <w:color w:val="000000" w:themeColor="text1"/>
      <w:sz w:val="12"/>
      <w:szCs w:val="12"/>
    </w:rPr>
  </w:style>
  <w:style w:type="character" w:customStyle="1" w:styleId="ImageCaptionHeading">
    <w:name w:val="Image Caption Heading"/>
    <w:basedOn w:val="DefaultParagraphFont"/>
    <w:uiPriority w:val="29"/>
    <w:qFormat/>
    <w:rsid w:val="005E292E"/>
    <w:rPr>
      <w:rFonts w:asciiTheme="majorHAnsi" w:hAnsiTheme="majorHAnsi"/>
      <w:color w:val="000000" w:themeColor="text1"/>
    </w:rPr>
  </w:style>
  <w:style w:type="paragraph" w:customStyle="1" w:styleId="Note">
    <w:name w:val="Note"/>
    <w:basedOn w:val="BodyText"/>
    <w:uiPriority w:val="29"/>
    <w:qFormat/>
    <w:rsid w:val="005E292E"/>
    <w:pPr>
      <w:spacing w:after="0"/>
    </w:pPr>
    <w:rPr>
      <w:sz w:val="16"/>
      <w:szCs w:val="16"/>
    </w:rPr>
  </w:style>
  <w:style w:type="paragraph" w:styleId="FootnoteText">
    <w:name w:val="footnote text"/>
    <w:basedOn w:val="Normal"/>
    <w:link w:val="FootnoteTextChar"/>
    <w:uiPriority w:val="99"/>
    <w:unhideWhenUsed/>
    <w:rsid w:val="005E292E"/>
    <w:pPr>
      <w:spacing w:after="0" w:line="240" w:lineRule="auto"/>
    </w:pPr>
    <w:rPr>
      <w:color w:val="000000" w:themeColor="text1"/>
      <w:sz w:val="16"/>
      <w:szCs w:val="20"/>
    </w:rPr>
  </w:style>
  <w:style w:type="character" w:customStyle="1" w:styleId="FootnoteTextChar">
    <w:name w:val="Footnote Text Char"/>
    <w:basedOn w:val="DefaultParagraphFont"/>
    <w:link w:val="FootnoteText"/>
    <w:uiPriority w:val="99"/>
    <w:rsid w:val="005E292E"/>
    <w:rPr>
      <w:color w:val="000000" w:themeColor="text1"/>
      <w:sz w:val="16"/>
      <w:szCs w:val="20"/>
      <w:lang w:val="en-US"/>
    </w:rPr>
  </w:style>
  <w:style w:type="character" w:styleId="FootnoteReference">
    <w:name w:val="footnote reference"/>
    <w:basedOn w:val="DefaultParagraphFont"/>
    <w:uiPriority w:val="99"/>
    <w:unhideWhenUsed/>
    <w:rsid w:val="005E292E"/>
    <w:rPr>
      <w:vertAlign w:val="superscript"/>
    </w:rPr>
  </w:style>
  <w:style w:type="numbering" w:customStyle="1" w:styleId="AlphaList">
    <w:name w:val="Alpha List"/>
    <w:uiPriority w:val="99"/>
    <w:rsid w:val="005E292E"/>
    <w:pPr>
      <w:numPr>
        <w:numId w:val="7"/>
      </w:numPr>
    </w:pPr>
  </w:style>
  <w:style w:type="paragraph" w:customStyle="1" w:styleId="ListAlpha">
    <w:name w:val="List Alpha"/>
    <w:basedOn w:val="BodyText"/>
    <w:uiPriority w:val="1"/>
    <w:qFormat/>
    <w:rsid w:val="005E292E"/>
    <w:pPr>
      <w:numPr>
        <w:numId w:val="8"/>
      </w:numPr>
      <w:contextualSpacing/>
    </w:pPr>
  </w:style>
  <w:style w:type="paragraph" w:customStyle="1" w:styleId="PageNo">
    <w:name w:val="Page No"/>
    <w:basedOn w:val="BodyText"/>
    <w:uiPriority w:val="49"/>
    <w:qFormat/>
    <w:rsid w:val="005E292E"/>
    <w:pPr>
      <w:spacing w:after="0" w:line="240" w:lineRule="auto"/>
      <w:jc w:val="right"/>
    </w:pPr>
    <w:rPr>
      <w:rFonts w:asciiTheme="majorHAnsi" w:hAnsiTheme="majorHAnsi"/>
      <w:color w:val="000000" w:themeColor="text1"/>
      <w:sz w:val="18"/>
      <w:szCs w:val="16"/>
    </w:rPr>
  </w:style>
  <w:style w:type="character" w:styleId="PlaceholderText">
    <w:name w:val="Placeholder Text"/>
    <w:basedOn w:val="DefaultParagraphFont"/>
    <w:uiPriority w:val="99"/>
    <w:semiHidden/>
    <w:rsid w:val="005E292E"/>
    <w:rPr>
      <w:color w:val="808080"/>
    </w:rPr>
  </w:style>
  <w:style w:type="paragraph" w:customStyle="1" w:styleId="Table-ChartHeading">
    <w:name w:val="Table - Chart Heading"/>
    <w:basedOn w:val="BaseHeading"/>
    <w:next w:val="Normal"/>
    <w:uiPriority w:val="11"/>
    <w:qFormat/>
    <w:rsid w:val="005E292E"/>
    <w:pPr>
      <w:contextualSpacing/>
    </w:pPr>
    <w:rPr>
      <w:sz w:val="24"/>
    </w:rPr>
  </w:style>
  <w:style w:type="paragraph" w:customStyle="1" w:styleId="Table-ChartSubheading">
    <w:name w:val="Table - Chart Subheading"/>
    <w:basedOn w:val="BaseText"/>
    <w:uiPriority w:val="11"/>
    <w:qFormat/>
    <w:rsid w:val="005E292E"/>
    <w:pPr>
      <w:contextualSpacing/>
    </w:pPr>
  </w:style>
  <w:style w:type="table" w:styleId="PlainTable1">
    <w:name w:val="Plain Table 1"/>
    <w:basedOn w:val="TableNormal"/>
    <w:uiPriority w:val="41"/>
    <w:rsid w:val="00416A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416A18"/>
    <w:rPr>
      <w:sz w:val="16"/>
      <w:szCs w:val="16"/>
      <w:lang w:val="en-US"/>
    </w:rPr>
  </w:style>
  <w:style w:type="paragraph" w:styleId="CommentText">
    <w:name w:val="annotation text"/>
    <w:basedOn w:val="Normal"/>
    <w:link w:val="CommentTextChar"/>
    <w:uiPriority w:val="99"/>
    <w:unhideWhenUsed/>
    <w:rsid w:val="00416A18"/>
    <w:pPr>
      <w:spacing w:after="240" w:line="240" w:lineRule="auto"/>
    </w:pPr>
    <w:rPr>
      <w:rFonts w:ascii="Arial" w:hAnsi="Arial"/>
      <w:sz w:val="20"/>
      <w:szCs w:val="20"/>
    </w:rPr>
  </w:style>
  <w:style w:type="character" w:customStyle="1" w:styleId="CommentTextChar">
    <w:name w:val="Comment Text Char"/>
    <w:basedOn w:val="DefaultParagraphFont"/>
    <w:link w:val="CommentText"/>
    <w:uiPriority w:val="99"/>
    <w:rsid w:val="00416A18"/>
    <w:rPr>
      <w:rFonts w:ascii="Arial" w:hAnsi="Arial"/>
      <w:sz w:val="20"/>
      <w:szCs w:val="20"/>
      <w:lang w:val="en-US"/>
    </w:rPr>
  </w:style>
  <w:style w:type="character" w:styleId="FollowedHyperlink">
    <w:name w:val="FollowedHyperlink"/>
    <w:basedOn w:val="DefaultParagraphFont"/>
    <w:uiPriority w:val="99"/>
    <w:semiHidden/>
    <w:unhideWhenUsed/>
    <w:rsid w:val="00416A18"/>
    <w:rPr>
      <w:color w:val="2E4DF9" w:themeColor="followedHyperlink"/>
      <w:u w:val="single"/>
    </w:rPr>
  </w:style>
  <w:style w:type="paragraph" w:customStyle="1" w:styleId="SECTIONBackCover">
    <w:name w:val="__SECTION BackCover"/>
    <w:basedOn w:val="Normal"/>
    <w:next w:val="BodyText"/>
    <w:semiHidden/>
    <w:rsid w:val="006536CC"/>
    <w:pPr>
      <w:spacing w:after="0" w:line="160" w:lineRule="exact"/>
    </w:pPr>
    <w:rPr>
      <w:color w:val="0000FF"/>
      <w:sz w:val="18"/>
      <w:lang w:val="en-GB"/>
    </w:rPr>
  </w:style>
  <w:style w:type="paragraph" w:customStyle="1" w:styleId="CoverInformation">
    <w:name w:val="Cover Information"/>
    <w:basedOn w:val="BodyText"/>
    <w:uiPriority w:val="39"/>
    <w:qFormat/>
    <w:rsid w:val="00E9389F"/>
    <w:pPr>
      <w:spacing w:after="0"/>
    </w:pPr>
    <w:rPr>
      <w:sz w:val="16"/>
      <w:szCs w:val="16"/>
    </w:rPr>
  </w:style>
  <w:style w:type="paragraph" w:styleId="CommentSubject">
    <w:name w:val="annotation subject"/>
    <w:basedOn w:val="CommentText"/>
    <w:next w:val="CommentText"/>
    <w:link w:val="CommentSubjectChar"/>
    <w:uiPriority w:val="99"/>
    <w:semiHidden/>
    <w:unhideWhenUsed/>
    <w:rsid w:val="00D31CE1"/>
    <w:pPr>
      <w:spacing w:after="120"/>
    </w:pPr>
    <w:rPr>
      <w:rFonts w:asciiTheme="minorHAnsi" w:hAnsiTheme="minorHAnsi"/>
      <w:b/>
      <w:bCs/>
    </w:rPr>
  </w:style>
  <w:style w:type="character" w:customStyle="1" w:styleId="CommentSubjectChar">
    <w:name w:val="Comment Subject Char"/>
    <w:basedOn w:val="CommentTextChar"/>
    <w:link w:val="CommentSubject"/>
    <w:uiPriority w:val="99"/>
    <w:semiHidden/>
    <w:rsid w:val="00D31CE1"/>
    <w:rPr>
      <w:rFonts w:ascii="Arial" w:hAnsi="Arial"/>
      <w:b/>
      <w:bCs/>
      <w:sz w:val="20"/>
      <w:szCs w:val="20"/>
      <w:lang w:val="en-US"/>
    </w:rPr>
  </w:style>
  <w:style w:type="table" w:customStyle="1" w:styleId="TableGrid3">
    <w:name w:val="Table Grid3"/>
    <w:basedOn w:val="TableNormal"/>
    <w:next w:val="TableGrid"/>
    <w:uiPriority w:val="39"/>
    <w:rsid w:val="00512CF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C4F5C"/>
    <w:pPr>
      <w:spacing w:after="0" w:line="240" w:lineRule="auto"/>
    </w:pPr>
    <w:rPr>
      <w:lang w:val="en-US"/>
    </w:rPr>
  </w:style>
  <w:style w:type="character" w:customStyle="1" w:styleId="ListParagraphChar">
    <w:name w:val="List Paragraph Char"/>
    <w:aliases w:val="Paragraph Char,Header 2 Char,Head1.1 Char,References Char,Paragraphe de liste1 Char,List Paragraph1 Char,Liste couleur - Accent 11 Char,Liste couleur - Accent 111 Char,Paragraphe de liste3 Char,List Paragraph2 Char,Bullets Char"/>
    <w:basedOn w:val="DefaultParagraphFont"/>
    <w:link w:val="ListParagraph"/>
    <w:uiPriority w:val="34"/>
    <w:qFormat/>
    <w:locked/>
    <w:rsid w:val="009F6F17"/>
    <w:rPr>
      <w:lang w:val="en-US"/>
    </w:rPr>
  </w:style>
  <w:style w:type="character" w:styleId="UnresolvedMention">
    <w:name w:val="Unresolved Mention"/>
    <w:basedOn w:val="DefaultParagraphFont"/>
    <w:uiPriority w:val="99"/>
    <w:unhideWhenUsed/>
    <w:rsid w:val="00F565ED"/>
    <w:rPr>
      <w:color w:val="605E5C"/>
      <w:shd w:val="clear" w:color="auto" w:fill="E1DFDD"/>
    </w:rPr>
  </w:style>
  <w:style w:type="character" w:styleId="Mention">
    <w:name w:val="Mention"/>
    <w:basedOn w:val="DefaultParagraphFont"/>
    <w:uiPriority w:val="99"/>
    <w:unhideWhenUsed/>
    <w:rsid w:val="00F565ED"/>
    <w:rPr>
      <w:color w:val="2B579A"/>
      <w:shd w:val="clear" w:color="auto" w:fill="E1DFDD"/>
    </w:rPr>
  </w:style>
  <w:style w:type="paragraph" w:styleId="EndnoteText">
    <w:name w:val="endnote text"/>
    <w:basedOn w:val="Normal"/>
    <w:link w:val="EndnoteTextChar"/>
    <w:uiPriority w:val="99"/>
    <w:semiHidden/>
    <w:unhideWhenUsed/>
    <w:rsid w:val="00212B2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2B23"/>
    <w:rPr>
      <w:sz w:val="20"/>
      <w:szCs w:val="20"/>
      <w:lang w:val="en-US"/>
    </w:rPr>
  </w:style>
  <w:style w:type="character" w:styleId="EndnoteReference">
    <w:name w:val="endnote reference"/>
    <w:basedOn w:val="DefaultParagraphFont"/>
    <w:uiPriority w:val="99"/>
    <w:semiHidden/>
    <w:unhideWhenUsed/>
    <w:rsid w:val="00212B23"/>
    <w:rPr>
      <w:vertAlign w:val="superscript"/>
    </w:rPr>
  </w:style>
  <w:style w:type="table" w:styleId="PlainTable5">
    <w:name w:val="Plain Table 5"/>
    <w:basedOn w:val="TableNormal"/>
    <w:uiPriority w:val="45"/>
    <w:rsid w:val="00627DE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7DE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alloonText">
    <w:name w:val="Balloon Text"/>
    <w:basedOn w:val="Normal"/>
    <w:link w:val="BalloonTextChar"/>
    <w:uiPriority w:val="99"/>
    <w:semiHidden/>
    <w:unhideWhenUsed/>
    <w:rsid w:val="00837A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A0C"/>
    <w:rPr>
      <w:rFonts w:ascii="Segoe UI" w:hAnsi="Segoe UI" w:cs="Segoe UI"/>
      <w:sz w:val="18"/>
      <w:szCs w:val="18"/>
      <w:lang w:val="en-US"/>
    </w:rPr>
  </w:style>
  <w:style w:type="paragraph" w:styleId="Bibliography">
    <w:name w:val="Bibliography"/>
    <w:basedOn w:val="Normal"/>
    <w:next w:val="Normal"/>
    <w:uiPriority w:val="37"/>
    <w:semiHidden/>
    <w:unhideWhenUsed/>
    <w:rsid w:val="00837A0C"/>
  </w:style>
  <w:style w:type="paragraph" w:styleId="BlockText">
    <w:name w:val="Block Text"/>
    <w:basedOn w:val="Normal"/>
    <w:uiPriority w:val="99"/>
    <w:semiHidden/>
    <w:unhideWhenUsed/>
    <w:rsid w:val="00837A0C"/>
    <w:pPr>
      <w:pBdr>
        <w:top w:val="single" w:sz="2" w:space="10" w:color="EE0C3D" w:themeColor="accent1"/>
        <w:left w:val="single" w:sz="2" w:space="10" w:color="EE0C3D" w:themeColor="accent1"/>
        <w:bottom w:val="single" w:sz="2" w:space="10" w:color="EE0C3D" w:themeColor="accent1"/>
        <w:right w:val="single" w:sz="2" w:space="10" w:color="EE0C3D" w:themeColor="accent1"/>
      </w:pBdr>
      <w:ind w:left="1152" w:right="1152"/>
    </w:pPr>
    <w:rPr>
      <w:rFonts w:eastAsiaTheme="minorEastAsia"/>
      <w:i/>
      <w:iCs/>
      <w:color w:val="EE0C3D" w:themeColor="accent1"/>
    </w:rPr>
  </w:style>
  <w:style w:type="paragraph" w:styleId="BodyText2">
    <w:name w:val="Body Text 2"/>
    <w:basedOn w:val="Normal"/>
    <w:link w:val="BodyText2Char"/>
    <w:uiPriority w:val="99"/>
    <w:semiHidden/>
    <w:unhideWhenUsed/>
    <w:rsid w:val="00837A0C"/>
    <w:pPr>
      <w:spacing w:line="480" w:lineRule="auto"/>
    </w:pPr>
  </w:style>
  <w:style w:type="character" w:customStyle="1" w:styleId="BodyText2Char">
    <w:name w:val="Body Text 2 Char"/>
    <w:basedOn w:val="DefaultParagraphFont"/>
    <w:link w:val="BodyText2"/>
    <w:uiPriority w:val="99"/>
    <w:semiHidden/>
    <w:rsid w:val="00837A0C"/>
    <w:rPr>
      <w:lang w:val="en-US"/>
    </w:rPr>
  </w:style>
  <w:style w:type="paragraph" w:styleId="BodyText3">
    <w:name w:val="Body Text 3"/>
    <w:basedOn w:val="Normal"/>
    <w:link w:val="BodyText3Char"/>
    <w:uiPriority w:val="99"/>
    <w:semiHidden/>
    <w:unhideWhenUsed/>
    <w:rsid w:val="00837A0C"/>
    <w:rPr>
      <w:sz w:val="16"/>
      <w:szCs w:val="16"/>
    </w:rPr>
  </w:style>
  <w:style w:type="character" w:customStyle="1" w:styleId="BodyText3Char">
    <w:name w:val="Body Text 3 Char"/>
    <w:basedOn w:val="DefaultParagraphFont"/>
    <w:link w:val="BodyText3"/>
    <w:uiPriority w:val="99"/>
    <w:semiHidden/>
    <w:rsid w:val="00837A0C"/>
    <w:rPr>
      <w:sz w:val="16"/>
      <w:szCs w:val="16"/>
      <w:lang w:val="en-US"/>
    </w:rPr>
  </w:style>
  <w:style w:type="paragraph" w:styleId="BodyTextFirstIndent">
    <w:name w:val="Body Text First Indent"/>
    <w:basedOn w:val="BodyText"/>
    <w:link w:val="BodyTextFirstIndentChar"/>
    <w:uiPriority w:val="99"/>
    <w:semiHidden/>
    <w:unhideWhenUsed/>
    <w:rsid w:val="00837A0C"/>
    <w:pPr>
      <w:spacing w:line="240" w:lineRule="atLeast"/>
      <w:ind w:firstLine="360"/>
    </w:pPr>
    <w:rPr>
      <w:sz w:val="22"/>
      <w:lang w:val="en-US"/>
    </w:rPr>
  </w:style>
  <w:style w:type="character" w:customStyle="1" w:styleId="BodyTextFirstIndentChar">
    <w:name w:val="Body Text First Indent Char"/>
    <w:basedOn w:val="BodyTextChar"/>
    <w:link w:val="BodyTextFirstIndent"/>
    <w:uiPriority w:val="99"/>
    <w:semiHidden/>
    <w:rsid w:val="00837A0C"/>
    <w:rPr>
      <w:sz w:val="24"/>
      <w:lang w:val="en-US"/>
    </w:rPr>
  </w:style>
  <w:style w:type="paragraph" w:styleId="BodyTextIndent">
    <w:name w:val="Body Text Indent"/>
    <w:basedOn w:val="Normal"/>
    <w:link w:val="BodyTextIndentChar"/>
    <w:uiPriority w:val="99"/>
    <w:semiHidden/>
    <w:unhideWhenUsed/>
    <w:rsid w:val="00837A0C"/>
    <w:pPr>
      <w:ind w:left="360"/>
    </w:pPr>
  </w:style>
  <w:style w:type="character" w:customStyle="1" w:styleId="BodyTextIndentChar">
    <w:name w:val="Body Text Indent Char"/>
    <w:basedOn w:val="DefaultParagraphFont"/>
    <w:link w:val="BodyTextIndent"/>
    <w:uiPriority w:val="99"/>
    <w:semiHidden/>
    <w:rsid w:val="00837A0C"/>
    <w:rPr>
      <w:lang w:val="en-US"/>
    </w:rPr>
  </w:style>
  <w:style w:type="paragraph" w:styleId="BodyTextFirstIndent2">
    <w:name w:val="Body Text First Indent 2"/>
    <w:basedOn w:val="BodyTextIndent"/>
    <w:link w:val="BodyTextFirstIndent2Char"/>
    <w:uiPriority w:val="99"/>
    <w:semiHidden/>
    <w:unhideWhenUsed/>
    <w:rsid w:val="00837A0C"/>
    <w:pPr>
      <w:ind w:firstLine="360"/>
    </w:pPr>
  </w:style>
  <w:style w:type="character" w:customStyle="1" w:styleId="BodyTextFirstIndent2Char">
    <w:name w:val="Body Text First Indent 2 Char"/>
    <w:basedOn w:val="BodyTextIndentChar"/>
    <w:link w:val="BodyTextFirstIndent2"/>
    <w:uiPriority w:val="99"/>
    <w:semiHidden/>
    <w:rsid w:val="00837A0C"/>
    <w:rPr>
      <w:lang w:val="en-US"/>
    </w:rPr>
  </w:style>
  <w:style w:type="paragraph" w:styleId="BodyTextIndent2">
    <w:name w:val="Body Text Indent 2"/>
    <w:basedOn w:val="Normal"/>
    <w:link w:val="BodyTextIndent2Char"/>
    <w:uiPriority w:val="99"/>
    <w:semiHidden/>
    <w:unhideWhenUsed/>
    <w:rsid w:val="00837A0C"/>
    <w:pPr>
      <w:spacing w:line="480" w:lineRule="auto"/>
      <w:ind w:left="360"/>
    </w:pPr>
  </w:style>
  <w:style w:type="character" w:customStyle="1" w:styleId="BodyTextIndent2Char">
    <w:name w:val="Body Text Indent 2 Char"/>
    <w:basedOn w:val="DefaultParagraphFont"/>
    <w:link w:val="BodyTextIndent2"/>
    <w:uiPriority w:val="99"/>
    <w:semiHidden/>
    <w:rsid w:val="00837A0C"/>
    <w:rPr>
      <w:lang w:val="en-US"/>
    </w:rPr>
  </w:style>
  <w:style w:type="paragraph" w:styleId="BodyTextIndent3">
    <w:name w:val="Body Text Indent 3"/>
    <w:basedOn w:val="Normal"/>
    <w:link w:val="BodyTextIndent3Char"/>
    <w:uiPriority w:val="99"/>
    <w:semiHidden/>
    <w:unhideWhenUsed/>
    <w:rsid w:val="00837A0C"/>
    <w:pPr>
      <w:ind w:left="360"/>
    </w:pPr>
    <w:rPr>
      <w:sz w:val="16"/>
      <w:szCs w:val="16"/>
    </w:rPr>
  </w:style>
  <w:style w:type="character" w:customStyle="1" w:styleId="BodyTextIndent3Char">
    <w:name w:val="Body Text Indent 3 Char"/>
    <w:basedOn w:val="DefaultParagraphFont"/>
    <w:link w:val="BodyTextIndent3"/>
    <w:uiPriority w:val="99"/>
    <w:semiHidden/>
    <w:rsid w:val="00837A0C"/>
    <w:rPr>
      <w:sz w:val="16"/>
      <w:szCs w:val="16"/>
      <w:lang w:val="en-US"/>
    </w:rPr>
  </w:style>
  <w:style w:type="paragraph" w:styleId="Caption">
    <w:name w:val="caption"/>
    <w:basedOn w:val="Normal"/>
    <w:next w:val="Normal"/>
    <w:uiPriority w:val="35"/>
    <w:semiHidden/>
    <w:unhideWhenUsed/>
    <w:qFormat/>
    <w:rsid w:val="00837A0C"/>
    <w:pPr>
      <w:spacing w:after="200" w:line="240" w:lineRule="auto"/>
    </w:pPr>
    <w:rPr>
      <w:i/>
      <w:iCs/>
      <w:color w:val="939393" w:themeColor="text2"/>
      <w:sz w:val="18"/>
      <w:szCs w:val="18"/>
    </w:rPr>
  </w:style>
  <w:style w:type="paragraph" w:styleId="Closing">
    <w:name w:val="Closing"/>
    <w:basedOn w:val="Normal"/>
    <w:link w:val="ClosingChar"/>
    <w:uiPriority w:val="99"/>
    <w:semiHidden/>
    <w:unhideWhenUsed/>
    <w:rsid w:val="00837A0C"/>
    <w:pPr>
      <w:spacing w:after="0" w:line="240" w:lineRule="auto"/>
      <w:ind w:left="4320"/>
    </w:pPr>
  </w:style>
  <w:style w:type="character" w:customStyle="1" w:styleId="ClosingChar">
    <w:name w:val="Closing Char"/>
    <w:basedOn w:val="DefaultParagraphFont"/>
    <w:link w:val="Closing"/>
    <w:uiPriority w:val="99"/>
    <w:semiHidden/>
    <w:rsid w:val="00837A0C"/>
    <w:rPr>
      <w:lang w:val="en-US"/>
    </w:rPr>
  </w:style>
  <w:style w:type="paragraph" w:styleId="Date">
    <w:name w:val="Date"/>
    <w:basedOn w:val="Normal"/>
    <w:next w:val="Normal"/>
    <w:link w:val="DateChar"/>
    <w:uiPriority w:val="99"/>
    <w:semiHidden/>
    <w:unhideWhenUsed/>
    <w:rsid w:val="00837A0C"/>
  </w:style>
  <w:style w:type="character" w:customStyle="1" w:styleId="DateChar">
    <w:name w:val="Date Char"/>
    <w:basedOn w:val="DefaultParagraphFont"/>
    <w:link w:val="Date"/>
    <w:uiPriority w:val="99"/>
    <w:semiHidden/>
    <w:rsid w:val="00837A0C"/>
    <w:rPr>
      <w:lang w:val="en-US"/>
    </w:rPr>
  </w:style>
  <w:style w:type="paragraph" w:styleId="DocumentMap">
    <w:name w:val="Document Map"/>
    <w:basedOn w:val="Normal"/>
    <w:link w:val="DocumentMapChar"/>
    <w:uiPriority w:val="99"/>
    <w:semiHidden/>
    <w:unhideWhenUsed/>
    <w:rsid w:val="00837A0C"/>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37A0C"/>
    <w:rPr>
      <w:rFonts w:ascii="Segoe UI" w:hAnsi="Segoe UI" w:cs="Segoe UI"/>
      <w:sz w:val="16"/>
      <w:szCs w:val="16"/>
      <w:lang w:val="en-US"/>
    </w:rPr>
  </w:style>
  <w:style w:type="paragraph" w:styleId="E-mailSignature">
    <w:name w:val="E-mail Signature"/>
    <w:basedOn w:val="Normal"/>
    <w:link w:val="E-mailSignatureChar"/>
    <w:uiPriority w:val="99"/>
    <w:semiHidden/>
    <w:unhideWhenUsed/>
    <w:rsid w:val="00837A0C"/>
    <w:pPr>
      <w:spacing w:after="0" w:line="240" w:lineRule="auto"/>
    </w:pPr>
  </w:style>
  <w:style w:type="character" w:customStyle="1" w:styleId="E-mailSignatureChar">
    <w:name w:val="E-mail Signature Char"/>
    <w:basedOn w:val="DefaultParagraphFont"/>
    <w:link w:val="E-mailSignature"/>
    <w:uiPriority w:val="99"/>
    <w:semiHidden/>
    <w:rsid w:val="00837A0C"/>
    <w:rPr>
      <w:lang w:val="en-US"/>
    </w:rPr>
  </w:style>
  <w:style w:type="paragraph" w:styleId="EnvelopeAddress">
    <w:name w:val="envelope address"/>
    <w:basedOn w:val="Normal"/>
    <w:uiPriority w:val="99"/>
    <w:semiHidden/>
    <w:unhideWhenUsed/>
    <w:rsid w:val="00837A0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37A0C"/>
    <w:pPr>
      <w:spacing w:after="0" w:line="240" w:lineRule="auto"/>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837A0C"/>
    <w:rPr>
      <w:rFonts w:asciiTheme="majorHAnsi" w:eastAsiaTheme="majorEastAsia" w:hAnsiTheme="majorHAnsi" w:cstheme="majorBidi"/>
      <w:color w:val="76061E" w:themeColor="accent1" w:themeShade="7F"/>
      <w:lang w:val="en-US"/>
    </w:rPr>
  </w:style>
  <w:style w:type="character" w:customStyle="1" w:styleId="Heading7Char">
    <w:name w:val="Heading 7 Char"/>
    <w:basedOn w:val="DefaultParagraphFont"/>
    <w:link w:val="Heading7"/>
    <w:uiPriority w:val="9"/>
    <w:semiHidden/>
    <w:rsid w:val="00837A0C"/>
    <w:rPr>
      <w:rFonts w:asciiTheme="majorHAnsi" w:eastAsiaTheme="majorEastAsia" w:hAnsiTheme="majorHAnsi" w:cstheme="majorBidi"/>
      <w:i/>
      <w:iCs/>
      <w:color w:val="76061E" w:themeColor="accent1" w:themeShade="7F"/>
      <w:lang w:val="en-US"/>
    </w:rPr>
  </w:style>
  <w:style w:type="character" w:customStyle="1" w:styleId="Heading8Char">
    <w:name w:val="Heading 8 Char"/>
    <w:basedOn w:val="DefaultParagraphFont"/>
    <w:link w:val="Heading8"/>
    <w:uiPriority w:val="9"/>
    <w:semiHidden/>
    <w:rsid w:val="00837A0C"/>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837A0C"/>
    <w:rPr>
      <w:rFonts w:asciiTheme="majorHAnsi" w:eastAsiaTheme="majorEastAsia" w:hAnsiTheme="majorHAnsi" w:cstheme="majorBidi"/>
      <w:i/>
      <w:iCs/>
      <w:color w:val="272727" w:themeColor="text1" w:themeTint="D8"/>
      <w:sz w:val="21"/>
      <w:szCs w:val="21"/>
      <w:lang w:val="en-US"/>
    </w:rPr>
  </w:style>
  <w:style w:type="paragraph" w:styleId="HTMLAddress">
    <w:name w:val="HTML Address"/>
    <w:basedOn w:val="Normal"/>
    <w:link w:val="HTMLAddressChar"/>
    <w:uiPriority w:val="99"/>
    <w:semiHidden/>
    <w:unhideWhenUsed/>
    <w:rsid w:val="00837A0C"/>
    <w:pPr>
      <w:spacing w:after="0" w:line="240" w:lineRule="auto"/>
    </w:pPr>
    <w:rPr>
      <w:i/>
      <w:iCs/>
    </w:rPr>
  </w:style>
  <w:style w:type="character" w:customStyle="1" w:styleId="HTMLAddressChar">
    <w:name w:val="HTML Address Char"/>
    <w:basedOn w:val="DefaultParagraphFont"/>
    <w:link w:val="HTMLAddress"/>
    <w:uiPriority w:val="99"/>
    <w:semiHidden/>
    <w:rsid w:val="00837A0C"/>
    <w:rPr>
      <w:i/>
      <w:iCs/>
      <w:lang w:val="en-US"/>
    </w:rPr>
  </w:style>
  <w:style w:type="paragraph" w:styleId="HTMLPreformatted">
    <w:name w:val="HTML Preformatted"/>
    <w:basedOn w:val="Normal"/>
    <w:link w:val="HTMLPreformattedChar"/>
    <w:uiPriority w:val="99"/>
    <w:semiHidden/>
    <w:unhideWhenUsed/>
    <w:rsid w:val="00837A0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37A0C"/>
    <w:rPr>
      <w:rFonts w:ascii="Consolas" w:hAnsi="Consolas"/>
      <w:sz w:val="20"/>
      <w:szCs w:val="20"/>
      <w:lang w:val="en-US"/>
    </w:rPr>
  </w:style>
  <w:style w:type="paragraph" w:styleId="Index1">
    <w:name w:val="index 1"/>
    <w:basedOn w:val="Normal"/>
    <w:next w:val="Normal"/>
    <w:autoRedefine/>
    <w:uiPriority w:val="99"/>
    <w:semiHidden/>
    <w:unhideWhenUsed/>
    <w:rsid w:val="00837A0C"/>
    <w:pPr>
      <w:spacing w:after="0" w:line="240" w:lineRule="auto"/>
      <w:ind w:left="220" w:hanging="220"/>
    </w:pPr>
  </w:style>
  <w:style w:type="paragraph" w:styleId="Index2">
    <w:name w:val="index 2"/>
    <w:basedOn w:val="Normal"/>
    <w:next w:val="Normal"/>
    <w:autoRedefine/>
    <w:uiPriority w:val="99"/>
    <w:semiHidden/>
    <w:unhideWhenUsed/>
    <w:rsid w:val="00837A0C"/>
    <w:pPr>
      <w:spacing w:after="0" w:line="240" w:lineRule="auto"/>
      <w:ind w:left="440" w:hanging="220"/>
    </w:pPr>
  </w:style>
  <w:style w:type="paragraph" w:styleId="Index3">
    <w:name w:val="index 3"/>
    <w:basedOn w:val="Normal"/>
    <w:next w:val="Normal"/>
    <w:autoRedefine/>
    <w:uiPriority w:val="99"/>
    <w:semiHidden/>
    <w:unhideWhenUsed/>
    <w:rsid w:val="00837A0C"/>
    <w:pPr>
      <w:spacing w:after="0" w:line="240" w:lineRule="auto"/>
      <w:ind w:left="660" w:hanging="220"/>
    </w:pPr>
  </w:style>
  <w:style w:type="paragraph" w:styleId="Index4">
    <w:name w:val="index 4"/>
    <w:basedOn w:val="Normal"/>
    <w:next w:val="Normal"/>
    <w:autoRedefine/>
    <w:uiPriority w:val="99"/>
    <w:semiHidden/>
    <w:unhideWhenUsed/>
    <w:rsid w:val="00837A0C"/>
    <w:pPr>
      <w:spacing w:after="0" w:line="240" w:lineRule="auto"/>
      <w:ind w:left="880" w:hanging="220"/>
    </w:pPr>
  </w:style>
  <w:style w:type="paragraph" w:styleId="Index5">
    <w:name w:val="index 5"/>
    <w:basedOn w:val="Normal"/>
    <w:next w:val="Normal"/>
    <w:autoRedefine/>
    <w:uiPriority w:val="99"/>
    <w:semiHidden/>
    <w:unhideWhenUsed/>
    <w:rsid w:val="00837A0C"/>
    <w:pPr>
      <w:spacing w:after="0" w:line="240" w:lineRule="auto"/>
      <w:ind w:left="1100" w:hanging="220"/>
    </w:pPr>
  </w:style>
  <w:style w:type="paragraph" w:styleId="Index6">
    <w:name w:val="index 6"/>
    <w:basedOn w:val="Normal"/>
    <w:next w:val="Normal"/>
    <w:autoRedefine/>
    <w:uiPriority w:val="99"/>
    <w:semiHidden/>
    <w:unhideWhenUsed/>
    <w:rsid w:val="00837A0C"/>
    <w:pPr>
      <w:spacing w:after="0" w:line="240" w:lineRule="auto"/>
      <w:ind w:left="1320" w:hanging="220"/>
    </w:pPr>
  </w:style>
  <w:style w:type="paragraph" w:styleId="Index7">
    <w:name w:val="index 7"/>
    <w:basedOn w:val="Normal"/>
    <w:next w:val="Normal"/>
    <w:autoRedefine/>
    <w:uiPriority w:val="99"/>
    <w:semiHidden/>
    <w:unhideWhenUsed/>
    <w:rsid w:val="00837A0C"/>
    <w:pPr>
      <w:spacing w:after="0" w:line="240" w:lineRule="auto"/>
      <w:ind w:left="1540" w:hanging="220"/>
    </w:pPr>
  </w:style>
  <w:style w:type="paragraph" w:styleId="Index8">
    <w:name w:val="index 8"/>
    <w:basedOn w:val="Normal"/>
    <w:next w:val="Normal"/>
    <w:autoRedefine/>
    <w:uiPriority w:val="99"/>
    <w:semiHidden/>
    <w:unhideWhenUsed/>
    <w:rsid w:val="00837A0C"/>
    <w:pPr>
      <w:spacing w:after="0" w:line="240" w:lineRule="auto"/>
      <w:ind w:left="1760" w:hanging="220"/>
    </w:pPr>
  </w:style>
  <w:style w:type="paragraph" w:styleId="Index9">
    <w:name w:val="index 9"/>
    <w:basedOn w:val="Normal"/>
    <w:next w:val="Normal"/>
    <w:autoRedefine/>
    <w:uiPriority w:val="99"/>
    <w:semiHidden/>
    <w:unhideWhenUsed/>
    <w:rsid w:val="00837A0C"/>
    <w:pPr>
      <w:spacing w:after="0" w:line="240" w:lineRule="auto"/>
      <w:ind w:left="1980" w:hanging="220"/>
    </w:pPr>
  </w:style>
  <w:style w:type="paragraph" w:styleId="IndexHeading">
    <w:name w:val="index heading"/>
    <w:basedOn w:val="Normal"/>
    <w:next w:val="Index1"/>
    <w:uiPriority w:val="99"/>
    <w:semiHidden/>
    <w:unhideWhenUsed/>
    <w:rsid w:val="00837A0C"/>
    <w:rPr>
      <w:rFonts w:asciiTheme="majorHAnsi" w:eastAsiaTheme="majorEastAsia" w:hAnsiTheme="majorHAnsi" w:cstheme="majorBidi"/>
      <w:b/>
      <w:bCs/>
    </w:rPr>
  </w:style>
  <w:style w:type="paragraph" w:styleId="List">
    <w:name w:val="List"/>
    <w:basedOn w:val="Normal"/>
    <w:uiPriority w:val="99"/>
    <w:semiHidden/>
    <w:unhideWhenUsed/>
    <w:rsid w:val="00837A0C"/>
    <w:pPr>
      <w:ind w:left="360" w:hanging="360"/>
      <w:contextualSpacing/>
    </w:pPr>
  </w:style>
  <w:style w:type="paragraph" w:styleId="List2">
    <w:name w:val="List 2"/>
    <w:basedOn w:val="Normal"/>
    <w:uiPriority w:val="99"/>
    <w:semiHidden/>
    <w:unhideWhenUsed/>
    <w:rsid w:val="00837A0C"/>
    <w:pPr>
      <w:ind w:left="720" w:hanging="360"/>
      <w:contextualSpacing/>
    </w:pPr>
  </w:style>
  <w:style w:type="paragraph" w:styleId="List3">
    <w:name w:val="List 3"/>
    <w:basedOn w:val="Normal"/>
    <w:uiPriority w:val="99"/>
    <w:semiHidden/>
    <w:unhideWhenUsed/>
    <w:rsid w:val="00837A0C"/>
    <w:pPr>
      <w:ind w:left="1080" w:hanging="360"/>
      <w:contextualSpacing/>
    </w:pPr>
  </w:style>
  <w:style w:type="paragraph" w:styleId="List4">
    <w:name w:val="List 4"/>
    <w:basedOn w:val="Normal"/>
    <w:uiPriority w:val="99"/>
    <w:semiHidden/>
    <w:unhideWhenUsed/>
    <w:rsid w:val="00837A0C"/>
    <w:pPr>
      <w:ind w:left="1440" w:hanging="360"/>
      <w:contextualSpacing/>
    </w:pPr>
  </w:style>
  <w:style w:type="paragraph" w:styleId="List5">
    <w:name w:val="List 5"/>
    <w:basedOn w:val="Normal"/>
    <w:uiPriority w:val="99"/>
    <w:semiHidden/>
    <w:unhideWhenUsed/>
    <w:rsid w:val="00837A0C"/>
    <w:pPr>
      <w:ind w:left="1800" w:hanging="360"/>
      <w:contextualSpacing/>
    </w:pPr>
  </w:style>
  <w:style w:type="paragraph" w:styleId="ListBullet2">
    <w:name w:val="List Bullet 2"/>
    <w:basedOn w:val="Normal"/>
    <w:uiPriority w:val="99"/>
    <w:semiHidden/>
    <w:unhideWhenUsed/>
    <w:rsid w:val="00837A0C"/>
    <w:pPr>
      <w:numPr>
        <w:numId w:val="21"/>
      </w:numPr>
      <w:contextualSpacing/>
    </w:pPr>
  </w:style>
  <w:style w:type="paragraph" w:styleId="ListBullet3">
    <w:name w:val="List Bullet 3"/>
    <w:basedOn w:val="Normal"/>
    <w:uiPriority w:val="99"/>
    <w:semiHidden/>
    <w:unhideWhenUsed/>
    <w:rsid w:val="00837A0C"/>
    <w:pPr>
      <w:numPr>
        <w:numId w:val="22"/>
      </w:numPr>
      <w:contextualSpacing/>
    </w:pPr>
  </w:style>
  <w:style w:type="paragraph" w:styleId="ListBullet4">
    <w:name w:val="List Bullet 4"/>
    <w:basedOn w:val="Normal"/>
    <w:uiPriority w:val="99"/>
    <w:semiHidden/>
    <w:unhideWhenUsed/>
    <w:rsid w:val="00837A0C"/>
    <w:pPr>
      <w:numPr>
        <w:numId w:val="23"/>
      </w:numPr>
      <w:contextualSpacing/>
    </w:pPr>
  </w:style>
  <w:style w:type="paragraph" w:styleId="ListBullet5">
    <w:name w:val="List Bullet 5"/>
    <w:basedOn w:val="Normal"/>
    <w:uiPriority w:val="99"/>
    <w:unhideWhenUsed/>
    <w:rsid w:val="00837A0C"/>
    <w:pPr>
      <w:numPr>
        <w:numId w:val="24"/>
      </w:numPr>
      <w:contextualSpacing/>
    </w:pPr>
  </w:style>
  <w:style w:type="paragraph" w:styleId="ListContinue">
    <w:name w:val="List Continue"/>
    <w:basedOn w:val="Normal"/>
    <w:uiPriority w:val="99"/>
    <w:semiHidden/>
    <w:unhideWhenUsed/>
    <w:rsid w:val="00837A0C"/>
    <w:pPr>
      <w:ind w:left="360"/>
      <w:contextualSpacing/>
    </w:pPr>
  </w:style>
  <w:style w:type="paragraph" w:styleId="ListContinue2">
    <w:name w:val="List Continue 2"/>
    <w:basedOn w:val="Normal"/>
    <w:uiPriority w:val="99"/>
    <w:semiHidden/>
    <w:unhideWhenUsed/>
    <w:rsid w:val="00837A0C"/>
    <w:pPr>
      <w:ind w:left="720"/>
      <w:contextualSpacing/>
    </w:pPr>
  </w:style>
  <w:style w:type="paragraph" w:styleId="ListContinue3">
    <w:name w:val="List Continue 3"/>
    <w:basedOn w:val="Normal"/>
    <w:uiPriority w:val="99"/>
    <w:semiHidden/>
    <w:unhideWhenUsed/>
    <w:rsid w:val="00837A0C"/>
    <w:pPr>
      <w:ind w:left="1080"/>
      <w:contextualSpacing/>
    </w:pPr>
  </w:style>
  <w:style w:type="paragraph" w:styleId="ListContinue4">
    <w:name w:val="List Continue 4"/>
    <w:basedOn w:val="Normal"/>
    <w:uiPriority w:val="99"/>
    <w:semiHidden/>
    <w:unhideWhenUsed/>
    <w:rsid w:val="00837A0C"/>
    <w:pPr>
      <w:ind w:left="1440"/>
      <w:contextualSpacing/>
    </w:pPr>
  </w:style>
  <w:style w:type="paragraph" w:styleId="ListContinue5">
    <w:name w:val="List Continue 5"/>
    <w:basedOn w:val="Normal"/>
    <w:uiPriority w:val="99"/>
    <w:semiHidden/>
    <w:unhideWhenUsed/>
    <w:rsid w:val="00837A0C"/>
    <w:pPr>
      <w:ind w:left="1800"/>
      <w:contextualSpacing/>
    </w:pPr>
  </w:style>
  <w:style w:type="paragraph" w:styleId="ListNumber2">
    <w:name w:val="List Number 2"/>
    <w:basedOn w:val="Normal"/>
    <w:uiPriority w:val="99"/>
    <w:semiHidden/>
    <w:unhideWhenUsed/>
    <w:rsid w:val="00837A0C"/>
    <w:pPr>
      <w:numPr>
        <w:numId w:val="25"/>
      </w:numPr>
      <w:contextualSpacing/>
    </w:pPr>
  </w:style>
  <w:style w:type="paragraph" w:styleId="ListNumber3">
    <w:name w:val="List Number 3"/>
    <w:basedOn w:val="Normal"/>
    <w:uiPriority w:val="99"/>
    <w:semiHidden/>
    <w:unhideWhenUsed/>
    <w:rsid w:val="00837A0C"/>
    <w:pPr>
      <w:numPr>
        <w:numId w:val="26"/>
      </w:numPr>
      <w:contextualSpacing/>
    </w:pPr>
  </w:style>
  <w:style w:type="paragraph" w:styleId="ListNumber4">
    <w:name w:val="List Number 4"/>
    <w:basedOn w:val="Normal"/>
    <w:uiPriority w:val="99"/>
    <w:semiHidden/>
    <w:unhideWhenUsed/>
    <w:rsid w:val="00837A0C"/>
    <w:pPr>
      <w:numPr>
        <w:numId w:val="27"/>
      </w:numPr>
      <w:contextualSpacing/>
    </w:pPr>
  </w:style>
  <w:style w:type="paragraph" w:styleId="ListNumber5">
    <w:name w:val="List Number 5"/>
    <w:basedOn w:val="Normal"/>
    <w:uiPriority w:val="99"/>
    <w:semiHidden/>
    <w:unhideWhenUsed/>
    <w:rsid w:val="00837A0C"/>
    <w:pPr>
      <w:numPr>
        <w:numId w:val="28"/>
      </w:numPr>
      <w:contextualSpacing/>
    </w:pPr>
  </w:style>
  <w:style w:type="paragraph" w:styleId="MacroText">
    <w:name w:val="macro"/>
    <w:link w:val="MacroTextChar"/>
    <w:uiPriority w:val="99"/>
    <w:semiHidden/>
    <w:unhideWhenUsed/>
    <w:rsid w:val="00837A0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en-US"/>
    </w:rPr>
  </w:style>
  <w:style w:type="character" w:customStyle="1" w:styleId="MacroTextChar">
    <w:name w:val="Macro Text Char"/>
    <w:basedOn w:val="DefaultParagraphFont"/>
    <w:link w:val="MacroText"/>
    <w:uiPriority w:val="99"/>
    <w:semiHidden/>
    <w:rsid w:val="00837A0C"/>
    <w:rPr>
      <w:rFonts w:ascii="Consolas" w:hAnsi="Consolas"/>
      <w:sz w:val="20"/>
      <w:szCs w:val="20"/>
      <w:lang w:val="en-US"/>
    </w:rPr>
  </w:style>
  <w:style w:type="paragraph" w:styleId="MessageHeader">
    <w:name w:val="Message Header"/>
    <w:basedOn w:val="Normal"/>
    <w:link w:val="MessageHeaderChar"/>
    <w:uiPriority w:val="99"/>
    <w:semiHidden/>
    <w:unhideWhenUsed/>
    <w:rsid w:val="00837A0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37A0C"/>
    <w:rPr>
      <w:rFonts w:asciiTheme="majorHAnsi" w:eastAsiaTheme="majorEastAsia" w:hAnsiTheme="majorHAnsi" w:cstheme="majorBidi"/>
      <w:sz w:val="24"/>
      <w:szCs w:val="24"/>
      <w:shd w:val="pct20" w:color="auto" w:fill="auto"/>
      <w:lang w:val="en-US"/>
    </w:rPr>
  </w:style>
  <w:style w:type="paragraph" w:styleId="NormalWeb">
    <w:name w:val="Normal (Web)"/>
    <w:basedOn w:val="Normal"/>
    <w:uiPriority w:val="99"/>
    <w:semiHidden/>
    <w:unhideWhenUsed/>
    <w:rsid w:val="00837A0C"/>
    <w:rPr>
      <w:rFonts w:ascii="Times New Roman" w:hAnsi="Times New Roman" w:cs="Times New Roman"/>
      <w:sz w:val="24"/>
      <w:szCs w:val="24"/>
    </w:rPr>
  </w:style>
  <w:style w:type="paragraph" w:styleId="NormalIndent">
    <w:name w:val="Normal Indent"/>
    <w:basedOn w:val="Normal"/>
    <w:uiPriority w:val="99"/>
    <w:semiHidden/>
    <w:unhideWhenUsed/>
    <w:rsid w:val="00837A0C"/>
    <w:pPr>
      <w:ind w:left="708"/>
    </w:pPr>
  </w:style>
  <w:style w:type="paragraph" w:styleId="NoteHeading">
    <w:name w:val="Note Heading"/>
    <w:basedOn w:val="Normal"/>
    <w:next w:val="Normal"/>
    <w:link w:val="NoteHeadingChar"/>
    <w:uiPriority w:val="99"/>
    <w:semiHidden/>
    <w:unhideWhenUsed/>
    <w:rsid w:val="00837A0C"/>
    <w:pPr>
      <w:spacing w:after="0" w:line="240" w:lineRule="auto"/>
    </w:pPr>
  </w:style>
  <w:style w:type="character" w:customStyle="1" w:styleId="NoteHeadingChar">
    <w:name w:val="Note Heading Char"/>
    <w:basedOn w:val="DefaultParagraphFont"/>
    <w:link w:val="NoteHeading"/>
    <w:uiPriority w:val="99"/>
    <w:semiHidden/>
    <w:rsid w:val="00837A0C"/>
    <w:rPr>
      <w:lang w:val="en-US"/>
    </w:rPr>
  </w:style>
  <w:style w:type="paragraph" w:styleId="PlainText">
    <w:name w:val="Plain Text"/>
    <w:basedOn w:val="Normal"/>
    <w:link w:val="PlainTextChar"/>
    <w:uiPriority w:val="99"/>
    <w:semiHidden/>
    <w:unhideWhenUsed/>
    <w:rsid w:val="00837A0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37A0C"/>
    <w:rPr>
      <w:rFonts w:ascii="Consolas" w:hAnsi="Consolas"/>
      <w:sz w:val="21"/>
      <w:szCs w:val="21"/>
      <w:lang w:val="en-US"/>
    </w:rPr>
  </w:style>
  <w:style w:type="paragraph" w:styleId="Salutation">
    <w:name w:val="Salutation"/>
    <w:basedOn w:val="Normal"/>
    <w:next w:val="Normal"/>
    <w:link w:val="SalutationChar"/>
    <w:uiPriority w:val="99"/>
    <w:semiHidden/>
    <w:unhideWhenUsed/>
    <w:rsid w:val="00837A0C"/>
  </w:style>
  <w:style w:type="character" w:customStyle="1" w:styleId="SalutationChar">
    <w:name w:val="Salutation Char"/>
    <w:basedOn w:val="DefaultParagraphFont"/>
    <w:link w:val="Salutation"/>
    <w:uiPriority w:val="99"/>
    <w:semiHidden/>
    <w:rsid w:val="00837A0C"/>
    <w:rPr>
      <w:lang w:val="en-US"/>
    </w:rPr>
  </w:style>
  <w:style w:type="paragraph" w:styleId="Signature">
    <w:name w:val="Signature"/>
    <w:basedOn w:val="Normal"/>
    <w:link w:val="SignatureChar"/>
    <w:uiPriority w:val="99"/>
    <w:semiHidden/>
    <w:unhideWhenUsed/>
    <w:rsid w:val="00837A0C"/>
    <w:pPr>
      <w:spacing w:after="0" w:line="240" w:lineRule="auto"/>
      <w:ind w:left="4320"/>
    </w:pPr>
  </w:style>
  <w:style w:type="character" w:customStyle="1" w:styleId="SignatureChar">
    <w:name w:val="Signature Char"/>
    <w:basedOn w:val="DefaultParagraphFont"/>
    <w:link w:val="Signature"/>
    <w:uiPriority w:val="99"/>
    <w:semiHidden/>
    <w:rsid w:val="00837A0C"/>
    <w:rPr>
      <w:lang w:val="en-US"/>
    </w:rPr>
  </w:style>
  <w:style w:type="paragraph" w:styleId="TableofAuthorities">
    <w:name w:val="table of authorities"/>
    <w:basedOn w:val="Normal"/>
    <w:next w:val="Normal"/>
    <w:uiPriority w:val="99"/>
    <w:semiHidden/>
    <w:unhideWhenUsed/>
    <w:rsid w:val="00837A0C"/>
    <w:pPr>
      <w:spacing w:after="0"/>
      <w:ind w:left="220" w:hanging="220"/>
    </w:pPr>
  </w:style>
  <w:style w:type="paragraph" w:styleId="TableofFigures">
    <w:name w:val="table of figures"/>
    <w:basedOn w:val="Normal"/>
    <w:next w:val="Normal"/>
    <w:uiPriority w:val="99"/>
    <w:semiHidden/>
    <w:unhideWhenUsed/>
    <w:rsid w:val="00837A0C"/>
    <w:pPr>
      <w:spacing w:after="0"/>
    </w:pPr>
  </w:style>
  <w:style w:type="paragraph" w:styleId="TOAHeading">
    <w:name w:val="toa heading"/>
    <w:basedOn w:val="Normal"/>
    <w:next w:val="Normal"/>
    <w:uiPriority w:val="99"/>
    <w:semiHidden/>
    <w:unhideWhenUsed/>
    <w:rsid w:val="00837A0C"/>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37A0C"/>
    <w:pPr>
      <w:spacing w:after="100"/>
      <w:ind w:left="660"/>
    </w:pPr>
  </w:style>
  <w:style w:type="paragraph" w:styleId="TOC5">
    <w:name w:val="toc 5"/>
    <w:basedOn w:val="Normal"/>
    <w:next w:val="Normal"/>
    <w:autoRedefine/>
    <w:uiPriority w:val="39"/>
    <w:semiHidden/>
    <w:unhideWhenUsed/>
    <w:rsid w:val="00837A0C"/>
    <w:pPr>
      <w:spacing w:after="100"/>
      <w:ind w:left="880"/>
    </w:pPr>
  </w:style>
  <w:style w:type="paragraph" w:styleId="TOC6">
    <w:name w:val="toc 6"/>
    <w:basedOn w:val="Normal"/>
    <w:next w:val="Normal"/>
    <w:autoRedefine/>
    <w:uiPriority w:val="39"/>
    <w:semiHidden/>
    <w:unhideWhenUsed/>
    <w:rsid w:val="00837A0C"/>
    <w:pPr>
      <w:spacing w:after="100"/>
      <w:ind w:left="1100"/>
    </w:pPr>
  </w:style>
  <w:style w:type="paragraph" w:styleId="TOC7">
    <w:name w:val="toc 7"/>
    <w:basedOn w:val="Normal"/>
    <w:next w:val="Normal"/>
    <w:autoRedefine/>
    <w:uiPriority w:val="39"/>
    <w:semiHidden/>
    <w:unhideWhenUsed/>
    <w:rsid w:val="00837A0C"/>
    <w:pPr>
      <w:spacing w:after="100"/>
      <w:ind w:left="1320"/>
    </w:pPr>
  </w:style>
  <w:style w:type="paragraph" w:styleId="TOC8">
    <w:name w:val="toc 8"/>
    <w:basedOn w:val="Normal"/>
    <w:next w:val="Normal"/>
    <w:autoRedefine/>
    <w:uiPriority w:val="39"/>
    <w:semiHidden/>
    <w:unhideWhenUsed/>
    <w:rsid w:val="00837A0C"/>
    <w:pPr>
      <w:spacing w:after="100"/>
      <w:ind w:left="1540"/>
    </w:pPr>
  </w:style>
  <w:style w:type="paragraph" w:styleId="TOC9">
    <w:name w:val="toc 9"/>
    <w:basedOn w:val="Normal"/>
    <w:next w:val="Normal"/>
    <w:autoRedefine/>
    <w:uiPriority w:val="39"/>
    <w:semiHidden/>
    <w:unhideWhenUsed/>
    <w:rsid w:val="00837A0C"/>
    <w:pPr>
      <w:spacing w:after="100"/>
      <w:ind w:left="1760"/>
    </w:pPr>
  </w:style>
  <w:style w:type="table" w:styleId="PlainTable4">
    <w:name w:val="Plain Table 4"/>
    <w:basedOn w:val="TableNormal"/>
    <w:uiPriority w:val="44"/>
    <w:rsid w:val="00A1390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AE665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E673F"/>
    <w:pPr>
      <w:autoSpaceDE w:val="0"/>
      <w:autoSpaceDN w:val="0"/>
      <w:adjustRightInd w:val="0"/>
      <w:spacing w:after="0" w:line="240" w:lineRule="auto"/>
    </w:pPr>
    <w:rPr>
      <w:rFonts w:ascii="Arial" w:hAnsi="Arial" w:cs="Arial"/>
      <w:color w:val="000000"/>
      <w:sz w:val="24"/>
      <w:szCs w:val="24"/>
      <w:lang w:val="en-US"/>
    </w:rPr>
  </w:style>
  <w:style w:type="table" w:customStyle="1" w:styleId="12">
    <w:name w:val="12"/>
    <w:basedOn w:val="TableNormal"/>
    <w:rsid w:val="009070F8"/>
    <w:pPr>
      <w:spacing w:after="0" w:line="240" w:lineRule="auto"/>
    </w:pPr>
    <w:rPr>
      <w:rFonts w:ascii="Calibri" w:eastAsia="Calibri" w:hAnsi="Calibri" w:cs="Calibri"/>
      <w:sz w:val="24"/>
      <w:szCs w:val="24"/>
      <w:lang w:val="en-US"/>
    </w:rPr>
    <w:tblPr>
      <w:tblStyleRowBandSize w:val="1"/>
      <w:tblStyleColBandSize w:val="1"/>
      <w:tblCellMar>
        <w:left w:w="115" w:type="dxa"/>
        <w:right w:w="115" w:type="dxa"/>
      </w:tblCellMar>
    </w:tblPr>
  </w:style>
  <w:style w:type="character" w:customStyle="1" w:styleId="ui-provider">
    <w:name w:val="ui-provider"/>
    <w:basedOn w:val="DefaultParagraphFont"/>
    <w:rsid w:val="005A77C4"/>
  </w:style>
  <w:style w:type="paragraph" w:customStyle="1" w:styleId="pf0">
    <w:name w:val="pf0"/>
    <w:basedOn w:val="Normal"/>
    <w:rsid w:val="003501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350155"/>
    <w:rPr>
      <w:rFonts w:ascii="Segoe UI" w:hAnsi="Segoe UI" w:cs="Segoe UI" w:hint="default"/>
      <w:sz w:val="18"/>
      <w:szCs w:val="18"/>
    </w:rPr>
  </w:style>
  <w:style w:type="character" w:customStyle="1" w:styleId="cf11">
    <w:name w:val="cf11"/>
    <w:basedOn w:val="DefaultParagraphFont"/>
    <w:rsid w:val="00350155"/>
    <w:rPr>
      <w:rFonts w:ascii="Segoe UI" w:hAnsi="Segoe UI" w:cs="Segoe UI" w:hint="default"/>
      <w:i/>
      <w:iCs/>
      <w:sz w:val="18"/>
      <w:szCs w:val="18"/>
    </w:rPr>
  </w:style>
  <w:style w:type="character" w:customStyle="1" w:styleId="cf21">
    <w:name w:val="cf21"/>
    <w:basedOn w:val="DefaultParagraphFont"/>
    <w:rsid w:val="00350155"/>
    <w:rPr>
      <w:rFonts w:ascii="Segoe UI" w:hAnsi="Segoe UI" w:cs="Segoe UI" w:hint="default"/>
      <w:b/>
      <w:bCs/>
      <w:sz w:val="18"/>
      <w:szCs w:val="18"/>
    </w:rPr>
  </w:style>
  <w:style w:type="paragraph" w:customStyle="1" w:styleId="m-1546250433784318022msolistparagraph">
    <w:name w:val="m_-1546250433784318022msolistparagraph"/>
    <w:basedOn w:val="Normal"/>
    <w:rsid w:val="0075301C"/>
    <w:pPr>
      <w:spacing w:before="100" w:beforeAutospacing="1" w:after="100" w:afterAutospacing="1" w:line="240" w:lineRule="auto"/>
    </w:pPr>
    <w:rPr>
      <w:rFonts w:ascii="Calibri" w:hAnsi="Calibri" w:cs="Calibri"/>
    </w:rPr>
  </w:style>
  <w:style w:type="character" w:customStyle="1" w:styleId="m-1546250433784318022markedcontent">
    <w:name w:val="m_-1546250433784318022markedcontent"/>
    <w:basedOn w:val="DefaultParagraphFont"/>
    <w:rsid w:val="007530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05314">
      <w:bodyDiv w:val="1"/>
      <w:marLeft w:val="0"/>
      <w:marRight w:val="0"/>
      <w:marTop w:val="0"/>
      <w:marBottom w:val="0"/>
      <w:divBdr>
        <w:top w:val="none" w:sz="0" w:space="0" w:color="auto"/>
        <w:left w:val="none" w:sz="0" w:space="0" w:color="auto"/>
        <w:bottom w:val="none" w:sz="0" w:space="0" w:color="auto"/>
        <w:right w:val="none" w:sz="0" w:space="0" w:color="auto"/>
      </w:divBdr>
    </w:div>
    <w:div w:id="88359929">
      <w:bodyDiv w:val="1"/>
      <w:marLeft w:val="0"/>
      <w:marRight w:val="0"/>
      <w:marTop w:val="0"/>
      <w:marBottom w:val="0"/>
      <w:divBdr>
        <w:top w:val="none" w:sz="0" w:space="0" w:color="auto"/>
        <w:left w:val="none" w:sz="0" w:space="0" w:color="auto"/>
        <w:bottom w:val="none" w:sz="0" w:space="0" w:color="auto"/>
        <w:right w:val="none" w:sz="0" w:space="0" w:color="auto"/>
      </w:divBdr>
    </w:div>
    <w:div w:id="174731175">
      <w:bodyDiv w:val="1"/>
      <w:marLeft w:val="0"/>
      <w:marRight w:val="0"/>
      <w:marTop w:val="0"/>
      <w:marBottom w:val="0"/>
      <w:divBdr>
        <w:top w:val="none" w:sz="0" w:space="0" w:color="auto"/>
        <w:left w:val="none" w:sz="0" w:space="0" w:color="auto"/>
        <w:bottom w:val="none" w:sz="0" w:space="0" w:color="auto"/>
        <w:right w:val="none" w:sz="0" w:space="0" w:color="auto"/>
      </w:divBdr>
      <w:divsChild>
        <w:div w:id="200022034">
          <w:marLeft w:val="720"/>
          <w:marRight w:val="0"/>
          <w:marTop w:val="0"/>
          <w:marBottom w:val="0"/>
          <w:divBdr>
            <w:top w:val="none" w:sz="0" w:space="0" w:color="auto"/>
            <w:left w:val="none" w:sz="0" w:space="0" w:color="auto"/>
            <w:bottom w:val="none" w:sz="0" w:space="0" w:color="auto"/>
            <w:right w:val="none" w:sz="0" w:space="0" w:color="auto"/>
          </w:divBdr>
        </w:div>
      </w:divsChild>
    </w:div>
    <w:div w:id="309797334">
      <w:bodyDiv w:val="1"/>
      <w:marLeft w:val="0"/>
      <w:marRight w:val="0"/>
      <w:marTop w:val="0"/>
      <w:marBottom w:val="0"/>
      <w:divBdr>
        <w:top w:val="none" w:sz="0" w:space="0" w:color="auto"/>
        <w:left w:val="none" w:sz="0" w:space="0" w:color="auto"/>
        <w:bottom w:val="none" w:sz="0" w:space="0" w:color="auto"/>
        <w:right w:val="none" w:sz="0" w:space="0" w:color="auto"/>
      </w:divBdr>
    </w:div>
    <w:div w:id="362021484">
      <w:bodyDiv w:val="1"/>
      <w:marLeft w:val="0"/>
      <w:marRight w:val="0"/>
      <w:marTop w:val="0"/>
      <w:marBottom w:val="0"/>
      <w:divBdr>
        <w:top w:val="none" w:sz="0" w:space="0" w:color="auto"/>
        <w:left w:val="none" w:sz="0" w:space="0" w:color="auto"/>
        <w:bottom w:val="none" w:sz="0" w:space="0" w:color="auto"/>
        <w:right w:val="none" w:sz="0" w:space="0" w:color="auto"/>
      </w:divBdr>
    </w:div>
    <w:div w:id="368839962">
      <w:bodyDiv w:val="1"/>
      <w:marLeft w:val="0"/>
      <w:marRight w:val="0"/>
      <w:marTop w:val="0"/>
      <w:marBottom w:val="0"/>
      <w:divBdr>
        <w:top w:val="none" w:sz="0" w:space="0" w:color="auto"/>
        <w:left w:val="none" w:sz="0" w:space="0" w:color="auto"/>
        <w:bottom w:val="none" w:sz="0" w:space="0" w:color="auto"/>
        <w:right w:val="none" w:sz="0" w:space="0" w:color="auto"/>
      </w:divBdr>
    </w:div>
    <w:div w:id="602807372">
      <w:bodyDiv w:val="1"/>
      <w:marLeft w:val="0"/>
      <w:marRight w:val="0"/>
      <w:marTop w:val="0"/>
      <w:marBottom w:val="0"/>
      <w:divBdr>
        <w:top w:val="none" w:sz="0" w:space="0" w:color="auto"/>
        <w:left w:val="none" w:sz="0" w:space="0" w:color="auto"/>
        <w:bottom w:val="none" w:sz="0" w:space="0" w:color="auto"/>
        <w:right w:val="none" w:sz="0" w:space="0" w:color="auto"/>
      </w:divBdr>
      <w:divsChild>
        <w:div w:id="955916508">
          <w:marLeft w:val="720"/>
          <w:marRight w:val="0"/>
          <w:marTop w:val="0"/>
          <w:marBottom w:val="0"/>
          <w:divBdr>
            <w:top w:val="none" w:sz="0" w:space="0" w:color="auto"/>
            <w:left w:val="none" w:sz="0" w:space="0" w:color="auto"/>
            <w:bottom w:val="none" w:sz="0" w:space="0" w:color="auto"/>
            <w:right w:val="none" w:sz="0" w:space="0" w:color="auto"/>
          </w:divBdr>
        </w:div>
      </w:divsChild>
    </w:div>
    <w:div w:id="625233097">
      <w:bodyDiv w:val="1"/>
      <w:marLeft w:val="0"/>
      <w:marRight w:val="0"/>
      <w:marTop w:val="0"/>
      <w:marBottom w:val="0"/>
      <w:divBdr>
        <w:top w:val="none" w:sz="0" w:space="0" w:color="auto"/>
        <w:left w:val="none" w:sz="0" w:space="0" w:color="auto"/>
        <w:bottom w:val="none" w:sz="0" w:space="0" w:color="auto"/>
        <w:right w:val="none" w:sz="0" w:space="0" w:color="auto"/>
      </w:divBdr>
    </w:div>
    <w:div w:id="650210314">
      <w:bodyDiv w:val="1"/>
      <w:marLeft w:val="0"/>
      <w:marRight w:val="0"/>
      <w:marTop w:val="0"/>
      <w:marBottom w:val="0"/>
      <w:divBdr>
        <w:top w:val="none" w:sz="0" w:space="0" w:color="auto"/>
        <w:left w:val="none" w:sz="0" w:space="0" w:color="auto"/>
        <w:bottom w:val="none" w:sz="0" w:space="0" w:color="auto"/>
        <w:right w:val="none" w:sz="0" w:space="0" w:color="auto"/>
      </w:divBdr>
    </w:div>
    <w:div w:id="702754744">
      <w:bodyDiv w:val="1"/>
      <w:marLeft w:val="0"/>
      <w:marRight w:val="0"/>
      <w:marTop w:val="0"/>
      <w:marBottom w:val="0"/>
      <w:divBdr>
        <w:top w:val="none" w:sz="0" w:space="0" w:color="auto"/>
        <w:left w:val="none" w:sz="0" w:space="0" w:color="auto"/>
        <w:bottom w:val="none" w:sz="0" w:space="0" w:color="auto"/>
        <w:right w:val="none" w:sz="0" w:space="0" w:color="auto"/>
      </w:divBdr>
    </w:div>
    <w:div w:id="793062603">
      <w:bodyDiv w:val="1"/>
      <w:marLeft w:val="0"/>
      <w:marRight w:val="0"/>
      <w:marTop w:val="0"/>
      <w:marBottom w:val="0"/>
      <w:divBdr>
        <w:top w:val="none" w:sz="0" w:space="0" w:color="auto"/>
        <w:left w:val="none" w:sz="0" w:space="0" w:color="auto"/>
        <w:bottom w:val="none" w:sz="0" w:space="0" w:color="auto"/>
        <w:right w:val="none" w:sz="0" w:space="0" w:color="auto"/>
      </w:divBdr>
    </w:div>
    <w:div w:id="858811502">
      <w:bodyDiv w:val="1"/>
      <w:marLeft w:val="0"/>
      <w:marRight w:val="0"/>
      <w:marTop w:val="0"/>
      <w:marBottom w:val="0"/>
      <w:divBdr>
        <w:top w:val="none" w:sz="0" w:space="0" w:color="auto"/>
        <w:left w:val="none" w:sz="0" w:space="0" w:color="auto"/>
        <w:bottom w:val="none" w:sz="0" w:space="0" w:color="auto"/>
        <w:right w:val="none" w:sz="0" w:space="0" w:color="auto"/>
      </w:divBdr>
    </w:div>
    <w:div w:id="921376049">
      <w:bodyDiv w:val="1"/>
      <w:marLeft w:val="0"/>
      <w:marRight w:val="0"/>
      <w:marTop w:val="0"/>
      <w:marBottom w:val="0"/>
      <w:divBdr>
        <w:top w:val="none" w:sz="0" w:space="0" w:color="auto"/>
        <w:left w:val="none" w:sz="0" w:space="0" w:color="auto"/>
        <w:bottom w:val="none" w:sz="0" w:space="0" w:color="auto"/>
        <w:right w:val="none" w:sz="0" w:space="0" w:color="auto"/>
      </w:divBdr>
    </w:div>
    <w:div w:id="976104744">
      <w:bodyDiv w:val="1"/>
      <w:marLeft w:val="0"/>
      <w:marRight w:val="0"/>
      <w:marTop w:val="0"/>
      <w:marBottom w:val="0"/>
      <w:divBdr>
        <w:top w:val="none" w:sz="0" w:space="0" w:color="auto"/>
        <w:left w:val="none" w:sz="0" w:space="0" w:color="auto"/>
        <w:bottom w:val="none" w:sz="0" w:space="0" w:color="auto"/>
        <w:right w:val="none" w:sz="0" w:space="0" w:color="auto"/>
      </w:divBdr>
    </w:div>
    <w:div w:id="987787447">
      <w:bodyDiv w:val="1"/>
      <w:marLeft w:val="0"/>
      <w:marRight w:val="0"/>
      <w:marTop w:val="0"/>
      <w:marBottom w:val="0"/>
      <w:divBdr>
        <w:top w:val="none" w:sz="0" w:space="0" w:color="auto"/>
        <w:left w:val="none" w:sz="0" w:space="0" w:color="auto"/>
        <w:bottom w:val="none" w:sz="0" w:space="0" w:color="auto"/>
        <w:right w:val="none" w:sz="0" w:space="0" w:color="auto"/>
      </w:divBdr>
    </w:div>
    <w:div w:id="1118453352">
      <w:bodyDiv w:val="1"/>
      <w:marLeft w:val="0"/>
      <w:marRight w:val="0"/>
      <w:marTop w:val="0"/>
      <w:marBottom w:val="0"/>
      <w:divBdr>
        <w:top w:val="none" w:sz="0" w:space="0" w:color="auto"/>
        <w:left w:val="none" w:sz="0" w:space="0" w:color="auto"/>
        <w:bottom w:val="none" w:sz="0" w:space="0" w:color="auto"/>
        <w:right w:val="none" w:sz="0" w:space="0" w:color="auto"/>
      </w:divBdr>
    </w:div>
    <w:div w:id="1162618052">
      <w:bodyDiv w:val="1"/>
      <w:marLeft w:val="0"/>
      <w:marRight w:val="0"/>
      <w:marTop w:val="0"/>
      <w:marBottom w:val="0"/>
      <w:divBdr>
        <w:top w:val="none" w:sz="0" w:space="0" w:color="auto"/>
        <w:left w:val="none" w:sz="0" w:space="0" w:color="auto"/>
        <w:bottom w:val="none" w:sz="0" w:space="0" w:color="auto"/>
        <w:right w:val="none" w:sz="0" w:space="0" w:color="auto"/>
      </w:divBdr>
    </w:div>
    <w:div w:id="1190559458">
      <w:bodyDiv w:val="1"/>
      <w:marLeft w:val="0"/>
      <w:marRight w:val="0"/>
      <w:marTop w:val="0"/>
      <w:marBottom w:val="0"/>
      <w:divBdr>
        <w:top w:val="none" w:sz="0" w:space="0" w:color="auto"/>
        <w:left w:val="none" w:sz="0" w:space="0" w:color="auto"/>
        <w:bottom w:val="none" w:sz="0" w:space="0" w:color="auto"/>
        <w:right w:val="none" w:sz="0" w:space="0" w:color="auto"/>
      </w:divBdr>
    </w:div>
    <w:div w:id="1274092719">
      <w:bodyDiv w:val="1"/>
      <w:marLeft w:val="0"/>
      <w:marRight w:val="0"/>
      <w:marTop w:val="0"/>
      <w:marBottom w:val="0"/>
      <w:divBdr>
        <w:top w:val="none" w:sz="0" w:space="0" w:color="auto"/>
        <w:left w:val="none" w:sz="0" w:space="0" w:color="auto"/>
        <w:bottom w:val="none" w:sz="0" w:space="0" w:color="auto"/>
        <w:right w:val="none" w:sz="0" w:space="0" w:color="auto"/>
      </w:divBdr>
    </w:div>
    <w:div w:id="1453283267">
      <w:bodyDiv w:val="1"/>
      <w:marLeft w:val="0"/>
      <w:marRight w:val="0"/>
      <w:marTop w:val="0"/>
      <w:marBottom w:val="0"/>
      <w:divBdr>
        <w:top w:val="none" w:sz="0" w:space="0" w:color="auto"/>
        <w:left w:val="none" w:sz="0" w:space="0" w:color="auto"/>
        <w:bottom w:val="none" w:sz="0" w:space="0" w:color="auto"/>
        <w:right w:val="none" w:sz="0" w:space="0" w:color="auto"/>
      </w:divBdr>
    </w:div>
    <w:div w:id="1645965312">
      <w:bodyDiv w:val="1"/>
      <w:marLeft w:val="0"/>
      <w:marRight w:val="0"/>
      <w:marTop w:val="0"/>
      <w:marBottom w:val="0"/>
      <w:divBdr>
        <w:top w:val="none" w:sz="0" w:space="0" w:color="auto"/>
        <w:left w:val="none" w:sz="0" w:space="0" w:color="auto"/>
        <w:bottom w:val="none" w:sz="0" w:space="0" w:color="auto"/>
        <w:right w:val="none" w:sz="0" w:space="0" w:color="auto"/>
      </w:divBdr>
    </w:div>
    <w:div w:id="1651861983">
      <w:bodyDiv w:val="1"/>
      <w:marLeft w:val="0"/>
      <w:marRight w:val="0"/>
      <w:marTop w:val="0"/>
      <w:marBottom w:val="0"/>
      <w:divBdr>
        <w:top w:val="none" w:sz="0" w:space="0" w:color="auto"/>
        <w:left w:val="none" w:sz="0" w:space="0" w:color="auto"/>
        <w:bottom w:val="none" w:sz="0" w:space="0" w:color="auto"/>
        <w:right w:val="none" w:sz="0" w:space="0" w:color="auto"/>
      </w:divBdr>
    </w:div>
    <w:div w:id="1936858245">
      <w:bodyDiv w:val="1"/>
      <w:marLeft w:val="0"/>
      <w:marRight w:val="0"/>
      <w:marTop w:val="0"/>
      <w:marBottom w:val="0"/>
      <w:divBdr>
        <w:top w:val="none" w:sz="0" w:space="0" w:color="auto"/>
        <w:left w:val="none" w:sz="0" w:space="0" w:color="auto"/>
        <w:bottom w:val="none" w:sz="0" w:space="0" w:color="auto"/>
        <w:right w:val="none" w:sz="0" w:space="0" w:color="auto"/>
      </w:divBdr>
    </w:div>
    <w:div w:id="2015179233">
      <w:bodyDiv w:val="1"/>
      <w:marLeft w:val="0"/>
      <w:marRight w:val="0"/>
      <w:marTop w:val="0"/>
      <w:marBottom w:val="0"/>
      <w:divBdr>
        <w:top w:val="none" w:sz="0" w:space="0" w:color="auto"/>
        <w:left w:val="none" w:sz="0" w:space="0" w:color="auto"/>
        <w:bottom w:val="none" w:sz="0" w:space="0" w:color="auto"/>
        <w:right w:val="none" w:sz="0" w:space="0" w:color="auto"/>
      </w:divBdr>
    </w:div>
    <w:div w:id="202732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emf"/><Relationship Id="rId26" Type="http://schemas.openxmlformats.org/officeDocument/2006/relationships/hyperlink" Target="https://www.who.int/publications/i/item/9789240061781" TargetMode="External"/><Relationship Id="rId39" Type="http://schemas.openxmlformats.org/officeDocument/2006/relationships/image" Target="media/image13.png"/><Relationship Id="rId21" Type="http://schemas.openxmlformats.org/officeDocument/2006/relationships/header" Target="header4.xml"/><Relationship Id="rId34" Type="http://schemas.openxmlformats.org/officeDocument/2006/relationships/hyperlink" Target="https://apps.who.int/iris/bitstream/handle/10665/176712/9789241564991_eng.pdf?sequence=1" TargetMode="Externa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6.emf"/><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hyperlink" Target="https://pmivectorlink.org/wp-content/uploads/2021/05/PMI-VectorLink-School-Based-ITN-Distribution-Exemplar.pdf" TargetMode="External"/><Relationship Id="rId32" Type="http://schemas.openxmlformats.org/officeDocument/2006/relationships/image" Target="media/image11.png"/><Relationship Id="rId37" Type="http://schemas.openxmlformats.org/officeDocument/2006/relationships/hyperlink" Target="https://www.who.int/publications-detail-redirect/WHO-UCN-GMP-2022.06" TargetMode="External"/><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hyperlink" Target="https://www.theglobalfund.org/media/11612/strategy_globalfund2023-2028_narrative_en.pdf" TargetMode="External"/><Relationship Id="rId58" Type="http://schemas.openxmlformats.org/officeDocument/2006/relationships/hyperlink" Target="https://www.theglobalfund.org/media/5743/fundingrequest_fullreview_instructions_en.pdf" TargetMode="Externa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hyperlink" Target="https://www.who.int/publications/i/item/9789240069428" TargetMode="External"/><Relationship Id="rId30" Type="http://schemas.openxmlformats.org/officeDocument/2006/relationships/image" Target="media/image9.emf"/><Relationship Id="rId35" Type="http://schemas.openxmlformats.org/officeDocument/2006/relationships/hyperlink" Target="https://apps.who.int/iris/bitstream/handle/10665/275868/WHO-CDS-GMP-2018.25-eng.pdf" TargetMode="Externa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footer" Target="footer4.xml"/><Relationship Id="rId8" Type="http://schemas.openxmlformats.org/officeDocument/2006/relationships/numbering" Target="numbering.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www.who.int/news/item/14-03-2023-who-publishes-recommendations-on-two-new-types-of-insecticide-treated-nets" TargetMode="External"/><Relationship Id="rId33" Type="http://schemas.openxmlformats.org/officeDocument/2006/relationships/image" Target="media/image12.png"/><Relationship Id="rId38" Type="http://schemas.openxmlformats.org/officeDocument/2006/relationships/hyperlink" Target="https://app.magicapp.org/" TargetMode="External"/><Relationship Id="rId46" Type="http://schemas.openxmlformats.org/officeDocument/2006/relationships/image" Target="media/image20.png"/><Relationship Id="rId59"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image" Target="media/image15.png"/><Relationship Id="rId54" Type="http://schemas.openxmlformats.org/officeDocument/2006/relationships/hyperlink" Target="https://www.theglobalfund.org/media/3048/trp_technicalreviewpanel_tor_en.pdf" TargetMode="External"/><Relationship Id="rId62"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7.emf"/><Relationship Id="rId36" Type="http://schemas.openxmlformats.org/officeDocument/2006/relationships/hyperlink" Target="https://apps.who.int/iris/bitstream/handle/10665/176712/9789241564991_eng.pdf?sequence=1" TargetMode="External"/><Relationship Id="rId49" Type="http://schemas.openxmlformats.org/officeDocument/2006/relationships/image" Target="media/image23.png"/><Relationship Id="rId57" Type="http://schemas.openxmlformats.org/officeDocument/2006/relationships/footer" Target="footer5.xml"/><Relationship Id="rId10" Type="http://schemas.openxmlformats.org/officeDocument/2006/relationships/settings" Target="settings.xml"/><Relationship Id="rId31" Type="http://schemas.openxmlformats.org/officeDocument/2006/relationships/image" Target="media/image10.png"/><Relationship Id="rId44" Type="http://schemas.openxmlformats.org/officeDocument/2006/relationships/image" Target="media/image18.png"/><Relationship Id="rId52" Type="http://schemas.openxmlformats.org/officeDocument/2006/relationships/hyperlink" Target="https://linkprotect.cudasvc.com/url?a=https%3a%2f%2fwww.theglobalfund.org%2fmedia%2f12737%2fcore_css-strengthening-grants-decision_guide_en.pdf&amp;c=E,1,u8kmVt_x-_RjaYJLXb8AXIVNg3_Zx8D-2g1G0qOcb9-0ALhaYx5roX60FzaDgqsPuSmUwREqunE9BfQGWxQByyCbXHEjkHKhDsP9nyg38JxjaIA-&amp;typo=1" TargetMode="External"/><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malariajournal.biomedcentral.com/articles/10.1186/s12936-021-03611-7" TargetMode="External"/><Relationship Id="rId3" Type="http://schemas.openxmlformats.org/officeDocument/2006/relationships/hyperlink" Target="https://malariajournal.biomedcentral.com/articles/10.1186/s12936-021-03611-7" TargetMode="External"/><Relationship Id="rId7" Type="http://schemas.openxmlformats.org/officeDocument/2006/relationships/hyperlink" Target="https://journals.asm.org/doi/epub/10.1128/JCM.00875-19" TargetMode="External"/><Relationship Id="rId2" Type="http://schemas.openxmlformats.org/officeDocument/2006/relationships/hyperlink" Target="https://www.thelancet.com/journals/langlo/article/PIIS2214-109X(16)30014-6/fulltext" TargetMode="External"/><Relationship Id="rId1" Type="http://schemas.openxmlformats.org/officeDocument/2006/relationships/hyperlink" Target="https://doi.org/10.1186/s12936-022-04090-0" TargetMode="External"/><Relationship Id="rId6" Type="http://schemas.openxmlformats.org/officeDocument/2006/relationships/hyperlink" Target="https://journals.asm.org/doi/epub/10.1128/JCM.00875-19" TargetMode="External"/><Relationship Id="rId11" Type="http://schemas.openxmlformats.org/officeDocument/2006/relationships/hyperlink" Target="https://www.theglobalfund.org/media/5743/fundingrequest_fullreview_instructions_en.pdf" TargetMode="External"/><Relationship Id="rId5" Type="http://schemas.openxmlformats.org/officeDocument/2006/relationships/hyperlink" Target="https://apps.who.int/malaria/maps/threats/" TargetMode="External"/><Relationship Id="rId10" Type="http://schemas.openxmlformats.org/officeDocument/2006/relationships/hyperlink" Target="https://www.theglobalfund.org/media/3048/trp_technicalreviewpanel_tor_en.pdf" TargetMode="External"/><Relationship Id="rId4" Type="http://schemas.openxmlformats.org/officeDocument/2006/relationships/hyperlink" Target="https://malariajournal.biomedcentral.com/articles/10.1186/s12936-019-2796-9" TargetMode="External"/><Relationship Id="rId9" Type="http://schemas.openxmlformats.org/officeDocument/2006/relationships/hyperlink" Target="https://www.theglobalfund.org/media/11612/strategy_globalfund2023-2028_narrative_en.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2FB91C20-E749-4C95-98D7-E6B83077E2E2}">
    <t:Anchor>
      <t:Comment id="310825636"/>
    </t:Anchor>
    <t:History>
      <t:Event id="{05E813D3-B565-4E54-ACDB-627038DB050D}" time="2022-06-14T09:22:57.315Z">
        <t:Attribution userId="S::lisa.regis@theglobalfund.org::54e9c201-ab65-41fc-9433-3b3b06cec0e0" userProvider="AD" userName="Lisa Regis"/>
        <t:Anchor>
          <t:Comment id="128038405"/>
        </t:Anchor>
        <t:Create/>
      </t:Event>
      <t:Event id="{D2BE95E1-3A80-45D7-B8CB-D145C309CE74}" time="2022-06-14T09:22:57.315Z">
        <t:Attribution userId="S::lisa.regis@theglobalfund.org::54e9c201-ab65-41fc-9433-3b3b06cec0e0" userProvider="AD" userName="Lisa Regis"/>
        <t:Anchor>
          <t:Comment id="128038405"/>
        </t:Anchor>
        <t:Assign userId="S::Matthew.Macgregor@theglobalfund.org::f3ac0c17-c0d3-45ed-8d37-48783516a21b" userProvider="AD" userName="Matthew Macgregor"/>
      </t:Event>
      <t:Event id="{56CB1E69-A3C4-40D3-8B6B-6D273212DE7F}" time="2022-06-14T09:22:57.315Z">
        <t:Attribution userId="S::lisa.regis@theglobalfund.org::54e9c201-ab65-41fc-9433-3b3b06cec0e0" userProvider="AD" userName="Lisa Regis"/>
        <t:Anchor>
          <t:Comment id="128038405"/>
        </t:Anchor>
        <t:SetTitle title="@Matthew Macgregor only question missing is related to what actions will be taken to address remaining gaps"/>
      </t:Event>
    </t:History>
  </t:Task>
  <t:Task id="{C453E336-D679-4CCA-B85D-3C2DC506B7EE}">
    <t:Anchor>
      <t:Comment id="1326421388"/>
    </t:Anchor>
    <t:History>
      <t:Event id="{BF0645BE-C1C3-473E-A17B-EDB2420E894D}" time="2022-06-17T13:47:45.046Z">
        <t:Attribution userId="S::lisa.regis@theglobalfund.org::54e9c201-ab65-41fc-9433-3b3b06cec0e0" userProvider="AD" userName="Lisa Regis"/>
        <t:Anchor>
          <t:Comment id="1326421388"/>
        </t:Anchor>
        <t:Create/>
      </t:Event>
      <t:Event id="{40AE9481-5C3D-4038-99BB-E6EDDBB4879B}" time="2022-06-17T13:47:45.046Z">
        <t:Attribution userId="S::lisa.regis@theglobalfund.org::54e9c201-ab65-41fc-9433-3b3b06cec0e0" userProvider="AD" userName="Lisa Regis"/>
        <t:Anchor>
          <t:Comment id="1326421388"/>
        </t:Anchor>
        <t:Assign userId="S::Matthew.Macgregor@theglobalfund.org::f3ac0c17-c0d3-45ed-8d37-48783516a21b" userProvider="AD" userName="Matthew Macgregor"/>
      </t:Event>
      <t:Event id="{267DB525-080B-4C5B-B1FE-4AD89C1DE552}" time="2022-06-17T13:47:45.046Z">
        <t:Attribution userId="S::lisa.regis@theglobalfund.org::54e9c201-ab65-41fc-9433-3b3b06cec0e0" userProvider="AD" userName="Lisa Regis"/>
        <t:Anchor>
          <t:Comment id="1326421388"/>
        </t:Anchor>
        <t:SetTitle title="@Matthew Macgregor @Moeti Mohoang suggest this question is included"/>
      </t:Event>
    </t:History>
  </t:Task>
  <t:Task id="{3750D916-26F7-4F99-BED1-3D29BB8B09C2}">
    <t:Anchor>
      <t:Comment id="643178011"/>
    </t:Anchor>
    <t:History>
      <t:Event id="{C18C098F-78C1-4BDD-9D55-5C79234E45DE}" time="2022-06-17T13:51:26.229Z">
        <t:Attribution userId="S::lisa.regis@theglobalfund.org::54e9c201-ab65-41fc-9433-3b3b06cec0e0" userProvider="AD" userName="Lisa Regis"/>
        <t:Anchor>
          <t:Comment id="1531397587"/>
        </t:Anchor>
        <t:Create/>
      </t:Event>
      <t:Event id="{8476F76E-A28C-4418-9693-63FA1D380E61}" time="2022-06-17T13:51:26.229Z">
        <t:Attribution userId="S::lisa.regis@theglobalfund.org::54e9c201-ab65-41fc-9433-3b3b06cec0e0" userProvider="AD" userName="Lisa Regis"/>
        <t:Anchor>
          <t:Comment id="1531397587"/>
        </t:Anchor>
        <t:Assign userId="S::Matthew.Macgregor@theglobalfund.org::f3ac0c17-c0d3-45ed-8d37-48783516a21b" userProvider="AD" userName="Matthew Macgregor"/>
      </t:Event>
      <t:Event id="{684A3713-36E9-4CFB-9B98-47F0FB484596}" time="2022-06-17T13:51:26.229Z">
        <t:Attribution userId="S::lisa.regis@theglobalfund.org::54e9c201-ab65-41fc-9433-3b3b06cec0e0" userProvider="AD" userName="Lisa Regis"/>
        <t:Anchor>
          <t:Comment id="1531397587"/>
        </t:Anchor>
        <t:SetTitle title="@Matthew Macgregor SISF TRP do not usually look at the source documentation/methodology/expenditure report........but have looked at LoCs when available"/>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107D16EB-E469-4EEE-B05D-E32B3312FD9D}"/>
      </w:docPartPr>
      <w:docPartBody>
        <w:p w:rsidR="00E4120B" w:rsidRDefault="00E4120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ArialMT">
    <w:panose1 w:val="00000000000000000000"/>
    <w:charset w:val="4D"/>
    <w:family w:val="auto"/>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ZWAdobeF">
    <w:altName w:val="Calibri"/>
    <w:charset w:val="00"/>
    <w:family w:val="auto"/>
    <w:pitch w:val="variable"/>
    <w:sig w:usb0="20002A87" w:usb1="00000000" w:usb2="00000000"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E4120B"/>
    <w:rsid w:val="00044E95"/>
    <w:rsid w:val="00082E10"/>
    <w:rsid w:val="000B6179"/>
    <w:rsid w:val="000D3169"/>
    <w:rsid w:val="000F46F5"/>
    <w:rsid w:val="000F4701"/>
    <w:rsid w:val="00107E6A"/>
    <w:rsid w:val="001165DD"/>
    <w:rsid w:val="00125745"/>
    <w:rsid w:val="001425AF"/>
    <w:rsid w:val="00185F85"/>
    <w:rsid w:val="00192330"/>
    <w:rsid w:val="00196867"/>
    <w:rsid w:val="001977C0"/>
    <w:rsid w:val="001B4481"/>
    <w:rsid w:val="001E355E"/>
    <w:rsid w:val="001E6B4B"/>
    <w:rsid w:val="001F01E3"/>
    <w:rsid w:val="00290673"/>
    <w:rsid w:val="002A2634"/>
    <w:rsid w:val="002C2E6C"/>
    <w:rsid w:val="002F2083"/>
    <w:rsid w:val="002F27E2"/>
    <w:rsid w:val="00300A1D"/>
    <w:rsid w:val="00301A84"/>
    <w:rsid w:val="003128B1"/>
    <w:rsid w:val="003710F6"/>
    <w:rsid w:val="00385A7E"/>
    <w:rsid w:val="00391C10"/>
    <w:rsid w:val="0039684E"/>
    <w:rsid w:val="003E046A"/>
    <w:rsid w:val="003F3123"/>
    <w:rsid w:val="003F3841"/>
    <w:rsid w:val="00401D9F"/>
    <w:rsid w:val="004A59E2"/>
    <w:rsid w:val="004B3FDE"/>
    <w:rsid w:val="004C3767"/>
    <w:rsid w:val="004D23CF"/>
    <w:rsid w:val="004D5AC7"/>
    <w:rsid w:val="004E2D93"/>
    <w:rsid w:val="00510DB1"/>
    <w:rsid w:val="0051502C"/>
    <w:rsid w:val="00516168"/>
    <w:rsid w:val="00554075"/>
    <w:rsid w:val="005567B9"/>
    <w:rsid w:val="005929D8"/>
    <w:rsid w:val="005A6DDD"/>
    <w:rsid w:val="005D43B7"/>
    <w:rsid w:val="005E52EF"/>
    <w:rsid w:val="005E7C44"/>
    <w:rsid w:val="005F41B1"/>
    <w:rsid w:val="006433D8"/>
    <w:rsid w:val="0064575B"/>
    <w:rsid w:val="006460C6"/>
    <w:rsid w:val="00660EF7"/>
    <w:rsid w:val="00684F83"/>
    <w:rsid w:val="00697FC6"/>
    <w:rsid w:val="006B5966"/>
    <w:rsid w:val="00706E46"/>
    <w:rsid w:val="00720431"/>
    <w:rsid w:val="00760E95"/>
    <w:rsid w:val="00767A8A"/>
    <w:rsid w:val="00773DCC"/>
    <w:rsid w:val="007A01CB"/>
    <w:rsid w:val="007E06E7"/>
    <w:rsid w:val="0081767C"/>
    <w:rsid w:val="008264D1"/>
    <w:rsid w:val="008451D9"/>
    <w:rsid w:val="00886CC6"/>
    <w:rsid w:val="008A2A74"/>
    <w:rsid w:val="008B2BE9"/>
    <w:rsid w:val="008D74C2"/>
    <w:rsid w:val="008F069E"/>
    <w:rsid w:val="00926590"/>
    <w:rsid w:val="00944644"/>
    <w:rsid w:val="00977E53"/>
    <w:rsid w:val="00996A50"/>
    <w:rsid w:val="009A1917"/>
    <w:rsid w:val="009C0912"/>
    <w:rsid w:val="009E5D94"/>
    <w:rsid w:val="00A40E2C"/>
    <w:rsid w:val="00A53573"/>
    <w:rsid w:val="00A6653E"/>
    <w:rsid w:val="00A72424"/>
    <w:rsid w:val="00A86449"/>
    <w:rsid w:val="00AB08A8"/>
    <w:rsid w:val="00AB3719"/>
    <w:rsid w:val="00AC34F1"/>
    <w:rsid w:val="00AE56A3"/>
    <w:rsid w:val="00B244F3"/>
    <w:rsid w:val="00B41CC9"/>
    <w:rsid w:val="00B50AF1"/>
    <w:rsid w:val="00B5770D"/>
    <w:rsid w:val="00B91EBE"/>
    <w:rsid w:val="00BD521A"/>
    <w:rsid w:val="00BE7398"/>
    <w:rsid w:val="00C01BEF"/>
    <w:rsid w:val="00C070DB"/>
    <w:rsid w:val="00C21E01"/>
    <w:rsid w:val="00C23201"/>
    <w:rsid w:val="00C43C28"/>
    <w:rsid w:val="00C47F39"/>
    <w:rsid w:val="00C67DBF"/>
    <w:rsid w:val="00C70BD3"/>
    <w:rsid w:val="00CB38DC"/>
    <w:rsid w:val="00D121C4"/>
    <w:rsid w:val="00D2377B"/>
    <w:rsid w:val="00D316CC"/>
    <w:rsid w:val="00D31E43"/>
    <w:rsid w:val="00D407DD"/>
    <w:rsid w:val="00D549FB"/>
    <w:rsid w:val="00D733B5"/>
    <w:rsid w:val="00D90971"/>
    <w:rsid w:val="00DB7644"/>
    <w:rsid w:val="00DC59DE"/>
    <w:rsid w:val="00DE6412"/>
    <w:rsid w:val="00E15E93"/>
    <w:rsid w:val="00E255FA"/>
    <w:rsid w:val="00E4120B"/>
    <w:rsid w:val="00E54BBC"/>
    <w:rsid w:val="00E57A5B"/>
    <w:rsid w:val="00E60443"/>
    <w:rsid w:val="00E626B8"/>
    <w:rsid w:val="00E95993"/>
    <w:rsid w:val="00E97F63"/>
    <w:rsid w:val="00EC4AF5"/>
    <w:rsid w:val="00ED4498"/>
    <w:rsid w:val="00F03CDF"/>
    <w:rsid w:val="00F4739B"/>
    <w:rsid w:val="00F50B56"/>
    <w:rsid w:val="00F6040C"/>
    <w:rsid w:val="00F81B22"/>
    <w:rsid w:val="00F93D7E"/>
    <w:rsid w:val="00F96855"/>
    <w:rsid w:val="00FA0DC4"/>
    <w:rsid w:val="00FA5449"/>
    <w:rsid w:val="00FB5F56"/>
    <w:rsid w:val="00FD0147"/>
    <w:rsid w:val="00FD6534"/>
    <w:rsid w:val="00FF2A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1B2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_TGF">
      <a:dk1>
        <a:sysClr val="windowText" lastClr="000000"/>
      </a:dk1>
      <a:lt1>
        <a:sysClr val="window" lastClr="FFFFFF"/>
      </a:lt1>
      <a:dk2>
        <a:srgbClr val="939393"/>
      </a:dk2>
      <a:lt2>
        <a:srgbClr val="D1D3D4"/>
      </a:lt2>
      <a:accent1>
        <a:srgbClr val="EE0C3D"/>
      </a:accent1>
      <a:accent2>
        <a:srgbClr val="2E4DF9"/>
      </a:accent2>
      <a:accent3>
        <a:srgbClr val="F6DE00"/>
      </a:accent3>
      <a:accent4>
        <a:srgbClr val="44CC36"/>
      </a:accent4>
      <a:accent5>
        <a:srgbClr val="FC9B00"/>
      </a:accent5>
      <a:accent6>
        <a:srgbClr val="8C29D3"/>
      </a:accent6>
      <a:hlink>
        <a:srgbClr val="2E4DF9"/>
      </a:hlink>
      <a:folHlink>
        <a:srgbClr val="2E4DF9"/>
      </a:folHlink>
    </a:clrScheme>
    <a:fontScheme name="_TGF">
      <a:majorFont>
        <a:latin typeface="Arial Black"/>
        <a:ea typeface=""/>
        <a:cs typeface="Arial"/>
      </a:majorFont>
      <a:minorFont>
        <a:latin typeface="Arial"/>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orking Document" ma:contentTypeID="0x010100DB1926E75FE6D448A94BA4FC7E9CAC0400EB82F3FDC0493647B521A7A424B5B012" ma:contentTypeVersion="8" ma:contentTypeDescription=" Working Document (0 years retention period)" ma:contentTypeScope="" ma:versionID="2e9cd3450a7698f9077782a12829d500">
  <xsd:schema xmlns:xsd="http://www.w3.org/2001/XMLSchema" xmlns:xs="http://www.w3.org/2001/XMLSchema" xmlns:p="http://schemas.microsoft.com/office/2006/metadata/properties" xmlns:ns2="a03ac030-8fc0-429e-a59d-aec15056182b" xmlns:ns3="http://schemas.microsoft.com/sharepoint/v4" xmlns:ns4="2219519e-2df8-4e68-9bc8-47ece53c639c" targetNamespace="http://schemas.microsoft.com/office/2006/metadata/properties" ma:root="true" ma:fieldsID="32a84c95add331215c70071da39b10c5" ns2:_="" ns3:_="" ns4:_="">
    <xsd:import namespace="a03ac030-8fc0-429e-a59d-aec15056182b"/>
    <xsd:import namespace="http://schemas.microsoft.com/sharepoint/v4"/>
    <xsd:import namespace="2219519e-2df8-4e68-9bc8-47ece53c639c"/>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element ref="ns4:MediaServiceMetadata" minOccurs="0"/>
                <xsd:element ref="ns4:MediaServiceFastMetadata" minOccurs="0"/>
                <xsd:element ref="ns4:MediaServiceAutoKeyPoints" minOccurs="0"/>
                <xsd:element ref="ns4:MediaServiceKeyPoints" minOccurs="0"/>
                <xsd:element ref="ns4:No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ac030-8fc0-429e-a59d-aec15056182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19519e-2df8-4e68-9bc8-47ece53c639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Note" ma:index="16" nillable="true" ma:displayName="Note" ma:format="Dropdown" ma:internalName="Not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emplafyFormConfiguration><![CDATA[{"formFields":[{"dataSource":"Languages","displayColumn":"language","defaultValue":"{{UserProfile.DocumentLanguage.Id}}","hideIfNoUserInteractionRequired":false,"distinct":true,"required":true,"autoSelectFirstOption":false,"helpTexts":{"prefix":"","postfix":""},"spacing":{},"type":"dropDown","name":"DocLang","label":"Document Language","fullyQualifiedName":"DocLang"}],"formDataEntries":[{"name":"DocLang","value":"Yq4f8ikL1FlYGwH8CgaazA=="}]}]]></TemplafyFormConfiguratio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TemplafyTemplateConfiguration><![CDATA[{"elementsMetadata":[{"type":"pictureContentControl","id":"49598a8a-1609-4e0f-877c-71289e796f97","elementConfiguration":{"inheritDimensions":"inheritHeight","binding":"Form.DocLang.Logo_stacked_black","removeAndKeepContent":false,"disableUpdates":false,"type":"image"}},{"type":"pictureContentControl","id":"aa521240-03a2-4021-b98d-f2768856db37","elementConfiguration":{"inheritDimensions":"inheritHeight","binding":"Form.DocLang.Logo_horizontal","removeAndKeepContent":false,"disableUpdates":false,"type":"image"}}],"transformationConfigurations":[],"isBaseTemplate":false,"templateName":"Funding Request","templateDescription":"","enableDocumentContentUpdater":false,"version":"1.10"}]]></TemplafyTemplateConfiguration>
</file>

<file path=customXml/item6.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Note xmlns="2219519e-2df8-4e68-9bc8-47ece53c639c" xsi:nil="true"/>
    <_dlc_DocId xmlns="a03ac030-8fc0-429e-a59d-aec15056182b">3NAZ7T4E3CZ3-539361286-28626</_dlc_DocId>
    <_dlc_DocIdUrl xmlns="a03ac030-8fc0-429e-a59d-aec15056182b">
      <Url>https://tgf.sharepoint.com/sites/TSA2F1/A2FD/_layouts/15/DocIdRedir.aspx?ID=3NAZ7T4E3CZ3-539361286-28626</Url>
      <Description>3NAZ7T4E3CZ3-539361286-28626</Description>
    </_dlc_DocIdUrl>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4FB202A-509B-42B1-BD7B-E2812D0F0430}">
  <ds:schemaRefs>
    <ds:schemaRef ds:uri="http://schemas.microsoft.com/sharepoint/v3/contenttype/forms"/>
  </ds:schemaRefs>
</ds:datastoreItem>
</file>

<file path=customXml/itemProps2.xml><?xml version="1.0" encoding="utf-8"?>
<ds:datastoreItem xmlns:ds="http://schemas.openxmlformats.org/officeDocument/2006/customXml" ds:itemID="{15762335-CB49-4F9D-9F0E-C6817F5C5E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ac030-8fc0-429e-a59d-aec15056182b"/>
    <ds:schemaRef ds:uri="http://schemas.microsoft.com/sharepoint/v4"/>
    <ds:schemaRef ds:uri="2219519e-2df8-4e68-9bc8-47ece53c6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E4EAF2-E8BA-4E52-9C64-A641913A2B09}">
  <ds:schemaRefs/>
</ds:datastoreItem>
</file>

<file path=customXml/itemProps4.xml><?xml version="1.0" encoding="utf-8"?>
<ds:datastoreItem xmlns:ds="http://schemas.openxmlformats.org/officeDocument/2006/customXml" ds:itemID="{0A37EC0F-6ED3-405A-97C2-DCE165283AD9}">
  <ds:schemaRefs>
    <ds:schemaRef ds:uri="http://schemas.openxmlformats.org/officeDocument/2006/bibliography"/>
  </ds:schemaRefs>
</ds:datastoreItem>
</file>

<file path=customXml/itemProps5.xml><?xml version="1.0" encoding="utf-8"?>
<ds:datastoreItem xmlns:ds="http://schemas.openxmlformats.org/officeDocument/2006/customXml" ds:itemID="{86202D38-4B1E-4622-91B6-381DD2A7BBF9}">
  <ds:schemaRefs/>
</ds:datastoreItem>
</file>

<file path=customXml/itemProps6.xml><?xml version="1.0" encoding="utf-8"?>
<ds:datastoreItem xmlns:ds="http://schemas.openxmlformats.org/officeDocument/2006/customXml" ds:itemID="{0C30B8E3-0482-476B-B3BD-651EB88134D0}">
  <ds:schemaRefs>
    <ds:schemaRef ds:uri="http://schemas.microsoft.com/office/2006/metadata/properties"/>
    <ds:schemaRef ds:uri="http://schemas.microsoft.com/office/infopath/2007/PartnerControls"/>
    <ds:schemaRef ds:uri="http://schemas.microsoft.com/sharepoint/v4"/>
    <ds:schemaRef ds:uri="2219519e-2df8-4e68-9bc8-47ece53c639c"/>
    <ds:schemaRef ds:uri="a03ac030-8fc0-429e-a59d-aec15056182b"/>
  </ds:schemaRefs>
</ds:datastoreItem>
</file>

<file path=customXml/itemProps7.xml><?xml version="1.0" encoding="utf-8"?>
<ds:datastoreItem xmlns:ds="http://schemas.openxmlformats.org/officeDocument/2006/customXml" ds:itemID="{C743464F-61C4-498F-824B-867BDA5559E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42073</Words>
  <Characters>239820</Characters>
  <Application>Microsoft Office Word</Application>
  <DocSecurity>0</DocSecurity>
  <Lines>1998</Lines>
  <Paragraphs>562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Amendola</dc:creator>
  <cp:keywords/>
  <dc:description/>
  <cp:lastModifiedBy>MCP Maputo</cp:lastModifiedBy>
  <cp:revision>2</cp:revision>
  <cp:lastPrinted>2023-06-16T11:15:00Z</cp:lastPrinted>
  <dcterms:created xsi:type="dcterms:W3CDTF">2023-06-19T07:14:00Z</dcterms:created>
  <dcterms:modified xsi:type="dcterms:W3CDTF">2023-06-19T07:14:00Z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theglobalfund</vt:lpwstr>
  </property>
  <property fmtid="{D5CDD505-2E9C-101B-9397-08002B2CF9AE}" pid="3" name="TemplafyTemplateId">
    <vt:lpwstr>637782936526893862</vt:lpwstr>
  </property>
  <property fmtid="{D5CDD505-2E9C-101B-9397-08002B2CF9AE}" pid="4" name="TemplafyUserProfileId">
    <vt:lpwstr>637608262810973981</vt:lpwstr>
  </property>
  <property fmtid="{D5CDD505-2E9C-101B-9397-08002B2CF9AE}" pid="5" name="TemplafyLanguageCode">
    <vt:lpwstr>en-US</vt:lpwstr>
  </property>
  <property fmtid="{D5CDD505-2E9C-101B-9397-08002B2CF9AE}" pid="6" name="ContentTypeId">
    <vt:lpwstr>0x010100DB1926E75FE6D448A94BA4FC7E9CAC0400EB82F3FDC0493647B521A7A424B5B012</vt:lpwstr>
  </property>
  <property fmtid="{D5CDD505-2E9C-101B-9397-08002B2CF9AE}" pid="7" name="MediaServiceImageTags">
    <vt:lpwstr/>
  </property>
  <property fmtid="{D5CDD505-2E9C-101B-9397-08002B2CF9AE}" pid="8" name="_dlc_DocId">
    <vt:lpwstr>3NAZ7T4E3CZ3-1593233266-2089</vt:lpwstr>
  </property>
  <property fmtid="{D5CDD505-2E9C-101B-9397-08002B2CF9AE}" pid="9" name="_dlc_DocIdItemGuid">
    <vt:lpwstr>44e88e00-9bc6-4032-91be-75c711139c6e</vt:lpwstr>
  </property>
  <property fmtid="{D5CDD505-2E9C-101B-9397-08002B2CF9AE}" pid="10" name="_dlc_DocIdUrl">
    <vt:lpwstr>https://tgf.sharepoint.com/sites/TSA2F1/A2FT/_layouts/15/DocIdRedir.aspx?ID=3NAZ7T4E3CZ3-1593233266-2089, 3NAZ7T4E3CZ3-1593233266-2089</vt:lpwstr>
  </property>
</Properties>
</file>